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F3B">
      <w:pPr>
        <w:jc w:val="center"/>
        <w:rPr>
          <w:rFonts w:ascii="Times New Roman" w:hAnsi="Times New Roman" w:cs="Times New Roman"/>
          <w:b/>
          <w:bCs/>
          <w:sz w:val="52"/>
          <w:szCs w:val="52"/>
        </w:rPr>
      </w:pPr>
    </w:p>
    <w:p w:rsidR="00997F3B">
      <w:pPr>
        <w:jc w:val="center"/>
        <w:rPr>
          <w:rFonts w:ascii="Times New Roman" w:hAnsi="Times New Roman" w:cs="Times New Roman"/>
          <w:b/>
          <w:bCs/>
          <w:sz w:val="52"/>
          <w:szCs w:val="52"/>
        </w:rPr>
      </w:pPr>
    </w:p>
    <w:p w:rsidR="00997F3B">
      <w:pPr>
        <w:jc w:val="center"/>
        <w:rPr>
          <w:rFonts w:ascii="Times New Roman" w:hAnsi="Times New Roman" w:cs="Times New Roman"/>
          <w:b/>
          <w:bCs/>
          <w:sz w:val="52"/>
          <w:szCs w:val="52"/>
        </w:rPr>
      </w:pPr>
    </w:p>
    <w:p w:rsidR="00997F3B">
      <w:pPr>
        <w:jc w:val="center"/>
        <w:rPr>
          <w:rFonts w:ascii="Times New Roman" w:eastAsia="微软雅黑" w:hAnsi="Times New Roman" w:cs="Times New Roman"/>
          <w:b/>
          <w:bCs/>
          <w:sz w:val="72"/>
          <w:szCs w:val="72"/>
        </w:rPr>
      </w:pPr>
      <w:r>
        <w:rPr>
          <w:rFonts w:ascii="Times New Roman" w:eastAsia="微软雅黑" w:hAnsi="Times New Roman" w:cs="Times New Roman"/>
          <w:b/>
          <w:bCs/>
          <w:sz w:val="72"/>
          <w:szCs w:val="72"/>
        </w:rPr>
        <w:t>建设项目环境影响报告表</w:t>
      </w:r>
    </w:p>
    <w:p w:rsidR="00997F3B">
      <w:pPr>
        <w:jc w:val="center"/>
        <w:rPr>
          <w:rFonts w:ascii="Times New Roman" w:eastAsia="楷体" w:hAnsi="Times New Roman" w:cs="Times New Roman"/>
          <w:sz w:val="48"/>
          <w:szCs w:val="48"/>
        </w:rPr>
      </w:pPr>
      <w:r>
        <w:rPr>
          <w:rFonts w:ascii="Times New Roman" w:eastAsia="楷体" w:hAnsi="Times New Roman" w:cs="Times New Roman"/>
          <w:sz w:val="48"/>
          <w:szCs w:val="48"/>
        </w:rPr>
        <w:t>（污染影响类）</w:t>
      </w:r>
    </w:p>
    <w:p w:rsidR="00997F3B">
      <w:pPr>
        <w:jc w:val="center"/>
        <w:rPr>
          <w:rFonts w:ascii="Times New Roman" w:hAnsi="Times New Roman" w:cs="Times New Roman"/>
          <w:sz w:val="72"/>
          <w:szCs w:val="72"/>
        </w:rPr>
      </w:pPr>
    </w:p>
    <w:p w:rsidR="00997F3B">
      <w:pPr>
        <w:jc w:val="center"/>
        <w:rPr>
          <w:rFonts w:ascii="Times New Roman" w:hAnsi="Times New Roman" w:cs="Times New Roman"/>
          <w:sz w:val="44"/>
          <w:szCs w:val="44"/>
        </w:rPr>
      </w:pPr>
    </w:p>
    <w:p w:rsidR="00997F3B">
      <w:pPr>
        <w:jc w:val="center"/>
        <w:rPr>
          <w:rFonts w:ascii="Times New Roman" w:hAnsi="Times New Roman" w:cs="Times New Roman"/>
          <w:sz w:val="44"/>
          <w:szCs w:val="44"/>
        </w:rPr>
      </w:pPr>
    </w:p>
    <w:p w:rsidR="00997F3B">
      <w:pPr>
        <w:rPr>
          <w:rFonts w:ascii="Times New Roman" w:hAnsi="Times New Roman" w:cs="Times New Roman"/>
          <w:sz w:val="28"/>
          <w:szCs w:val="28"/>
        </w:rPr>
      </w:pPr>
    </w:p>
    <w:p w:rsidR="00997F3B">
      <w:pPr>
        <w:rPr>
          <w:rFonts w:ascii="Times New Roman" w:hAnsi="Times New Roman" w:cs="Times New Roman"/>
          <w:sz w:val="28"/>
          <w:szCs w:val="28"/>
        </w:rPr>
      </w:pPr>
    </w:p>
    <w:p w:rsidR="00997F3B">
      <w:pPr>
        <w:pStyle w:val="Default1"/>
        <w:rPr>
          <w:rFonts w:ascii="Times New Roman" w:cs="Times New Roman"/>
          <w:color w:val="auto"/>
        </w:rPr>
      </w:pPr>
    </w:p>
    <w:p w:rsidR="00997F3B">
      <w:pPr>
        <w:spacing w:line="240" w:lineRule="auto"/>
        <w:ind w:firstLine="720" w:firstLineChars="200"/>
        <w:rPr>
          <w:rFonts w:ascii="Times New Roman" w:eastAsia="仿宋" w:hAnsi="Times New Roman" w:cs="Times New Roman"/>
          <w:sz w:val="36"/>
          <w:szCs w:val="36"/>
          <w:u w:val="single"/>
        </w:rPr>
      </w:pPr>
      <w:r>
        <w:rPr>
          <w:rFonts w:ascii="Times New Roman" w:eastAsia="仿宋" w:hAnsi="Times New Roman" w:cs="Times New Roman"/>
          <w:sz w:val="36"/>
          <w:szCs w:val="36"/>
        </w:rPr>
        <w:t>项目名称：</w:t>
      </w:r>
      <w:r>
        <w:rPr>
          <w:rFonts w:ascii="Times New Roman" w:eastAsia="仿宋" w:hAnsi="Times New Roman" w:cs="Times New Roman"/>
          <w:sz w:val="36"/>
          <w:szCs w:val="36"/>
          <w:u w:val="single"/>
        </w:rPr>
        <w:t xml:space="preserve"> </w:t>
      </w:r>
      <w:r>
        <w:rPr>
          <w:rFonts w:ascii="Times New Roman" w:eastAsia="仿宋" w:hAnsi="Times New Roman" w:cs="Times New Roman" w:hint="eastAsia"/>
          <w:sz w:val="36"/>
          <w:szCs w:val="36"/>
          <w:u w:val="single"/>
        </w:rPr>
        <w:t>龙岩市下坑工贸有限公司煤矸石综合利用项目</w:t>
      </w:r>
    </w:p>
    <w:p w:rsidR="00997F3B">
      <w:pPr>
        <w:spacing w:line="240" w:lineRule="auto"/>
        <w:ind w:firstLine="720" w:firstLineChars="200"/>
        <w:rPr>
          <w:rFonts w:ascii="Times New Roman" w:eastAsia="仿宋" w:hAnsi="Times New Roman" w:cs="Times New Roman"/>
          <w:sz w:val="36"/>
          <w:szCs w:val="36"/>
          <w:u w:val="single"/>
        </w:rPr>
      </w:pPr>
      <w:r>
        <w:rPr>
          <w:rFonts w:ascii="Times New Roman" w:eastAsia="仿宋" w:hAnsi="Times New Roman" w:cs="Times New Roman"/>
          <w:sz w:val="36"/>
          <w:szCs w:val="36"/>
        </w:rPr>
        <w:t>建设单位（盖章）：</w:t>
      </w:r>
      <w:r>
        <w:rPr>
          <w:rFonts w:ascii="Times New Roman" w:eastAsia="仿宋" w:hAnsi="Times New Roman" w:cs="Times New Roman" w:hint="eastAsia"/>
          <w:sz w:val="36"/>
          <w:szCs w:val="36"/>
          <w:u w:val="single"/>
        </w:rPr>
        <w:t>龙岩市下坑工贸有限公司</w:t>
      </w:r>
      <w:r>
        <w:rPr>
          <w:rFonts w:ascii="Times New Roman" w:eastAsia="仿宋" w:hAnsi="Times New Roman" w:cs="Times New Roman"/>
          <w:sz w:val="36"/>
          <w:szCs w:val="36"/>
          <w:u w:val="single"/>
        </w:rPr>
        <w:t xml:space="preserve"> </w:t>
      </w:r>
    </w:p>
    <w:p w:rsidR="00997F3B" w:rsidP="00052500">
      <w:pPr>
        <w:spacing w:before="156" w:beforeLines="50" w:line="240" w:lineRule="auto"/>
        <w:ind w:right="-120" w:firstLine="720" w:rightChars="-50" w:firstLineChars="200"/>
        <w:rPr>
          <w:rFonts w:ascii="Times New Roman" w:hAnsi="Times New Roman" w:cs="Times New Roman"/>
          <w:sz w:val="32"/>
          <w:szCs w:val="32"/>
        </w:rPr>
      </w:pPr>
      <w:r>
        <w:rPr>
          <w:rFonts w:ascii="Times New Roman" w:eastAsia="仿宋" w:hAnsi="Times New Roman" w:cs="Times New Roman"/>
          <w:sz w:val="36"/>
          <w:szCs w:val="36"/>
        </w:rPr>
        <w:t>编制日期：</w:t>
      </w:r>
      <w:r>
        <w:rPr>
          <w:rFonts w:ascii="Times New Roman" w:eastAsia="仿宋" w:hAnsi="Times New Roman" w:cs="Times New Roman"/>
          <w:sz w:val="36"/>
          <w:szCs w:val="36"/>
          <w:u w:val="single"/>
        </w:rPr>
        <w:t xml:space="preserve">          2021</w:t>
      </w:r>
      <w:r>
        <w:rPr>
          <w:rFonts w:ascii="Times New Roman" w:eastAsia="仿宋" w:hAnsi="Times New Roman" w:cs="Times New Roman"/>
          <w:sz w:val="36"/>
          <w:szCs w:val="36"/>
          <w:u w:val="single"/>
        </w:rPr>
        <w:t>年</w:t>
      </w:r>
      <w:r>
        <w:rPr>
          <w:rFonts w:ascii="Times New Roman" w:eastAsia="仿宋" w:hAnsi="Times New Roman" w:cs="Times New Roman" w:hint="eastAsia"/>
          <w:sz w:val="36"/>
          <w:szCs w:val="36"/>
          <w:u w:val="single"/>
        </w:rPr>
        <w:t>10</w:t>
      </w:r>
      <w:r>
        <w:rPr>
          <w:rFonts w:ascii="Times New Roman" w:eastAsia="仿宋" w:hAnsi="Times New Roman" w:cs="Times New Roman"/>
          <w:sz w:val="36"/>
          <w:szCs w:val="36"/>
          <w:u w:val="single"/>
        </w:rPr>
        <w:t>月</w:t>
      </w:r>
      <w:r>
        <w:rPr>
          <w:rFonts w:ascii="Times New Roman" w:eastAsia="仿宋" w:hAnsi="Times New Roman" w:cs="Times New Roman"/>
          <w:sz w:val="36"/>
          <w:szCs w:val="36"/>
          <w:u w:val="single"/>
        </w:rPr>
        <w:t xml:space="preserve">            </w:t>
      </w:r>
    </w:p>
    <w:p w:rsidR="00997F3B">
      <w:pPr>
        <w:jc w:val="center"/>
        <w:rPr>
          <w:rFonts w:ascii="Times New Roman" w:hAnsi="Times New Roman" w:cs="Times New Roman"/>
          <w:sz w:val="28"/>
          <w:szCs w:val="28"/>
        </w:rPr>
      </w:pPr>
    </w:p>
    <w:p w:rsidR="00997F3B">
      <w:pPr>
        <w:jc w:val="center"/>
        <w:rPr>
          <w:rFonts w:ascii="Times New Roman" w:hAnsi="Times New Roman" w:cs="Times New Roman"/>
          <w:sz w:val="28"/>
          <w:szCs w:val="28"/>
        </w:rPr>
      </w:pPr>
    </w:p>
    <w:p w:rsidR="00997F3B">
      <w:pPr>
        <w:jc w:val="center"/>
        <w:rPr>
          <w:rFonts w:ascii="Times New Roman" w:hAnsi="Times New Roman" w:cs="Times New Roman"/>
          <w:sz w:val="28"/>
          <w:szCs w:val="28"/>
        </w:rPr>
      </w:pPr>
    </w:p>
    <w:p w:rsidR="00997F3B">
      <w:pPr>
        <w:jc w:val="center"/>
        <w:rPr>
          <w:rFonts w:ascii="Times New Roman" w:hAnsi="Times New Roman" w:cs="Times New Roman"/>
          <w:sz w:val="28"/>
          <w:szCs w:val="28"/>
        </w:rPr>
      </w:pPr>
    </w:p>
    <w:p w:rsidR="00997F3B">
      <w:pPr>
        <w:jc w:val="center"/>
        <w:rPr>
          <w:rFonts w:ascii="Times New Roman" w:eastAsia="楷体" w:hAnsi="Times New Roman" w:cs="Times New Roman"/>
          <w:sz w:val="36"/>
          <w:szCs w:val="36"/>
        </w:rPr>
      </w:pPr>
      <w:r>
        <w:rPr>
          <w:rFonts w:ascii="Times New Roman" w:eastAsia="楷体" w:hAnsi="Times New Roman" w:cs="Times New Roman"/>
          <w:sz w:val="36"/>
          <w:szCs w:val="36"/>
        </w:rPr>
        <w:t>中华人民共和国生态环境部制</w:t>
      </w:r>
    </w:p>
    <w:p w:rsidR="00997F3B">
      <w:pPr>
        <w:spacing w:line="240" w:lineRule="auto"/>
        <w:jc w:val="left"/>
        <w:rPr>
          <w:rFonts w:ascii="Times New Roman" w:hAnsi="Times New Roman" w:cs="Times New Roman"/>
          <w:b/>
          <w:bCs/>
          <w:sz w:val="28"/>
          <w:szCs w:val="28"/>
        </w:rPr>
        <w:sectPr>
          <w:pgSz w:w="11906" w:h="16838"/>
          <w:pgMar w:top="1440" w:right="1800" w:bottom="1478" w:left="1800" w:header="851" w:footer="992" w:gutter="0"/>
          <w:cols w:space="425"/>
          <w:docGrid w:type="lines" w:linePitch="312"/>
        </w:sectPr>
      </w:pPr>
    </w:p>
    <w:p w:rsidR="00997F3B">
      <w:pPr>
        <w:pStyle w:val="Heading1"/>
        <w:jc w:val="center"/>
        <w:rPr>
          <w:rFonts w:ascii="Times New Roman" w:hAnsi="Times New Roman" w:cs="Times New Roman"/>
          <w:sz w:val="24"/>
          <w:szCs w:val="24"/>
          <w:lang w:eastAsia="zh-CN"/>
        </w:rPr>
      </w:pPr>
    </w:p>
    <w:p w:rsidR="00997F3B">
      <w:pPr>
        <w:pStyle w:val="Heading1"/>
        <w:rPr>
          <w:rFonts w:ascii="Times New Roman" w:hAnsi="Times New Roman" w:cs="Times New Roman"/>
          <w:sz w:val="24"/>
          <w:szCs w:val="24"/>
          <w:lang w:eastAsia="zh-CN"/>
        </w:rPr>
      </w:pPr>
    </w:p>
    <w:p w:rsidR="00997F3B">
      <w:pPr>
        <w:pStyle w:val="Heading1"/>
        <w:rPr>
          <w:rFonts w:ascii="Times New Roman" w:hAnsi="Times New Roman" w:cs="Times New Roman"/>
          <w:sz w:val="24"/>
          <w:szCs w:val="24"/>
          <w:lang w:eastAsia="zh-CN"/>
        </w:rPr>
      </w:pPr>
      <w:r>
        <w:rPr>
          <w:rFonts w:ascii="Times New Roman" w:hAnsi="Times New Roman" w:cs="Times New Roman"/>
          <w:sz w:val="24"/>
          <w:szCs w:val="24"/>
          <w:lang w:eastAsia="zh-CN"/>
        </w:rPr>
        <w:t>一、建设项目基本情况</w:t>
      </w:r>
    </w:p>
    <w:tbl>
      <w:tblPr>
        <w:tblStyle w:val="TableGrid0"/>
        <w:tblW w:w="9967"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1609"/>
        <w:gridCol w:w="2541"/>
        <w:gridCol w:w="2363"/>
        <w:gridCol w:w="3454"/>
      </w:tblGrid>
      <w:tr>
        <w:tblPrEx>
          <w:tblW w:w="9967" w:type="dxa"/>
          <w:jc w:val="center"/>
          <w:tblBorders>
            <w:top w:val="single" w:sz="12" w:space="0" w:color="auto"/>
            <w:left w:val="single" w:sz="12" w:space="0" w:color="auto"/>
            <w:bottom w:val="single" w:sz="12" w:space="0" w:color="auto"/>
            <w:right w:val="single" w:sz="12" w:space="0" w:color="auto"/>
          </w:tblBorders>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建设项目名称</w:t>
            </w:r>
          </w:p>
        </w:tc>
        <w:tc>
          <w:tcPr>
            <w:tcW w:w="8358" w:type="dxa"/>
            <w:gridSpan w:val="3"/>
            <w:vAlign w:val="center"/>
          </w:tcPr>
          <w:p w:rsidR="00997F3B">
            <w:pPr>
              <w:widowControl/>
              <w:jc w:val="center"/>
              <w:rPr>
                <w:rFonts w:ascii="Times New Roman" w:hAnsi="Times New Roman" w:eastAsiaTheme="minorEastAsia" w:cs="Times New Roman"/>
              </w:rPr>
            </w:pPr>
            <w:r>
              <w:rPr>
                <w:rFonts w:ascii="宋体" w:hAnsi="宋体" w:cs="宋体" w:hint="eastAsia"/>
                <w:color w:val="000000"/>
                <w:kern w:val="0"/>
                <w:lang w:val="x-none"/>
              </w:rPr>
              <w:t>龙岩市下坑工贸有限公司煤矸石综合利用项目</w:t>
            </w:r>
          </w:p>
        </w:tc>
      </w:tr>
      <w:tr>
        <w:tblPrEx>
          <w:tblW w:w="9967" w:type="dxa"/>
          <w:jc w:val="center"/>
          <w:tblLayout w:type="fixed"/>
          <w:tblLook w:val="04A0"/>
        </w:tblPrEx>
        <w:trPr>
          <w:trHeight w:val="474"/>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项目代码</w:t>
            </w:r>
          </w:p>
        </w:tc>
        <w:tc>
          <w:tcPr>
            <w:tcW w:w="8358" w:type="dxa"/>
            <w:gridSpan w:val="3"/>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2109-350803-04-01-526219</w:t>
            </w:r>
          </w:p>
        </w:tc>
      </w:tr>
      <w:tr>
        <w:tblPrEx>
          <w:tblW w:w="9967" w:type="dxa"/>
          <w:jc w:val="center"/>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建设单位联系人</w:t>
            </w:r>
          </w:p>
        </w:tc>
        <w:tc>
          <w:tcPr>
            <w:tcW w:w="2541"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hint="eastAsia"/>
              </w:rPr>
              <w:t>苏</w:t>
            </w:r>
            <w:r w:rsidR="00052500">
              <w:rPr>
                <w:rFonts w:ascii="Times New Roman" w:hAnsi="Times New Roman" w:eastAsiaTheme="minorEastAsia" w:cs="Times New Roman" w:hint="eastAsia"/>
              </w:rPr>
              <w:t>**</w:t>
            </w:r>
          </w:p>
        </w:tc>
        <w:tc>
          <w:tcPr>
            <w:tcW w:w="2363"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联系方式</w:t>
            </w:r>
          </w:p>
        </w:tc>
        <w:tc>
          <w:tcPr>
            <w:tcW w:w="3454" w:type="dxa"/>
            <w:vAlign w:val="center"/>
          </w:tcPr>
          <w:p w:rsidR="00997F3B" w:rsidP="00052500">
            <w:pPr>
              <w:jc w:val="center"/>
              <w:rPr>
                <w:rFonts w:ascii="Times New Roman" w:hAnsi="Times New Roman" w:eastAsiaTheme="minorEastAsia" w:cs="Times New Roman"/>
              </w:rPr>
            </w:pPr>
            <w:r>
              <w:rPr>
                <w:rFonts w:ascii="Times New Roman" w:hAnsi="Times New Roman" w:eastAsiaTheme="minorEastAsia" w:cs="Times New Roman" w:hint="eastAsia"/>
              </w:rPr>
              <w:t>133</w:t>
            </w:r>
            <w:r w:rsidR="00052500">
              <w:rPr>
                <w:rFonts w:ascii="Times New Roman" w:hAnsi="Times New Roman" w:eastAsiaTheme="minorEastAsia" w:cs="Times New Roman" w:hint="eastAsia"/>
              </w:rPr>
              <w:t>******</w:t>
            </w:r>
            <w:r>
              <w:rPr>
                <w:rFonts w:ascii="Times New Roman" w:hAnsi="Times New Roman" w:eastAsiaTheme="minorEastAsia" w:cs="Times New Roman" w:hint="eastAsia"/>
              </w:rPr>
              <w:t>66</w:t>
            </w:r>
          </w:p>
        </w:tc>
      </w:tr>
      <w:tr>
        <w:tblPrEx>
          <w:tblW w:w="9967" w:type="dxa"/>
          <w:jc w:val="center"/>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建设地点</w:t>
            </w:r>
          </w:p>
        </w:tc>
        <w:tc>
          <w:tcPr>
            <w:tcW w:w="8358" w:type="dxa"/>
            <w:gridSpan w:val="3"/>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福建省龙岩市永定区抚市镇溪联村</w:t>
            </w:r>
          </w:p>
        </w:tc>
      </w:tr>
      <w:tr>
        <w:tblPrEx>
          <w:tblW w:w="9967" w:type="dxa"/>
          <w:jc w:val="center"/>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地理坐标</w:t>
            </w:r>
          </w:p>
        </w:tc>
        <w:tc>
          <w:tcPr>
            <w:tcW w:w="8358" w:type="dxa"/>
            <w:gridSpan w:val="3"/>
            <w:vAlign w:val="center"/>
          </w:tcPr>
          <w:p w:rsidR="00997F3B">
            <w:pPr>
              <w:jc w:val="center"/>
              <w:rPr>
                <w:rFonts w:ascii="Times New Roman" w:hAnsi="Times New Roman" w:eastAsiaTheme="minorEastAsia" w:cs="Times New Roman"/>
                <w:color w:val="0000FF"/>
              </w:rPr>
            </w:pPr>
            <w:r>
              <w:rPr>
                <w:rFonts w:ascii="Times New Roman" w:hAnsi="Times New Roman" w:eastAsiaTheme="minorEastAsia" w:cs="Times New Roman"/>
              </w:rPr>
              <w:t>（</w:t>
            </w:r>
            <w:r>
              <w:rPr>
                <w:rFonts w:ascii="Times New Roman" w:hAnsi="Times New Roman" w:eastAsiaTheme="minorEastAsia" w:cs="Times New Roman"/>
                <w:u w:val="single"/>
              </w:rPr>
              <w:t xml:space="preserve"> 116 </w:t>
            </w:r>
            <w:r>
              <w:rPr>
                <w:rFonts w:ascii="Times New Roman" w:hAnsi="Times New Roman" w:eastAsiaTheme="minorEastAsia" w:cs="Times New Roman"/>
              </w:rPr>
              <w:t>度</w:t>
            </w:r>
            <w:r>
              <w:rPr>
                <w:rFonts w:ascii="Times New Roman" w:hAnsi="Times New Roman" w:eastAsiaTheme="minorEastAsia" w:cs="Times New Roman" w:hint="eastAsia"/>
                <w:u w:val="single"/>
              </w:rPr>
              <w:t>57</w:t>
            </w:r>
            <w:r>
              <w:rPr>
                <w:rFonts w:ascii="Times New Roman" w:hAnsi="Times New Roman" w:eastAsiaTheme="minorEastAsia" w:cs="Times New Roman"/>
              </w:rPr>
              <w:t>分</w:t>
            </w:r>
            <w:r>
              <w:rPr>
                <w:rFonts w:ascii="Times New Roman" w:hAnsi="Times New Roman" w:eastAsiaTheme="minorEastAsia" w:cs="Times New Roman"/>
                <w:u w:val="single"/>
              </w:rPr>
              <w:t xml:space="preserve"> </w:t>
            </w:r>
            <w:r>
              <w:rPr>
                <w:rFonts w:ascii="Times New Roman" w:hAnsi="Times New Roman" w:eastAsiaTheme="minorEastAsia" w:cs="Times New Roman" w:hint="eastAsia"/>
                <w:u w:val="single"/>
              </w:rPr>
              <w:t>21.33</w:t>
            </w:r>
            <w:r>
              <w:rPr>
                <w:rFonts w:ascii="Times New Roman" w:hAnsi="Times New Roman" w:eastAsiaTheme="minorEastAsia" w:cs="Times New Roman"/>
                <w:u w:val="single"/>
              </w:rPr>
              <w:t xml:space="preserve"> </w:t>
            </w:r>
            <w:r>
              <w:rPr>
                <w:rFonts w:ascii="Times New Roman" w:hAnsi="Times New Roman" w:eastAsiaTheme="minorEastAsia" w:cs="Times New Roman"/>
              </w:rPr>
              <w:t>秒，</w:t>
            </w:r>
            <w:r>
              <w:rPr>
                <w:rFonts w:ascii="Times New Roman" w:hAnsi="Times New Roman" w:eastAsiaTheme="minorEastAsia" w:cs="Times New Roman"/>
                <w:u w:val="single"/>
              </w:rPr>
              <w:t>2</w:t>
            </w:r>
            <w:r>
              <w:rPr>
                <w:rFonts w:ascii="Times New Roman" w:hAnsi="Times New Roman" w:eastAsiaTheme="minorEastAsia" w:cs="Times New Roman" w:hint="eastAsia"/>
                <w:u w:val="single"/>
              </w:rPr>
              <w:t>4</w:t>
            </w:r>
            <w:r>
              <w:rPr>
                <w:rFonts w:ascii="Times New Roman" w:hAnsi="Times New Roman" w:eastAsiaTheme="minorEastAsia" w:cs="Times New Roman"/>
              </w:rPr>
              <w:t>度</w:t>
            </w:r>
            <w:r>
              <w:rPr>
                <w:rFonts w:ascii="Times New Roman" w:hAnsi="Times New Roman" w:eastAsiaTheme="minorEastAsia" w:cs="Times New Roman"/>
                <w:u w:val="single"/>
              </w:rPr>
              <w:t xml:space="preserve"> </w:t>
            </w:r>
            <w:r>
              <w:rPr>
                <w:rFonts w:ascii="Times New Roman" w:hAnsi="Times New Roman" w:eastAsiaTheme="minorEastAsia" w:cs="Times New Roman" w:hint="eastAsia"/>
                <w:u w:val="single"/>
              </w:rPr>
              <w:t>49</w:t>
            </w:r>
            <w:r>
              <w:rPr>
                <w:rFonts w:ascii="Times New Roman" w:hAnsi="Times New Roman" w:eastAsiaTheme="minorEastAsia" w:cs="Times New Roman"/>
              </w:rPr>
              <w:t>分</w:t>
            </w:r>
            <w:r>
              <w:rPr>
                <w:rFonts w:ascii="Times New Roman" w:hAnsi="Times New Roman" w:eastAsiaTheme="minorEastAsia" w:cs="Times New Roman"/>
                <w:u w:val="single"/>
              </w:rPr>
              <w:t xml:space="preserve"> </w:t>
            </w:r>
            <w:r>
              <w:rPr>
                <w:rFonts w:ascii="Times New Roman" w:hAnsi="Times New Roman" w:eastAsiaTheme="minorEastAsia" w:cs="Times New Roman" w:hint="eastAsia"/>
                <w:u w:val="single"/>
              </w:rPr>
              <w:t>0.57</w:t>
            </w:r>
            <w:r>
              <w:rPr>
                <w:rFonts w:ascii="Times New Roman" w:hAnsi="Times New Roman" w:eastAsiaTheme="minorEastAsia" w:cs="Times New Roman"/>
              </w:rPr>
              <w:t>秒）</w:t>
            </w:r>
          </w:p>
        </w:tc>
      </w:tr>
      <w:tr>
        <w:tblPrEx>
          <w:tblW w:w="9967" w:type="dxa"/>
          <w:jc w:val="center"/>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国民经济</w:t>
            </w:r>
          </w:p>
          <w:p w:rsidR="00997F3B">
            <w:pPr>
              <w:jc w:val="center"/>
              <w:rPr>
                <w:rFonts w:ascii="Times New Roman" w:hAnsi="Times New Roman" w:eastAsiaTheme="minorEastAsia" w:cs="Times New Roman"/>
              </w:rPr>
            </w:pPr>
            <w:r>
              <w:rPr>
                <w:rFonts w:ascii="Times New Roman" w:hAnsi="Times New Roman" w:eastAsiaTheme="minorEastAsia" w:cs="Times New Roman"/>
              </w:rPr>
              <w:t>行业类别</w:t>
            </w:r>
          </w:p>
        </w:tc>
        <w:tc>
          <w:tcPr>
            <w:tcW w:w="2541" w:type="dxa"/>
            <w:vAlign w:val="center"/>
          </w:tcPr>
          <w:p w:rsidR="00997F3B">
            <w:pPr>
              <w:widowControl/>
              <w:jc w:val="left"/>
            </w:pPr>
            <w:r>
              <w:rPr>
                <w:rFonts w:ascii="宋体" w:hAnsi="宋体" w:cs="宋体" w:hint="eastAsia"/>
                <w:color w:val="000000"/>
                <w:kern w:val="0"/>
                <w:lang w:val="x-none"/>
              </w:rPr>
              <w:t>其它煤炭加工，</w:t>
            </w:r>
            <w:r>
              <w:rPr>
                <w:rFonts w:ascii="Times New Roman" w:hAnsi="Times New Roman" w:cs="Times New Roman"/>
                <w:color w:val="000000"/>
                <w:kern w:val="0"/>
                <w:lang w:val="x-none"/>
              </w:rPr>
              <w:t>C2529</w:t>
            </w:r>
          </w:p>
          <w:p w:rsidR="00997F3B">
            <w:pPr>
              <w:jc w:val="center"/>
              <w:rPr>
                <w:rFonts w:ascii="Times New Roman" w:hAnsi="Times New Roman" w:eastAsiaTheme="minorEastAsia" w:cs="Times New Roman"/>
              </w:rPr>
            </w:pPr>
          </w:p>
        </w:tc>
        <w:tc>
          <w:tcPr>
            <w:tcW w:w="2363"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建设项目</w:t>
            </w:r>
          </w:p>
          <w:p w:rsidR="00997F3B">
            <w:pPr>
              <w:jc w:val="center"/>
              <w:rPr>
                <w:rFonts w:ascii="Times New Roman" w:hAnsi="Times New Roman" w:eastAsiaTheme="minorEastAsia" w:cs="Times New Roman"/>
              </w:rPr>
            </w:pPr>
            <w:r>
              <w:rPr>
                <w:rFonts w:ascii="Times New Roman" w:hAnsi="Times New Roman" w:eastAsiaTheme="minorEastAsia" w:cs="Times New Roman"/>
              </w:rPr>
              <w:t>行业类别</w:t>
            </w:r>
          </w:p>
        </w:tc>
        <w:tc>
          <w:tcPr>
            <w:tcW w:w="3454"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二十七、非金属矿物制品业</w:t>
            </w:r>
            <w:r>
              <w:rPr>
                <w:rFonts w:ascii="Times New Roman" w:hAnsi="Times New Roman" w:eastAsiaTheme="minorEastAsia" w:cs="Times New Roman" w:hint="eastAsia"/>
              </w:rPr>
              <w:t>30-</w:t>
            </w:r>
            <w:r>
              <w:rPr>
                <w:rFonts w:ascii="Times New Roman" w:hAnsi="Times New Roman" w:eastAsiaTheme="minorEastAsia" w:cs="Times New Roman"/>
              </w:rPr>
              <w:t xml:space="preserve">60 </w:t>
            </w:r>
            <w:r>
              <w:rPr>
                <w:rFonts w:ascii="Times New Roman" w:hAnsi="Times New Roman" w:eastAsiaTheme="minorEastAsia" w:cs="Times New Roman"/>
              </w:rPr>
              <w:t>耐火材料制品制造</w:t>
            </w:r>
            <w:r>
              <w:rPr>
                <w:rFonts w:ascii="Times New Roman" w:hAnsi="Times New Roman" w:eastAsiaTheme="minorEastAsia" w:cs="Times New Roman"/>
              </w:rPr>
              <w:t xml:space="preserve"> 308</w:t>
            </w:r>
            <w:r>
              <w:rPr>
                <w:rFonts w:ascii="Times New Roman" w:hAnsi="Times New Roman" w:eastAsiaTheme="minorEastAsia" w:cs="Times New Roman"/>
              </w:rPr>
              <w:t>；石墨及其他非金属矿物制品制造</w:t>
            </w:r>
            <w:r>
              <w:rPr>
                <w:rFonts w:ascii="Times New Roman" w:hAnsi="Times New Roman" w:eastAsiaTheme="minorEastAsia" w:cs="Times New Roman"/>
              </w:rPr>
              <w:t xml:space="preserve"> 309 </w:t>
            </w:r>
          </w:p>
        </w:tc>
      </w:tr>
      <w:tr>
        <w:tblPrEx>
          <w:tblW w:w="9967" w:type="dxa"/>
          <w:jc w:val="center"/>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建设性质</w:t>
            </w:r>
          </w:p>
        </w:tc>
        <w:tc>
          <w:tcPr>
            <w:tcW w:w="2541" w:type="dxa"/>
            <w:vAlign w:val="center"/>
          </w:tcPr>
          <w:p w:rsidR="00997F3B">
            <w:pPr>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新建（迁建）</w:t>
            </w:r>
          </w:p>
          <w:p w:rsidR="00997F3B">
            <w:pPr>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改建</w:t>
            </w:r>
          </w:p>
          <w:p w:rsidR="00997F3B">
            <w:pPr>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扩建</w:t>
            </w:r>
          </w:p>
          <w:p w:rsidR="00997F3B">
            <w:pPr>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技术改造</w:t>
            </w:r>
          </w:p>
        </w:tc>
        <w:tc>
          <w:tcPr>
            <w:tcW w:w="2363"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建设项目</w:t>
            </w:r>
          </w:p>
          <w:p w:rsidR="00997F3B">
            <w:pPr>
              <w:jc w:val="center"/>
              <w:rPr>
                <w:rFonts w:ascii="Times New Roman" w:hAnsi="Times New Roman" w:eastAsiaTheme="minorEastAsia" w:cs="Times New Roman"/>
              </w:rPr>
            </w:pPr>
            <w:r>
              <w:rPr>
                <w:rFonts w:ascii="Times New Roman" w:hAnsi="Times New Roman" w:eastAsiaTheme="minorEastAsia" w:cs="Times New Roman"/>
              </w:rPr>
              <w:t>申报情形</w:t>
            </w:r>
          </w:p>
        </w:tc>
        <w:tc>
          <w:tcPr>
            <w:tcW w:w="3454" w:type="dxa"/>
            <w:vAlign w:val="center"/>
          </w:tcPr>
          <w:p w:rsidR="00997F3B">
            <w:pPr>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首次申报项目</w:t>
            </w:r>
          </w:p>
          <w:p w:rsidR="00997F3B">
            <w:pPr>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不予批准后再次申报项目</w:t>
            </w:r>
          </w:p>
          <w:p w:rsidR="00997F3B">
            <w:pPr>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超五年重新审核项目</w:t>
            </w:r>
          </w:p>
          <w:p w:rsidR="00997F3B">
            <w:pPr>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重大变动重新报批项目</w:t>
            </w:r>
          </w:p>
        </w:tc>
      </w:tr>
      <w:tr>
        <w:tblPrEx>
          <w:tblW w:w="9967" w:type="dxa"/>
          <w:jc w:val="center"/>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项目审批（核准</w:t>
            </w:r>
            <w:r>
              <w:rPr>
                <w:rFonts w:ascii="Times New Roman" w:hAnsi="Times New Roman" w:eastAsiaTheme="minorEastAsia" w:cs="Times New Roman"/>
              </w:rPr>
              <w:t>/</w:t>
            </w:r>
            <w:r>
              <w:rPr>
                <w:rFonts w:ascii="Times New Roman" w:hAnsi="Times New Roman" w:eastAsiaTheme="minorEastAsia" w:cs="Times New Roman"/>
              </w:rPr>
              <w:t>备案）部门（选填）</w:t>
            </w:r>
          </w:p>
        </w:tc>
        <w:tc>
          <w:tcPr>
            <w:tcW w:w="2541" w:type="dxa"/>
            <w:shd w:val="clear" w:color="auto" w:fill="auto"/>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hint="eastAsia"/>
              </w:rPr>
              <w:t>永定区</w:t>
            </w:r>
            <w:r>
              <w:rPr>
                <w:rFonts w:ascii="Times New Roman" w:hAnsi="Times New Roman" w:eastAsiaTheme="minorEastAsia" w:cs="Times New Roman"/>
              </w:rPr>
              <w:t>发展和改革局</w:t>
            </w:r>
            <w:r>
              <w:rPr>
                <w:rFonts w:ascii="Times New Roman" w:hAnsi="Times New Roman" w:eastAsiaTheme="minorEastAsia" w:cs="Times New Roman"/>
              </w:rPr>
              <w:t xml:space="preserve"> </w:t>
            </w:r>
          </w:p>
        </w:tc>
        <w:tc>
          <w:tcPr>
            <w:tcW w:w="2363" w:type="dxa"/>
            <w:shd w:val="clear" w:color="auto" w:fill="auto"/>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项目审批（核准</w:t>
            </w:r>
            <w:r>
              <w:rPr>
                <w:rFonts w:ascii="Times New Roman" w:hAnsi="Times New Roman" w:eastAsiaTheme="minorEastAsia" w:cs="Times New Roman"/>
              </w:rPr>
              <w:t>/</w:t>
            </w:r>
            <w:r>
              <w:rPr>
                <w:rFonts w:ascii="Times New Roman" w:hAnsi="Times New Roman" w:eastAsiaTheme="minorEastAsia" w:cs="Times New Roman"/>
              </w:rPr>
              <w:t>备案）文号（选填）</w:t>
            </w:r>
          </w:p>
        </w:tc>
        <w:tc>
          <w:tcPr>
            <w:tcW w:w="3454" w:type="dxa"/>
            <w:shd w:val="clear" w:color="auto" w:fill="auto"/>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闽发改备</w:t>
            </w:r>
            <w:r>
              <w:rPr>
                <w:rFonts w:ascii="Times New Roman" w:hAnsi="Times New Roman" w:eastAsiaTheme="minorEastAsia" w:cs="Times New Roman"/>
              </w:rPr>
              <w:t>[2021]F030146</w:t>
            </w:r>
            <w:r>
              <w:rPr>
                <w:rFonts w:ascii="Times New Roman" w:hAnsi="Times New Roman" w:eastAsiaTheme="minorEastAsia" w:cs="Times New Roman"/>
              </w:rPr>
              <w:t>号</w:t>
            </w:r>
          </w:p>
        </w:tc>
      </w:tr>
      <w:tr>
        <w:tblPrEx>
          <w:tblW w:w="9967" w:type="dxa"/>
          <w:jc w:val="center"/>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总投资（万元）</w:t>
            </w:r>
          </w:p>
        </w:tc>
        <w:tc>
          <w:tcPr>
            <w:tcW w:w="2541"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hint="eastAsia"/>
              </w:rPr>
              <w:t>200</w:t>
            </w:r>
          </w:p>
        </w:tc>
        <w:tc>
          <w:tcPr>
            <w:tcW w:w="2363"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环保投资（万元）</w:t>
            </w:r>
          </w:p>
        </w:tc>
        <w:tc>
          <w:tcPr>
            <w:tcW w:w="3454"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hint="eastAsia"/>
              </w:rPr>
              <w:t>29</w:t>
            </w:r>
          </w:p>
        </w:tc>
      </w:tr>
      <w:tr>
        <w:tblPrEx>
          <w:tblW w:w="9967" w:type="dxa"/>
          <w:jc w:val="center"/>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环保投资占比（</w:t>
            </w:r>
            <w:r>
              <w:rPr>
                <w:rFonts w:ascii="Times New Roman" w:hAnsi="Times New Roman" w:eastAsiaTheme="minorEastAsia" w:cs="Times New Roman"/>
              </w:rPr>
              <w:t>%</w:t>
            </w:r>
            <w:r>
              <w:rPr>
                <w:rFonts w:ascii="Times New Roman" w:hAnsi="Times New Roman" w:eastAsiaTheme="minorEastAsia" w:cs="Times New Roman"/>
              </w:rPr>
              <w:t>）</w:t>
            </w:r>
          </w:p>
        </w:tc>
        <w:tc>
          <w:tcPr>
            <w:tcW w:w="2541"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hint="eastAsia"/>
              </w:rPr>
              <w:t>14.5</w:t>
            </w:r>
          </w:p>
        </w:tc>
        <w:tc>
          <w:tcPr>
            <w:tcW w:w="2363"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施工工期</w:t>
            </w:r>
          </w:p>
        </w:tc>
        <w:tc>
          <w:tcPr>
            <w:tcW w:w="3454"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hint="eastAsia"/>
              </w:rPr>
              <w:t>12</w:t>
            </w:r>
            <w:r>
              <w:rPr>
                <w:rFonts w:ascii="Times New Roman" w:hAnsi="Times New Roman" w:eastAsiaTheme="minorEastAsia" w:cs="Times New Roman"/>
              </w:rPr>
              <w:t>个月</w:t>
            </w:r>
          </w:p>
        </w:tc>
      </w:tr>
      <w:tr>
        <w:tblPrEx>
          <w:tblW w:w="9967" w:type="dxa"/>
          <w:jc w:val="center"/>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是否开工建设</w:t>
            </w:r>
          </w:p>
        </w:tc>
        <w:tc>
          <w:tcPr>
            <w:tcW w:w="2541"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否</w:t>
            </w:r>
          </w:p>
          <w:p w:rsidR="00997F3B">
            <w:pPr>
              <w:jc w:val="center"/>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是</w:t>
            </w:r>
          </w:p>
        </w:tc>
        <w:tc>
          <w:tcPr>
            <w:tcW w:w="2363"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用地（用海）面积（</w:t>
            </w:r>
            <w:r>
              <w:rPr>
                <w:rFonts w:ascii="Times New Roman" w:hAnsi="Times New Roman" w:eastAsiaTheme="minorEastAsia" w:cs="Times New Roman"/>
              </w:rPr>
              <w:t>m</w:t>
            </w:r>
            <w:r>
              <w:rPr>
                <w:rFonts w:ascii="Times New Roman" w:hAnsi="Times New Roman" w:eastAsiaTheme="minorEastAsia" w:cs="Times New Roman"/>
                <w:vertAlign w:val="superscript"/>
              </w:rPr>
              <w:t>2</w:t>
            </w:r>
            <w:r>
              <w:rPr>
                <w:rFonts w:ascii="Times New Roman" w:hAnsi="Times New Roman" w:eastAsiaTheme="minorEastAsia" w:cs="Times New Roman"/>
              </w:rPr>
              <w:t>）</w:t>
            </w:r>
          </w:p>
        </w:tc>
        <w:tc>
          <w:tcPr>
            <w:tcW w:w="3454"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hint="eastAsia"/>
              </w:rPr>
              <w:t>10000</w:t>
            </w:r>
          </w:p>
        </w:tc>
      </w:tr>
      <w:tr>
        <w:tblPrEx>
          <w:tblW w:w="9967" w:type="dxa"/>
          <w:jc w:val="center"/>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专项评价设置情况</w:t>
            </w:r>
          </w:p>
        </w:tc>
        <w:tc>
          <w:tcPr>
            <w:tcW w:w="8358" w:type="dxa"/>
            <w:gridSpan w:val="3"/>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无</w:t>
            </w:r>
          </w:p>
        </w:tc>
      </w:tr>
      <w:tr>
        <w:tblPrEx>
          <w:tblW w:w="9967" w:type="dxa"/>
          <w:jc w:val="center"/>
          <w:tblLayout w:type="fixed"/>
          <w:tblLook w:val="04A0"/>
        </w:tblPrEx>
        <w:trPr>
          <w:trHeight w:val="90"/>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规划情况</w:t>
            </w:r>
          </w:p>
        </w:tc>
        <w:tc>
          <w:tcPr>
            <w:tcW w:w="8358" w:type="dxa"/>
            <w:gridSpan w:val="3"/>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hint="eastAsia"/>
              </w:rPr>
              <w:t>无</w:t>
            </w:r>
          </w:p>
        </w:tc>
      </w:tr>
    </w:tbl>
    <w:p>
      <w:pPr>
        <w:sectPr>
          <w:footerReference w:type="default" r:id="rId5"/>
          <w:pgSz w:w="11906" w:h="16838"/>
          <w:pgMar w:top="1440" w:right="1800" w:bottom="1440" w:left="1800" w:header="851" w:footer="992" w:gutter="0"/>
          <w:pgNumType w:start="1"/>
          <w:cols w:space="425"/>
          <w:docGrid w:type="lines" w:linePitch="312"/>
        </w:sectPr>
      </w:pPr>
    </w:p>
    <w:tbl>
      <w:tblPr>
        <w:tblStyle w:val="TableGrid1"/>
        <w:tblW w:w="9967"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1609"/>
        <w:gridCol w:w="8358"/>
      </w:tblGrid>
      <w:tr>
        <w:tblPrEx>
          <w:tblW w:w="9967" w:type="dxa"/>
          <w:jc w:val="center"/>
          <w:tblBorders>
            <w:top w:val="single" w:sz="12" w:space="0" w:color="auto"/>
            <w:left w:val="single" w:sz="12" w:space="0" w:color="auto"/>
            <w:bottom w:val="single" w:sz="12" w:space="0" w:color="auto"/>
            <w:right w:val="single" w:sz="12" w:space="0" w:color="auto"/>
          </w:tblBorders>
          <w:tblLayout w:type="fixed"/>
          <w:tblLook w:val="04A0"/>
        </w:tblPrEx>
        <w:trPr>
          <w:trHeight w:val="1012"/>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规划环境影响评价情况</w:t>
            </w:r>
          </w:p>
        </w:tc>
        <w:tc>
          <w:tcPr>
            <w:tcW w:w="8358"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hint="eastAsia"/>
              </w:rPr>
              <w:t>无</w:t>
            </w:r>
          </w:p>
        </w:tc>
      </w:tr>
      <w:tr>
        <w:tblPrEx>
          <w:tblW w:w="9967" w:type="dxa"/>
          <w:jc w:val="center"/>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规划及规划环境影响评价符合性分析</w:t>
            </w:r>
          </w:p>
        </w:tc>
        <w:tc>
          <w:tcPr>
            <w:tcW w:w="8358"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hint="eastAsia"/>
              </w:rPr>
              <w:t>无</w:t>
            </w:r>
          </w:p>
        </w:tc>
      </w:tr>
      <w:tr>
        <w:tblPrEx>
          <w:tblW w:w="9967" w:type="dxa"/>
          <w:jc w:val="center"/>
          <w:tblLayout w:type="fixed"/>
          <w:tblLook w:val="04A0"/>
        </w:tblPrEx>
        <w:trPr>
          <w:jc w:val="center"/>
        </w:trPr>
        <w:tc>
          <w:tcPr>
            <w:tcW w:w="1609"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其他符合性分析</w:t>
            </w:r>
          </w:p>
        </w:tc>
        <w:tc>
          <w:tcPr>
            <w:tcW w:w="8358" w:type="dxa"/>
            <w:vAlign w:val="center"/>
          </w:tcPr>
          <w:p w:rsidR="00997F3B">
            <w:pPr>
              <w:jc w:val="left"/>
              <w:rPr>
                <w:rFonts w:ascii="Times New Roman" w:hAnsi="Times New Roman" w:cs="Times New Roman"/>
                <w:b/>
                <w:bCs/>
              </w:rPr>
            </w:pPr>
            <w:r>
              <w:rPr>
                <w:rFonts w:ascii="Times New Roman" w:hAnsi="Times New Roman" w:cs="Times New Roman"/>
                <w:b/>
                <w:bCs/>
              </w:rPr>
              <w:t>1</w:t>
            </w:r>
            <w:r>
              <w:rPr>
                <w:rFonts w:ascii="Times New Roman" w:hAnsi="Times New Roman" w:cs="Times New Roman"/>
                <w:b/>
                <w:bCs/>
              </w:rPr>
              <w:t>、</w:t>
            </w:r>
            <w:r>
              <w:rPr>
                <w:rFonts w:ascii="Times New Roman" w:hAnsi="Times New Roman" w:cs="Times New Roman"/>
                <w:b/>
                <w:bCs/>
              </w:rPr>
              <w:t>“</w:t>
            </w:r>
            <w:r>
              <w:rPr>
                <w:rFonts w:ascii="Times New Roman" w:hAnsi="Times New Roman" w:cs="Times New Roman"/>
                <w:b/>
                <w:bCs/>
              </w:rPr>
              <w:t>三线一单</w:t>
            </w:r>
            <w:r>
              <w:rPr>
                <w:rFonts w:ascii="Times New Roman" w:hAnsi="Times New Roman" w:cs="Times New Roman"/>
                <w:b/>
                <w:bCs/>
              </w:rPr>
              <w:t>”</w:t>
            </w:r>
            <w:r>
              <w:rPr>
                <w:rFonts w:ascii="Times New Roman" w:hAnsi="Times New Roman" w:cs="Times New Roman"/>
                <w:b/>
                <w:bCs/>
              </w:rPr>
              <w:t>相关情况分析判断</w:t>
            </w:r>
            <w:r>
              <w:rPr>
                <w:rFonts w:ascii="Times New Roman" w:hAnsi="Times New Roman" w:cs="Times New Roman"/>
                <w:b/>
                <w:bCs/>
              </w:rPr>
              <w:t xml:space="preserve"> </w:t>
            </w:r>
          </w:p>
          <w:p w:rsidR="00997F3B">
            <w:pPr>
              <w:ind w:firstLine="480" w:firstLineChars="200"/>
              <w:jc w:val="left"/>
              <w:rPr>
                <w:rFonts w:ascii="Times New Roman" w:hAnsi="Times New Roman" w:cs="Times New Roman"/>
              </w:rPr>
            </w:pPr>
            <w:r>
              <w:rPr>
                <w:rFonts w:ascii="Times New Roman" w:hAnsi="Times New Roman" w:cs="Times New Roman"/>
              </w:rPr>
              <w:t>①</w:t>
            </w:r>
            <w:r>
              <w:rPr>
                <w:rFonts w:ascii="Times New Roman" w:hAnsi="Times New Roman" w:cs="Times New Roman"/>
              </w:rPr>
              <w:t>生态保护红线</w:t>
            </w:r>
          </w:p>
          <w:p w:rsidR="00997F3B">
            <w:pPr>
              <w:widowControl/>
              <w:ind w:firstLine="480" w:firstLineChars="200"/>
              <w:jc w:val="left"/>
            </w:pPr>
            <w:r>
              <w:rPr>
                <w:rFonts w:ascii="宋体" w:hAnsi="宋体" w:cs="宋体" w:hint="eastAsia"/>
                <w:color w:val="000000"/>
                <w:kern w:val="0"/>
                <w:lang w:val="x-none"/>
              </w:rPr>
              <w:t>项目位于</w:t>
            </w:r>
            <w:r>
              <w:rPr>
                <w:rFonts w:ascii="Times New Roman" w:hAnsi="Times New Roman" w:cs="Times New Roman"/>
              </w:rPr>
              <w:t>福建省龙岩市永定区抚市镇溪联村</w:t>
            </w:r>
            <w:r>
              <w:rPr>
                <w:rFonts w:ascii="宋体" w:hAnsi="宋体" w:cs="宋体" w:hint="eastAsia"/>
                <w:kern w:val="0"/>
                <w:lang w:val="x-none"/>
              </w:rPr>
              <w:t>，</w:t>
            </w:r>
            <w:r>
              <w:rPr>
                <w:rFonts w:ascii="宋体" w:hAnsi="宋体" w:cs="宋体" w:hint="eastAsia"/>
                <w:color w:val="000000"/>
                <w:kern w:val="0"/>
                <w:lang w:val="x-none"/>
              </w:rPr>
              <w:t>项目用地及周边无《龙岩市</w:t>
            </w:r>
            <w:r>
              <w:rPr>
                <w:rFonts w:ascii="Times New Roman" w:hAnsi="Times New Roman" w:cs="Times New Roman"/>
                <w:color w:val="000000"/>
                <w:kern w:val="0"/>
                <w:lang w:val="x-none"/>
              </w:rPr>
              <w:t>“</w:t>
            </w:r>
            <w:r>
              <w:rPr>
                <w:rFonts w:ascii="宋体" w:hAnsi="宋体" w:cs="宋体" w:hint="eastAsia"/>
                <w:color w:val="000000"/>
                <w:kern w:val="0"/>
                <w:lang w:val="x-none"/>
              </w:rPr>
              <w:t>三线一单</w:t>
            </w:r>
            <w:r>
              <w:rPr>
                <w:rFonts w:ascii="Times New Roman" w:hAnsi="Times New Roman" w:cs="Times New Roman"/>
                <w:color w:val="000000"/>
                <w:kern w:val="0"/>
                <w:lang w:val="x-none"/>
              </w:rPr>
              <w:t>”</w:t>
            </w:r>
            <w:r>
              <w:rPr>
                <w:rFonts w:ascii="宋体" w:hAnsi="宋体" w:cs="宋体" w:hint="eastAsia"/>
                <w:color w:val="000000"/>
                <w:kern w:val="0"/>
                <w:lang w:val="x-none"/>
              </w:rPr>
              <w:t>生态环境分区管控方案》中规定的需纳入生态保护红线范围的保护区，项目用地不在国家级和省级禁止开发区域内</w:t>
            </w:r>
            <w:r>
              <w:rPr>
                <w:rFonts w:ascii="Times New Roman" w:hAnsi="Times New Roman" w:cs="Times New Roman"/>
                <w:color w:val="000000"/>
                <w:kern w:val="0"/>
                <w:lang w:val="x-none"/>
              </w:rPr>
              <w:t>(</w:t>
            </w:r>
            <w:r>
              <w:rPr>
                <w:rFonts w:ascii="宋体" w:hAnsi="宋体" w:cs="宋体" w:hint="eastAsia"/>
                <w:color w:val="000000"/>
                <w:kern w:val="0"/>
                <w:lang w:val="x-none"/>
              </w:rPr>
              <w:t>国家公园、自然保护区、森林公园的生态保育区和核心景观区、风景名胜区的核心景区、地质公园的地质遗迹保护区、</w:t>
            </w:r>
            <w:r>
              <w:rPr>
                <w:rFonts w:ascii="宋体" w:hAnsi="宋体" w:cs="宋体" w:hint="eastAsia"/>
                <w:color w:val="000000"/>
                <w:kern w:val="0"/>
                <w:lang w:val="x-none"/>
              </w:rPr>
              <w:t xml:space="preserve"> </w:t>
            </w:r>
            <w:r>
              <w:rPr>
                <w:rFonts w:ascii="宋体" w:hAnsi="宋体" w:cs="宋体" w:hint="eastAsia"/>
                <w:color w:val="000000"/>
                <w:kern w:val="0"/>
                <w:lang w:val="x-none"/>
              </w:rPr>
              <w:t>世界自然遗产的核心区和缓冲区、湿地公园的湿地保育区和恢复重建区、饮用水水源地的一级</w:t>
            </w:r>
            <w:r>
              <w:rPr>
                <w:rFonts w:ascii="宋体" w:hAnsi="宋体" w:cs="宋体" w:hint="eastAsia"/>
                <w:color w:val="000000"/>
                <w:kern w:val="0"/>
                <w:lang w:val="x-none"/>
              </w:rPr>
              <w:t xml:space="preserve"> </w:t>
            </w:r>
            <w:r>
              <w:rPr>
                <w:rFonts w:ascii="宋体" w:hAnsi="宋体" w:cs="宋体" w:hint="eastAsia"/>
                <w:color w:val="000000"/>
                <w:kern w:val="0"/>
                <w:lang w:val="x-none"/>
              </w:rPr>
              <w:t>保护区、水产种质资源保护区的核心区等</w:t>
            </w:r>
            <w:r>
              <w:rPr>
                <w:rFonts w:ascii="Times New Roman" w:hAnsi="Times New Roman" w:cs="Times New Roman"/>
                <w:color w:val="000000"/>
                <w:kern w:val="0"/>
                <w:lang w:val="x-none"/>
              </w:rPr>
              <w:t>)</w:t>
            </w:r>
            <w:r>
              <w:rPr>
                <w:rFonts w:ascii="宋体" w:hAnsi="宋体" w:cs="宋体" w:hint="eastAsia"/>
                <w:color w:val="000000"/>
                <w:kern w:val="0"/>
                <w:lang w:val="x-none"/>
              </w:rPr>
              <w:t>，不涉及生态保护红线。</w:t>
            </w:r>
            <w:r>
              <w:rPr>
                <w:rFonts w:ascii="宋体" w:hAnsi="宋体" w:cs="宋体" w:hint="eastAsia"/>
                <w:color w:val="000000"/>
                <w:kern w:val="0"/>
                <w:lang w:val="x-none"/>
              </w:rPr>
              <w:t xml:space="preserve"> </w:t>
            </w:r>
          </w:p>
          <w:p w:rsidR="00997F3B">
            <w:pPr>
              <w:widowControl/>
              <w:ind w:firstLine="480" w:firstLineChars="200"/>
              <w:jc w:val="left"/>
            </w:pPr>
            <w:r>
              <w:rPr>
                <w:rFonts w:ascii="宋体" w:hAnsi="宋体" w:cs="宋体" w:hint="eastAsia"/>
                <w:color w:val="000000"/>
                <w:kern w:val="0"/>
                <w:lang w:val="x-none"/>
              </w:rPr>
              <w:t>本项目建设符合龙岩市生态保护红线要求。</w:t>
            </w:r>
          </w:p>
          <w:p w:rsidR="00997F3B">
            <w:pPr>
              <w:ind w:firstLine="480" w:firstLineChars="200"/>
              <w:jc w:val="left"/>
              <w:rPr>
                <w:rFonts w:ascii="Times New Roman" w:hAnsi="Times New Roman" w:cs="Times New Roman"/>
              </w:rPr>
            </w:pPr>
            <w:r>
              <w:rPr>
                <w:rFonts w:ascii="Times New Roman" w:hAnsi="Times New Roman" w:cs="Times New Roman"/>
              </w:rPr>
              <w:t>②</w:t>
            </w:r>
            <w:r>
              <w:rPr>
                <w:rFonts w:ascii="Times New Roman" w:hAnsi="Times New Roman" w:cs="Times New Roman"/>
              </w:rPr>
              <w:t>环境质量底线</w:t>
            </w:r>
          </w:p>
          <w:p w:rsidR="00997F3B">
            <w:pPr>
              <w:ind w:firstLine="480" w:firstLineChars="200"/>
              <w:jc w:val="left"/>
              <w:rPr>
                <w:rFonts w:ascii="Times New Roman" w:hAnsi="Times New Roman" w:cs="Times New Roman"/>
              </w:rPr>
            </w:pPr>
            <w:r>
              <w:rPr>
                <w:rFonts w:ascii="Times New Roman" w:hAnsi="Times New Roman" w:cs="Times New Roman"/>
              </w:rPr>
              <w:t>项目所在区域的环境质量底线为：环境空气质量目标为《环境空气质量标准》（</w:t>
            </w:r>
            <w:r>
              <w:rPr>
                <w:rFonts w:ascii="Times New Roman" w:hAnsi="Times New Roman" w:cs="Times New Roman"/>
              </w:rPr>
              <w:t>GB3095-2012</w:t>
            </w:r>
            <w:r>
              <w:rPr>
                <w:rFonts w:ascii="Times New Roman" w:hAnsi="Times New Roman" w:cs="Times New Roman"/>
              </w:rPr>
              <w:t>）二级标准；</w:t>
            </w:r>
            <w:r>
              <w:rPr>
                <w:rFonts w:ascii="宋体" w:hAnsi="宋体" w:cs="宋体"/>
              </w:rPr>
              <w:t>抚市溪支流基安溪水环境质量达到《地表水环境质量标准》（</w:t>
            </w:r>
            <w:r>
              <w:rPr>
                <w:rFonts w:ascii="宋体" w:hAnsi="宋体" w:cs="宋体"/>
              </w:rPr>
              <w:t>GB3838-2002</w:t>
            </w:r>
            <w:r>
              <w:rPr>
                <w:rFonts w:ascii="宋体" w:hAnsi="宋体" w:cs="宋体"/>
              </w:rPr>
              <w:t>）</w:t>
            </w:r>
            <w:r>
              <w:rPr>
                <w:rFonts w:ascii="宋体" w:hAnsi="宋体" w:cs="宋体"/>
              </w:rPr>
              <w:t>Ⅲ</w:t>
            </w:r>
            <w:r>
              <w:rPr>
                <w:rFonts w:ascii="宋体" w:hAnsi="宋体" w:cs="宋体"/>
              </w:rPr>
              <w:t>类标准；</w:t>
            </w:r>
            <w:r>
              <w:rPr>
                <w:rFonts w:ascii="Times New Roman" w:hAnsi="Times New Roman" w:cs="Times New Roman"/>
              </w:rPr>
              <w:t>声环境质量目标为《声环境质量标准》（</w:t>
            </w:r>
            <w:r>
              <w:rPr>
                <w:rFonts w:ascii="Times New Roman" w:hAnsi="Times New Roman" w:cs="Times New Roman"/>
              </w:rPr>
              <w:t>GB3096-2008</w:t>
            </w:r>
            <w:r>
              <w:rPr>
                <w:rFonts w:ascii="Times New Roman" w:hAnsi="Times New Roman" w:cs="Times New Roman"/>
              </w:rPr>
              <w:t>）</w:t>
            </w:r>
            <w:r>
              <w:rPr>
                <w:rFonts w:ascii="Times New Roman" w:hAnsi="Times New Roman" w:cs="Times New Roman" w:hint="eastAsia"/>
              </w:rPr>
              <w:t>2</w:t>
            </w:r>
            <w:r>
              <w:rPr>
                <w:rFonts w:ascii="Times New Roman" w:hAnsi="Times New Roman" w:cs="Times New Roman"/>
              </w:rPr>
              <w:t>类标准。</w:t>
            </w:r>
          </w:p>
          <w:p w:rsidR="00997F3B">
            <w:pPr>
              <w:ind w:firstLine="480" w:firstLineChars="200"/>
            </w:pPr>
            <w:r>
              <w:t>项目</w:t>
            </w:r>
            <w:r>
              <w:rPr>
                <w:rFonts w:hint="eastAsia"/>
              </w:rPr>
              <w:t>无生产废水产生</w:t>
            </w:r>
            <w:r>
              <w:t>；废气采取相关环保措施后均可达标排放；固废均可做到合理有效处置，不外排。采取本环评提出的各项污染防治措施后，可确保污染物达标排放，项目排放的污染物不会对区域环境质量底线造成冲击。</w:t>
            </w:r>
          </w:p>
          <w:p w:rsidR="00997F3B">
            <w:pPr>
              <w:ind w:firstLine="480" w:firstLineChars="200"/>
              <w:jc w:val="left"/>
              <w:rPr>
                <w:rFonts w:ascii="Times New Roman" w:hAnsi="Times New Roman" w:cs="Times New Roman"/>
              </w:rPr>
            </w:pPr>
            <w:r>
              <w:rPr>
                <w:rFonts w:ascii="Times New Roman" w:hAnsi="Times New Roman" w:cs="Times New Roman"/>
              </w:rPr>
              <w:t>③</w:t>
            </w:r>
            <w:r>
              <w:rPr>
                <w:rFonts w:ascii="Times New Roman" w:hAnsi="Times New Roman" w:cs="Times New Roman"/>
              </w:rPr>
              <w:t>资源利用上线</w:t>
            </w:r>
          </w:p>
          <w:p w:rsidR="00997F3B">
            <w:pPr>
              <w:ind w:firstLine="480" w:firstLineChars="200"/>
              <w:jc w:val="left"/>
              <w:rPr>
                <w:rFonts w:ascii="Times New Roman" w:hAnsi="Times New Roman" w:cs="Times New Roman"/>
              </w:rPr>
            </w:pPr>
            <w:r>
              <w:rPr>
                <w:rFonts w:ascii="Times New Roman" w:hAnsi="Times New Roman" w:cs="Times New Roman"/>
              </w:rPr>
              <w:t>项目运营过程中会消耗的资源主要为水</w:t>
            </w:r>
            <w:r>
              <w:rPr>
                <w:rFonts w:ascii="Times New Roman" w:hAnsi="Times New Roman" w:cs="Times New Roman"/>
              </w:rPr>
              <w:t>、电，不属于高耗能和资源消耗型企业。且通过内部管理、设备和工艺选择、污染治理等多方面采取合理可行的防治措施，以</w:t>
            </w:r>
            <w:r>
              <w:rPr>
                <w:rFonts w:ascii="Times New Roman" w:hAnsi="Times New Roman" w:cs="Times New Roman"/>
              </w:rPr>
              <w:t>“</w:t>
            </w:r>
            <w:r>
              <w:rPr>
                <w:rFonts w:ascii="Times New Roman" w:hAnsi="Times New Roman" w:cs="Times New Roman"/>
              </w:rPr>
              <w:t>节能、降耗、减污</w:t>
            </w:r>
            <w:r>
              <w:rPr>
                <w:rFonts w:ascii="Times New Roman" w:hAnsi="Times New Roman" w:cs="Times New Roman"/>
              </w:rPr>
              <w:t>”</w:t>
            </w:r>
            <w:r>
              <w:rPr>
                <w:rFonts w:ascii="Times New Roman" w:hAnsi="Times New Roman" w:cs="Times New Roman"/>
              </w:rPr>
              <w:t>为目标，有效的控制污染及资源利用水平。</w:t>
            </w:r>
            <w:r>
              <w:rPr>
                <w:rFonts w:ascii="Times New Roman" w:hAnsi="Times New Roman" w:cs="Times New Roman"/>
              </w:rPr>
              <w:t>项目的水、电资源利用不会突破区域的资源利用上限。</w:t>
            </w:r>
            <w:r>
              <w:rPr>
                <w:rFonts w:ascii="Times New Roman" w:hAnsi="Times New Roman" w:cs="Times New Roman"/>
              </w:rPr>
              <w:t xml:space="preserve">  </w:t>
            </w:r>
          </w:p>
        </w:tc>
      </w:tr>
    </w:tbl>
    <w:p>
      <w:pPr>
        <w:sectPr>
          <w:footerReference w:type="default" r:id="rId6"/>
          <w:type w:val="nextPage"/>
          <w:pgSz w:w="11906" w:h="16838"/>
          <w:pgMar w:top="1440" w:right="1800" w:bottom="1440" w:left="1800" w:header="851" w:footer="992" w:gutter="0"/>
          <w:pgNumType w:start="2"/>
          <w:cols w:space="425"/>
          <w:titlePg w:val="0"/>
          <w:docGrid w:type="lines" w:linePitch="312"/>
        </w:sectPr>
      </w:pPr>
    </w:p>
    <w:tbl>
      <w:tblPr>
        <w:tblStyle w:val="TableGrid2"/>
        <w:tblW w:w="9967"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1609"/>
        <w:gridCol w:w="8358"/>
      </w:tblGrid>
      <w:tr>
        <w:tblPrEx>
          <w:tblW w:w="9967" w:type="dxa"/>
          <w:jc w:val="center"/>
          <w:tblBorders>
            <w:top w:val="single" w:sz="12" w:space="0" w:color="auto"/>
            <w:left w:val="single" w:sz="12" w:space="0" w:color="auto"/>
            <w:bottom w:val="single" w:sz="12" w:space="0" w:color="auto"/>
            <w:right w:val="single" w:sz="12" w:space="0" w:color="auto"/>
          </w:tblBorders>
          <w:tblLayout w:type="fixed"/>
          <w:tblLook w:val="04A0"/>
        </w:tblPrEx>
        <w:trPr>
          <w:jc w:val="center"/>
        </w:trPr>
        <w:tc>
          <w:tcPr>
            <w:tcW w:w="1609" w:type="dxa"/>
            <w:vAlign w:val="center"/>
          </w:tcPr>
          <w:p/>
        </w:tc>
        <w:tc>
          <w:tcPr>
            <w:tcW w:w="8358" w:type="dxa"/>
            <w:vAlign w:val="center"/>
          </w:tcPr>
          <w:p w:rsidR="00997F3B">
            <w:pPr>
              <w:ind w:firstLine="480" w:firstLineChars="200"/>
              <w:jc w:val="left"/>
              <w:rPr>
                <w:rFonts w:ascii="Times New Roman" w:hAnsi="Times New Roman" w:cs="Times New Roman"/>
              </w:rPr>
            </w:pPr>
            <w:r>
              <w:rPr>
                <w:rFonts w:ascii="Times New Roman" w:hAnsi="Times New Roman" w:cs="Times New Roman"/>
              </w:rPr>
              <w:fldChar w:fldCharType="begin"/>
            </w:r>
            <w:r w:rsidR="00712A1B">
              <w:rPr>
                <w:rFonts w:ascii="Times New Roman" w:hAnsi="Times New Roman" w:cs="Times New Roman"/>
              </w:rPr>
              <w:instrText xml:space="preserve"> = 4 \* GB3 \* MERGEFORMAT </w:instrText>
            </w:r>
            <w:r>
              <w:rPr>
                <w:rFonts w:ascii="Times New Roman" w:hAnsi="Times New Roman" w:cs="Times New Roman"/>
              </w:rPr>
              <w:fldChar w:fldCharType="separate"/>
            </w:r>
            <w:r w:rsidR="00712A1B">
              <w:rPr>
                <w:rFonts w:ascii="Times New Roman" w:hAnsi="Times New Roman" w:cs="Times New Roman"/>
              </w:rPr>
              <w:t>④</w:t>
            </w:r>
            <w:r>
              <w:rPr>
                <w:rFonts w:ascii="Times New Roman" w:hAnsi="Times New Roman" w:cs="Times New Roman"/>
              </w:rPr>
              <w:fldChar w:fldCharType="end"/>
            </w:r>
            <w:r w:rsidR="00712A1B">
              <w:rPr>
                <w:rFonts w:ascii="Times New Roman" w:hAnsi="Times New Roman" w:cs="Times New Roman"/>
              </w:rPr>
              <w:t>环境准入负面清单</w:t>
            </w:r>
          </w:p>
          <w:p w:rsidR="00997F3B">
            <w:pPr>
              <w:widowControl/>
              <w:ind w:firstLine="480" w:firstLineChars="200"/>
              <w:jc w:val="left"/>
            </w:pPr>
            <w:r>
              <w:rPr>
                <w:rFonts w:ascii="宋体" w:hAnsi="宋体" w:cs="宋体" w:hint="eastAsia"/>
                <w:color w:val="000000"/>
                <w:kern w:val="0"/>
                <w:lang w:val="x-none"/>
              </w:rPr>
              <w:t>本次环评对《国家发展改革委商务部关于印发</w:t>
            </w:r>
            <w:r>
              <w:rPr>
                <w:rFonts w:ascii="Times New Roman" w:hAnsi="Times New Roman" w:cs="Times New Roman"/>
                <w:color w:val="000000"/>
                <w:kern w:val="0"/>
                <w:lang w:val="x-none"/>
              </w:rPr>
              <w:t>&lt;</w:t>
            </w:r>
            <w:r>
              <w:rPr>
                <w:rFonts w:ascii="宋体" w:hAnsi="宋体" w:cs="宋体" w:hint="eastAsia"/>
                <w:color w:val="000000"/>
                <w:kern w:val="0"/>
                <w:lang w:val="x-none"/>
              </w:rPr>
              <w:t>市场准入负面清单（</w:t>
            </w:r>
            <w:r>
              <w:rPr>
                <w:rFonts w:ascii="Times New Roman" w:hAnsi="Times New Roman" w:cs="Times New Roman"/>
                <w:color w:val="000000"/>
                <w:kern w:val="0"/>
                <w:lang w:val="x-none"/>
              </w:rPr>
              <w:t xml:space="preserve">2020 </w:t>
            </w:r>
            <w:r>
              <w:rPr>
                <w:rFonts w:ascii="宋体" w:hAnsi="宋体" w:cs="宋体" w:hint="eastAsia"/>
                <w:color w:val="000000"/>
                <w:kern w:val="0"/>
                <w:lang w:val="x-none"/>
              </w:rPr>
              <w:t>年版）</w:t>
            </w:r>
            <w:r>
              <w:rPr>
                <w:rFonts w:ascii="Times New Roman" w:hAnsi="Times New Roman" w:cs="Times New Roman"/>
                <w:color w:val="000000"/>
                <w:kern w:val="0"/>
                <w:lang w:val="x-none"/>
              </w:rPr>
              <w:t>&gt;</w:t>
            </w:r>
            <w:r>
              <w:rPr>
                <w:rFonts w:ascii="宋体" w:hAnsi="宋体" w:cs="宋体" w:hint="eastAsia"/>
                <w:color w:val="000000"/>
                <w:kern w:val="0"/>
                <w:lang w:val="x-none"/>
              </w:rPr>
              <w:t>的通知》（发改体改规</w:t>
            </w:r>
            <w:r>
              <w:rPr>
                <w:rFonts w:ascii="Times New Roman" w:hAnsi="Times New Roman" w:cs="Times New Roman"/>
                <w:color w:val="000000"/>
                <w:kern w:val="0"/>
                <w:lang w:val="x-none"/>
              </w:rPr>
              <w:t xml:space="preserve">[2020]1880 </w:t>
            </w:r>
            <w:r>
              <w:rPr>
                <w:rFonts w:ascii="宋体" w:hAnsi="宋体" w:cs="宋体" w:hint="eastAsia"/>
                <w:color w:val="000000"/>
                <w:kern w:val="0"/>
                <w:lang w:val="x-none"/>
              </w:rPr>
              <w:t>号）以及与项目所在地规划的符合性分析进行说明。</w:t>
            </w:r>
            <w:r>
              <w:rPr>
                <w:rFonts w:ascii="宋体" w:hAnsi="宋体" w:cs="宋体" w:hint="eastAsia"/>
                <w:color w:val="000000"/>
                <w:kern w:val="0"/>
                <w:lang w:val="x-none"/>
              </w:rPr>
              <w:t xml:space="preserve"> </w:t>
            </w:r>
          </w:p>
          <w:p w:rsidR="00997F3B">
            <w:pPr>
              <w:widowControl/>
              <w:ind w:firstLine="480" w:firstLineChars="200"/>
              <w:jc w:val="left"/>
            </w:pPr>
            <w:r>
              <w:rPr>
                <w:rFonts w:ascii="宋体" w:hAnsi="宋体" w:cs="宋体" w:hint="eastAsia"/>
                <w:color w:val="000000"/>
                <w:kern w:val="0"/>
                <w:lang w:val="x-none"/>
              </w:rPr>
              <w:t>Ⅰ、产业政策符合性分析：对照国家发展和改</w:t>
            </w:r>
            <w:r>
              <w:rPr>
                <w:rFonts w:ascii="宋体" w:hAnsi="宋体" w:cs="宋体" w:hint="eastAsia"/>
                <w:color w:val="000000"/>
                <w:kern w:val="0"/>
                <w:lang w:val="x-none"/>
              </w:rPr>
              <w:t>革委员</w:t>
            </w:r>
            <w:r>
              <w:rPr>
                <w:rFonts w:ascii="宋体" w:hAnsi="宋体" w:cs="宋体" w:hint="eastAsia"/>
                <w:color w:val="000000"/>
                <w:kern w:val="0"/>
                <w:lang w:val="x-none"/>
              </w:rPr>
              <w:t xml:space="preserve"> </w:t>
            </w:r>
            <w:r>
              <w:rPr>
                <w:rFonts w:ascii="宋体" w:hAnsi="宋体" w:cs="宋体" w:hint="eastAsia"/>
                <w:color w:val="000000"/>
                <w:kern w:val="0"/>
                <w:lang w:val="x-none"/>
              </w:rPr>
              <w:t>会颁布的《产业结构调整指导目录（</w:t>
            </w:r>
            <w:r>
              <w:rPr>
                <w:rFonts w:ascii="Times New Roman" w:hAnsi="Times New Roman" w:cs="Times New Roman"/>
                <w:color w:val="000000"/>
                <w:kern w:val="0"/>
                <w:lang w:val="x-none"/>
              </w:rPr>
              <w:t xml:space="preserve">2019 </w:t>
            </w:r>
            <w:r>
              <w:rPr>
                <w:rFonts w:ascii="宋体" w:hAnsi="宋体" w:cs="宋体" w:hint="eastAsia"/>
                <w:color w:val="000000"/>
                <w:kern w:val="0"/>
                <w:lang w:val="x-none"/>
              </w:rPr>
              <w:t>年本）》，本项目</w:t>
            </w:r>
            <w:r>
              <w:rPr>
                <w:rFonts w:ascii="宋体" w:hAnsi="宋体" w:cs="宋体" w:hint="eastAsia"/>
                <w:color w:val="000000"/>
                <w:kern w:val="0"/>
                <w:lang w:val="x-none"/>
              </w:rPr>
              <w:t xml:space="preserve"> </w:t>
            </w:r>
            <w:r>
              <w:rPr>
                <w:rFonts w:ascii="宋体" w:hAnsi="宋体" w:cs="宋体" w:hint="eastAsia"/>
                <w:color w:val="000000"/>
                <w:kern w:val="0"/>
                <w:lang w:val="x-none"/>
              </w:rPr>
              <w:t>不在限制类、淘汰类所列内容范围之内，属于鼓励类。</w:t>
            </w:r>
            <w:r>
              <w:rPr>
                <w:rFonts w:ascii="宋体" w:hAnsi="宋体" w:cs="宋体" w:hint="eastAsia"/>
                <w:color w:val="000000"/>
                <w:kern w:val="0"/>
                <w:lang w:val="x-none"/>
              </w:rPr>
              <w:t xml:space="preserve"> </w:t>
            </w:r>
            <w:r>
              <w:rPr>
                <w:rFonts w:ascii="Times New Roman" w:hAnsi="Times New Roman" w:cs="Times New Roman"/>
                <w:color w:val="000000"/>
                <w:kern w:val="0"/>
                <w:lang w:val="x-none"/>
              </w:rPr>
              <w:t xml:space="preserve">2021 </w:t>
            </w:r>
            <w:r>
              <w:rPr>
                <w:rFonts w:ascii="宋体" w:hAnsi="宋体" w:cs="宋体" w:hint="eastAsia"/>
                <w:color w:val="000000"/>
                <w:kern w:val="0"/>
                <w:lang w:val="x-none"/>
              </w:rPr>
              <w:t>年</w:t>
            </w:r>
            <w:r>
              <w:rPr>
                <w:rFonts w:ascii="宋体" w:hAnsi="宋体" w:cs="宋体" w:hint="eastAsia"/>
                <w:color w:val="000000"/>
                <w:kern w:val="0"/>
                <w:lang w:val="x-none"/>
              </w:rPr>
              <w:t>9</w:t>
            </w:r>
            <w:r>
              <w:rPr>
                <w:rFonts w:ascii="Times New Roman" w:hAnsi="Times New Roman" w:cs="Times New Roman"/>
                <w:color w:val="000000"/>
                <w:kern w:val="0"/>
                <w:lang w:val="x-none"/>
              </w:rPr>
              <w:t xml:space="preserve"> </w:t>
            </w:r>
            <w:r>
              <w:rPr>
                <w:rFonts w:ascii="宋体" w:hAnsi="宋体" w:cs="宋体" w:hint="eastAsia"/>
                <w:color w:val="000000"/>
                <w:kern w:val="0"/>
                <w:lang w:val="x-none"/>
              </w:rPr>
              <w:t>月</w:t>
            </w:r>
            <w:r>
              <w:rPr>
                <w:rFonts w:ascii="宋体" w:hAnsi="宋体" w:cs="宋体" w:hint="eastAsia"/>
                <w:color w:val="000000"/>
                <w:kern w:val="0"/>
                <w:lang w:val="x-none"/>
              </w:rPr>
              <w:t>23</w:t>
            </w:r>
            <w:r>
              <w:rPr>
                <w:rFonts w:ascii="宋体" w:hAnsi="宋体" w:cs="宋体" w:hint="eastAsia"/>
                <w:color w:val="000000"/>
                <w:kern w:val="0"/>
                <w:lang w:val="x-none"/>
              </w:rPr>
              <w:t>日取得永定区发展和改革局出具的福建省企业投资项目备案表，编号为闽发改备</w:t>
            </w:r>
            <w:r>
              <w:rPr>
                <w:rFonts w:ascii="宋体" w:hAnsi="宋体" w:cs="宋体" w:hint="eastAsia"/>
                <w:color w:val="000000"/>
                <w:kern w:val="0"/>
                <w:lang w:val="x-none"/>
              </w:rPr>
              <w:t>[2021]F030146</w:t>
            </w:r>
            <w:r>
              <w:rPr>
                <w:rFonts w:ascii="宋体" w:hAnsi="宋体" w:cs="宋体" w:hint="eastAsia"/>
                <w:color w:val="000000"/>
                <w:kern w:val="0"/>
                <w:lang w:val="x-none"/>
              </w:rPr>
              <w:t>号。因此，项目的建设符合国家和福建省的产业政策。</w:t>
            </w:r>
            <w:r>
              <w:rPr>
                <w:rFonts w:ascii="宋体" w:hAnsi="宋体" w:cs="宋体" w:hint="eastAsia"/>
                <w:color w:val="000000"/>
                <w:kern w:val="0"/>
                <w:lang w:val="x-none"/>
              </w:rPr>
              <w:t xml:space="preserve"> </w:t>
            </w:r>
          </w:p>
          <w:p w:rsidR="00997F3B">
            <w:pPr>
              <w:widowControl/>
              <w:ind w:firstLine="480" w:firstLineChars="200"/>
              <w:jc w:val="left"/>
            </w:pPr>
            <w:r>
              <w:rPr>
                <w:rFonts w:ascii="宋体" w:hAnsi="宋体" w:cs="宋体" w:hint="eastAsia"/>
                <w:color w:val="000000"/>
                <w:kern w:val="0"/>
                <w:lang w:val="x-none"/>
              </w:rPr>
              <w:t>Ⅱ、与《市场准入负面清单（</w:t>
            </w:r>
            <w:r>
              <w:rPr>
                <w:rFonts w:ascii="Times New Roman" w:hAnsi="Times New Roman" w:cs="Times New Roman"/>
                <w:color w:val="000000"/>
                <w:kern w:val="0"/>
                <w:lang w:val="x-none"/>
              </w:rPr>
              <w:t xml:space="preserve">2020 </w:t>
            </w:r>
            <w:r>
              <w:rPr>
                <w:rFonts w:ascii="宋体" w:hAnsi="宋体" w:cs="宋体" w:hint="eastAsia"/>
                <w:color w:val="000000"/>
                <w:kern w:val="0"/>
                <w:lang w:val="x-none"/>
              </w:rPr>
              <w:t>年版）》（发改体改规﹝</w:t>
            </w:r>
            <w:r>
              <w:rPr>
                <w:rFonts w:ascii="Times New Roman" w:hAnsi="Times New Roman" w:cs="Times New Roman"/>
                <w:color w:val="000000"/>
                <w:kern w:val="0"/>
                <w:lang w:val="x-none"/>
              </w:rPr>
              <w:t>2020</w:t>
            </w:r>
            <w:r>
              <w:rPr>
                <w:rFonts w:ascii="宋体" w:hAnsi="宋体" w:cs="宋体" w:hint="eastAsia"/>
                <w:color w:val="000000"/>
                <w:kern w:val="0"/>
                <w:lang w:val="x-none"/>
              </w:rPr>
              <w:t>﹞</w:t>
            </w:r>
            <w:r>
              <w:rPr>
                <w:rFonts w:ascii="宋体" w:hAnsi="宋体" w:cs="宋体" w:hint="eastAsia"/>
                <w:color w:val="000000"/>
                <w:kern w:val="0"/>
                <w:lang w:val="x-none"/>
              </w:rPr>
              <w:t xml:space="preserve"> </w:t>
            </w:r>
            <w:r>
              <w:rPr>
                <w:rFonts w:ascii="Times New Roman" w:hAnsi="Times New Roman" w:cs="Times New Roman"/>
                <w:color w:val="000000"/>
                <w:kern w:val="0"/>
                <w:lang w:val="x-none"/>
              </w:rPr>
              <w:t xml:space="preserve">1880 </w:t>
            </w:r>
            <w:r>
              <w:rPr>
                <w:rFonts w:ascii="宋体" w:hAnsi="宋体" w:cs="宋体" w:hint="eastAsia"/>
                <w:color w:val="000000"/>
                <w:kern w:val="0"/>
                <w:lang w:val="x-none"/>
              </w:rPr>
              <w:t>号）相符性分析：经检索《市场准入负面清单（</w:t>
            </w:r>
            <w:r>
              <w:rPr>
                <w:rFonts w:ascii="Times New Roman" w:hAnsi="Times New Roman" w:cs="Times New Roman"/>
                <w:color w:val="000000"/>
                <w:kern w:val="0"/>
                <w:lang w:val="x-none"/>
              </w:rPr>
              <w:t>2020</w:t>
            </w:r>
            <w:r>
              <w:rPr>
                <w:rFonts w:ascii="宋体" w:hAnsi="宋体" w:cs="宋体" w:hint="eastAsia"/>
                <w:color w:val="000000"/>
                <w:kern w:val="0"/>
                <w:lang w:val="x-none"/>
              </w:rPr>
              <w:t>年版）</w:t>
            </w:r>
            <w:r>
              <w:rPr>
                <w:rFonts w:ascii="宋体" w:hAnsi="宋体" w:cs="宋体" w:hint="eastAsia"/>
                <w:color w:val="000000"/>
                <w:kern w:val="0"/>
                <w:lang w:val="x-none"/>
              </w:rPr>
              <w:t xml:space="preserve"> </w:t>
            </w:r>
            <w:r>
              <w:rPr>
                <w:rFonts w:ascii="宋体" w:hAnsi="宋体" w:cs="宋体" w:hint="eastAsia"/>
                <w:color w:val="000000"/>
                <w:kern w:val="0"/>
                <w:lang w:val="x-none"/>
              </w:rPr>
              <w:t>》（发改体改规</w:t>
            </w:r>
            <w:r>
              <w:rPr>
                <w:rFonts w:ascii="Times New Roman" w:hAnsi="Times New Roman" w:cs="Times New Roman"/>
                <w:color w:val="000000"/>
                <w:kern w:val="0"/>
                <w:lang w:val="x-none"/>
              </w:rPr>
              <w:t xml:space="preserve">[ 2020]1880 </w:t>
            </w:r>
            <w:r>
              <w:rPr>
                <w:rFonts w:ascii="宋体" w:hAnsi="宋体" w:cs="宋体" w:hint="eastAsia"/>
                <w:color w:val="000000"/>
                <w:kern w:val="0"/>
                <w:lang w:val="x-none"/>
              </w:rPr>
              <w:t>号），本项目不在其禁止准入类中，因此本项目符合《市场准入负面清单（</w:t>
            </w:r>
            <w:r>
              <w:rPr>
                <w:rFonts w:ascii="Times New Roman" w:hAnsi="Times New Roman" w:cs="Times New Roman"/>
                <w:color w:val="000000"/>
                <w:kern w:val="0"/>
                <w:lang w:val="x-none"/>
              </w:rPr>
              <w:t xml:space="preserve">2020 </w:t>
            </w:r>
            <w:r>
              <w:rPr>
                <w:rFonts w:ascii="宋体" w:hAnsi="宋体" w:cs="宋体" w:hint="eastAsia"/>
                <w:color w:val="000000"/>
                <w:kern w:val="0"/>
                <w:lang w:val="x-none"/>
              </w:rPr>
              <w:t>年版）》（发改体改规</w:t>
            </w:r>
            <w:r>
              <w:rPr>
                <w:rFonts w:ascii="Times New Roman" w:hAnsi="Times New Roman" w:cs="Times New Roman"/>
                <w:color w:val="000000"/>
                <w:kern w:val="0"/>
                <w:lang w:val="x-none"/>
              </w:rPr>
              <w:t xml:space="preserve">[2020]1880 </w:t>
            </w:r>
            <w:r>
              <w:rPr>
                <w:rFonts w:ascii="宋体" w:hAnsi="宋体" w:cs="宋体" w:hint="eastAsia"/>
                <w:color w:val="000000"/>
                <w:kern w:val="0"/>
                <w:lang w:val="x-none"/>
              </w:rPr>
              <w:t>号）要求。</w:t>
            </w:r>
            <w:r>
              <w:rPr>
                <w:rFonts w:ascii="宋体" w:hAnsi="宋体" w:cs="宋体" w:hint="eastAsia"/>
                <w:color w:val="000000"/>
                <w:kern w:val="0"/>
                <w:lang w:val="x-none"/>
              </w:rPr>
              <w:t xml:space="preserve"> </w:t>
            </w:r>
          </w:p>
          <w:p w:rsidR="00997F3B">
            <w:pPr>
              <w:widowControl/>
              <w:ind w:firstLine="480" w:firstLineChars="200"/>
              <w:jc w:val="left"/>
              <w:rPr>
                <w:rFonts w:ascii="宋体" w:hAnsi="宋体" w:cs="宋体"/>
                <w:color w:val="000000"/>
                <w:kern w:val="0"/>
                <w:lang w:val="x-none"/>
              </w:rPr>
            </w:pPr>
            <w:r>
              <w:rPr>
                <w:rFonts w:ascii="宋体" w:hAnsi="宋体" w:cs="宋体" w:hint="eastAsia"/>
                <w:color w:val="000000"/>
                <w:kern w:val="0"/>
                <w:lang w:val="x-none"/>
              </w:rPr>
              <w:t>对比龙岩市“三线一单”生态环境分区管控方案，本项目符合龙岩</w:t>
            </w:r>
            <w:r>
              <w:rPr>
                <w:rFonts w:ascii="宋体" w:hAnsi="宋体" w:cs="宋体" w:hint="eastAsia"/>
                <w:color w:val="000000"/>
                <w:kern w:val="0"/>
                <w:lang w:val="x-none"/>
              </w:rPr>
              <w:t xml:space="preserve"> </w:t>
            </w:r>
            <w:r>
              <w:rPr>
                <w:rFonts w:ascii="宋体" w:hAnsi="宋体" w:cs="宋体" w:hint="eastAsia"/>
                <w:color w:val="000000"/>
                <w:kern w:val="0"/>
                <w:lang w:val="x-none"/>
              </w:rPr>
              <w:t>市生态环境总体准入要求，具体见下表：</w:t>
            </w:r>
          </w:p>
          <w:p w:rsidR="00997F3B">
            <w:pPr>
              <w:pStyle w:val="Heading1"/>
              <w:jc w:val="center"/>
              <w:outlineLvl w:val="0"/>
              <w:rPr>
                <w:lang w:eastAsia="zh-CN"/>
              </w:rPr>
            </w:pPr>
            <w:r>
              <w:rPr>
                <w:rFonts w:cs="宋体" w:hint="eastAsia"/>
                <w:color w:val="000000"/>
                <w:kern w:val="0"/>
                <w:sz w:val="24"/>
                <w:szCs w:val="24"/>
                <w:lang w:eastAsia="zh-CN"/>
              </w:rPr>
              <w:t>表</w:t>
            </w:r>
            <w:r>
              <w:rPr>
                <w:rFonts w:cs="宋体" w:hint="eastAsia"/>
                <w:color w:val="000000"/>
                <w:kern w:val="0"/>
                <w:sz w:val="24"/>
                <w:szCs w:val="24"/>
                <w:lang w:eastAsia="zh-CN"/>
              </w:rPr>
              <w:t xml:space="preserve">1-1 </w:t>
            </w:r>
            <w:r>
              <w:rPr>
                <w:rFonts w:cs="宋体" w:hint="eastAsia"/>
                <w:color w:val="000000"/>
                <w:kern w:val="0"/>
                <w:sz w:val="24"/>
                <w:szCs w:val="24"/>
                <w:lang w:eastAsia="zh-CN"/>
              </w:rPr>
              <w:t>与《龙岩市生态环境总体准入要求》符合性分析</w:t>
            </w:r>
          </w:p>
          <w:tbl>
            <w:tblPr>
              <w:tblStyle w:val="TableGrid2"/>
              <w:tblW w:w="8142" w:type="dxa"/>
              <w:tblLayout w:type="fixed"/>
              <w:tblLook w:val="04A0"/>
            </w:tblPr>
            <w:tblGrid>
              <w:gridCol w:w="478"/>
              <w:gridCol w:w="4500"/>
              <w:gridCol w:w="1988"/>
              <w:gridCol w:w="1176"/>
            </w:tblGrid>
            <w:tr>
              <w:tblPrEx>
                <w:tblW w:w="8142" w:type="dxa"/>
                <w:tblLayout w:type="fixed"/>
                <w:tblLook w:val="04A0"/>
              </w:tblPrEx>
              <w:tc>
                <w:tcPr>
                  <w:tcW w:w="4978" w:type="dxa"/>
                  <w:gridSpan w:val="2"/>
                </w:tcPr>
                <w:p w:rsidR="00997F3B">
                  <w:pPr>
                    <w:widowControl/>
                    <w:jc w:val="left"/>
                    <w:rPr>
                      <w:rFonts w:ascii="宋体" w:hAnsi="宋体" w:cs="宋体"/>
                      <w:color w:val="000000"/>
                      <w:kern w:val="0"/>
                      <w:lang w:val="x-none"/>
                    </w:rPr>
                  </w:pPr>
                  <w:r>
                    <w:rPr>
                      <w:rFonts w:ascii="宋体" w:hAnsi="宋体" w:cs="宋体" w:hint="eastAsia"/>
                      <w:color w:val="000000"/>
                      <w:kern w:val="0"/>
                      <w:lang w:val="x-none"/>
                    </w:rPr>
                    <w:t>准入要求</w:t>
                  </w:r>
                </w:p>
              </w:tc>
              <w:tc>
                <w:tcPr>
                  <w:tcW w:w="1988" w:type="dxa"/>
                </w:tcPr>
                <w:p w:rsidR="00997F3B">
                  <w:pPr>
                    <w:widowControl/>
                    <w:jc w:val="left"/>
                    <w:rPr>
                      <w:rFonts w:ascii="宋体" w:hAnsi="宋体" w:cs="宋体"/>
                      <w:color w:val="000000"/>
                      <w:kern w:val="0"/>
                      <w:lang w:val="x-none"/>
                    </w:rPr>
                  </w:pPr>
                  <w:r>
                    <w:rPr>
                      <w:rFonts w:ascii="宋体" w:hAnsi="宋体" w:cs="宋体" w:hint="eastAsia"/>
                      <w:color w:val="000000"/>
                      <w:kern w:val="0"/>
                      <w:lang w:val="x-none"/>
                    </w:rPr>
                    <w:t>项目情况</w:t>
                  </w:r>
                </w:p>
              </w:tc>
              <w:tc>
                <w:tcPr>
                  <w:tcW w:w="1176" w:type="dxa"/>
                </w:tcPr>
                <w:p w:rsidR="00997F3B">
                  <w:pPr>
                    <w:widowControl/>
                    <w:jc w:val="left"/>
                    <w:rPr>
                      <w:rFonts w:ascii="宋体" w:hAnsi="宋体" w:cs="宋体"/>
                      <w:color w:val="000000"/>
                      <w:kern w:val="0"/>
                      <w:lang w:val="x-none"/>
                    </w:rPr>
                  </w:pPr>
                  <w:r>
                    <w:rPr>
                      <w:rFonts w:ascii="宋体" w:hAnsi="宋体" w:cs="宋体" w:hint="eastAsia"/>
                      <w:color w:val="000000"/>
                      <w:kern w:val="0"/>
                      <w:lang w:val="x-none"/>
                    </w:rPr>
                    <w:t>符合性</w:t>
                  </w:r>
                </w:p>
              </w:tc>
            </w:tr>
            <w:tr>
              <w:tblPrEx>
                <w:tblW w:w="8142" w:type="dxa"/>
                <w:tblLayout w:type="fixed"/>
                <w:tblLook w:val="04A0"/>
              </w:tblPrEx>
              <w:tc>
                <w:tcPr>
                  <w:tcW w:w="478" w:type="dxa"/>
                </w:tcPr>
                <w:p w:rsidR="00997F3B">
                  <w:pPr>
                    <w:widowControl/>
                    <w:jc w:val="left"/>
                    <w:rPr>
                      <w:rFonts w:ascii="宋体" w:hAnsi="宋体" w:cs="宋体"/>
                      <w:color w:val="000000"/>
                      <w:kern w:val="0"/>
                      <w:lang w:val="x-none"/>
                    </w:rPr>
                  </w:pPr>
                  <w:r>
                    <w:rPr>
                      <w:rFonts w:ascii="宋体" w:hAnsi="宋体" w:cs="宋体" w:hint="eastAsia"/>
                      <w:color w:val="000000"/>
                      <w:kern w:val="0"/>
                      <w:lang w:val="x-none"/>
                    </w:rPr>
                    <w:t>空间布局</w:t>
                  </w:r>
                </w:p>
              </w:tc>
              <w:tc>
                <w:tcPr>
                  <w:tcW w:w="4500" w:type="dxa"/>
                </w:tcPr>
                <w:p w:rsidR="00997F3B">
                  <w:pPr>
                    <w:widowControl/>
                    <w:spacing w:after="0"/>
                    <w:jc w:val="left"/>
                    <w:rPr>
                      <w:rFonts w:ascii="宋体" w:hAnsi="宋体" w:cs="宋体"/>
                      <w:color w:val="000000"/>
                      <w:kern w:val="0"/>
                      <w:lang w:val="x-none"/>
                    </w:rPr>
                  </w:pPr>
                  <w:r>
                    <w:rPr>
                      <w:rFonts w:ascii="宋体" w:hAnsi="宋体" w:cs="宋体" w:hint="eastAsia"/>
                      <w:color w:val="000000"/>
                      <w:kern w:val="0"/>
                      <w:lang w:val="x-none"/>
                    </w:rPr>
                    <w:t>1.</w:t>
                  </w:r>
                  <w:r>
                    <w:rPr>
                      <w:rFonts w:ascii="宋体" w:hAnsi="宋体" w:cs="宋体" w:hint="eastAsia"/>
                      <w:color w:val="000000"/>
                      <w:kern w:val="0"/>
                      <w:lang w:val="x-none"/>
                    </w:rPr>
                    <w:t>龙岩经济技术开发区、龙州工业园区张白</w:t>
                  </w:r>
                  <w:r>
                    <w:rPr>
                      <w:rFonts w:ascii="宋体" w:hAnsi="宋体" w:cs="宋体" w:hint="eastAsia"/>
                      <w:color w:val="000000"/>
                      <w:kern w:val="0"/>
                      <w:lang w:val="x-none"/>
                    </w:rPr>
                    <w:t xml:space="preserve"> </w:t>
                  </w:r>
                  <w:r>
                    <w:rPr>
                      <w:rFonts w:ascii="宋体" w:hAnsi="宋体" w:cs="宋体" w:hint="eastAsia"/>
                      <w:color w:val="000000"/>
                      <w:kern w:val="0"/>
                      <w:lang w:val="x-none"/>
                    </w:rPr>
                    <w:t>土片区、东宝山片区、福建永定工业园区、</w:t>
                  </w:r>
                  <w:r>
                    <w:rPr>
                      <w:rFonts w:ascii="宋体" w:hAnsi="宋体" w:cs="宋体" w:hint="eastAsia"/>
                      <w:color w:val="000000"/>
                      <w:kern w:val="0"/>
                      <w:lang w:val="x-none"/>
                    </w:rPr>
                    <w:t xml:space="preserve"> </w:t>
                  </w:r>
                  <w:r>
                    <w:rPr>
                      <w:rFonts w:ascii="宋体" w:hAnsi="宋体" w:cs="宋体" w:hint="eastAsia"/>
                      <w:color w:val="000000"/>
                      <w:kern w:val="0"/>
                      <w:lang w:val="x-none"/>
                    </w:rPr>
                    <w:t>漳平工业园区富山禁止引入大气污染物排</w:t>
                  </w:r>
                  <w:r>
                    <w:rPr>
                      <w:rFonts w:ascii="宋体" w:hAnsi="宋体" w:cs="宋体" w:hint="eastAsia"/>
                      <w:color w:val="000000"/>
                      <w:kern w:val="0"/>
                      <w:lang w:val="x-none"/>
                    </w:rPr>
                    <w:t xml:space="preserve"> </w:t>
                  </w:r>
                  <w:r>
                    <w:rPr>
                      <w:rFonts w:ascii="宋体" w:hAnsi="宋体" w:cs="宋体" w:hint="eastAsia"/>
                      <w:color w:val="000000"/>
                      <w:kern w:val="0"/>
                      <w:lang w:val="x-none"/>
                    </w:rPr>
                    <w:t>放量大的石化、冶金、水泥、平板玻璃等</w:t>
                  </w:r>
                  <w:r>
                    <w:rPr>
                      <w:rFonts w:ascii="宋体" w:hAnsi="宋体" w:cs="宋体" w:hint="eastAsia"/>
                      <w:color w:val="000000"/>
                      <w:kern w:val="0"/>
                      <w:lang w:val="x-none"/>
                    </w:rPr>
                    <w:t xml:space="preserve"> </w:t>
                  </w:r>
                  <w:r>
                    <w:rPr>
                      <w:rFonts w:ascii="宋体" w:hAnsi="宋体" w:cs="宋体" w:hint="eastAsia"/>
                      <w:color w:val="000000"/>
                      <w:kern w:val="0"/>
                      <w:lang w:val="x-none"/>
                    </w:rPr>
                    <w:t>重点产业。</w:t>
                  </w:r>
                  <w:r>
                    <w:rPr>
                      <w:rFonts w:ascii="宋体" w:hAnsi="宋体" w:cs="宋体" w:hint="eastAsia"/>
                      <w:color w:val="000000"/>
                      <w:kern w:val="0"/>
                      <w:lang w:val="x-none"/>
                    </w:rPr>
                    <w:t xml:space="preserve"> </w:t>
                  </w:r>
                  <w:r>
                    <w:rPr>
                      <w:rFonts w:ascii="宋体" w:hAnsi="宋体" w:cs="宋体" w:hint="eastAsia"/>
                      <w:color w:val="000000"/>
                      <w:kern w:val="0"/>
                      <w:lang w:val="x-none"/>
                    </w:rPr>
                    <w:t>2.</w:t>
                  </w:r>
                  <w:r>
                    <w:rPr>
                      <w:rFonts w:ascii="宋体" w:hAnsi="宋体" w:cs="宋体" w:hint="eastAsia"/>
                      <w:color w:val="000000"/>
                      <w:kern w:val="0"/>
                      <w:lang w:val="x-none"/>
                    </w:rPr>
                    <w:t>龙岩经济技术开发区、龙雁经济开发区、</w:t>
                  </w:r>
                  <w:r>
                    <w:rPr>
                      <w:rFonts w:ascii="宋体" w:hAnsi="宋体" w:cs="宋体" w:hint="eastAsia"/>
                      <w:color w:val="000000"/>
                      <w:kern w:val="0"/>
                      <w:lang w:val="x-none"/>
                    </w:rPr>
                    <w:t xml:space="preserve"> </w:t>
                  </w:r>
                  <w:r>
                    <w:rPr>
                      <w:rFonts w:ascii="宋体" w:hAnsi="宋体" w:cs="宋体" w:hint="eastAsia"/>
                      <w:color w:val="000000"/>
                      <w:kern w:val="0"/>
                      <w:lang w:val="x-none"/>
                    </w:rPr>
                    <w:t>漳平工业园区、禁止引入以氨氮、总磷等为主要污染物的重点行业工业项目。长汀经济开发区、上杭工业园区、连城工业园区严格控制新、扩建增加氨氮、总磷等主要污染物排放的重点行业工业项目。</w:t>
                  </w:r>
                  <w:r>
                    <w:rPr>
                      <w:rFonts w:ascii="宋体" w:hAnsi="宋体" w:cs="宋体" w:hint="eastAsia"/>
                      <w:color w:val="000000"/>
                      <w:kern w:val="0"/>
                      <w:lang w:val="x-none"/>
                    </w:rPr>
                    <w:t xml:space="preserve"> 3.</w:t>
                  </w:r>
                  <w:r>
                    <w:rPr>
                      <w:rFonts w:ascii="宋体" w:hAnsi="宋体" w:cs="宋体" w:hint="eastAsia"/>
                      <w:color w:val="000000"/>
                      <w:kern w:val="0"/>
                      <w:lang w:val="x-none"/>
                    </w:rPr>
                    <w:t>龙岩市闽</w:t>
                  </w:r>
                </w:p>
              </w:tc>
              <w:tc>
                <w:tcPr>
                  <w:tcW w:w="1988" w:type="dxa"/>
                </w:tcPr>
                <w:p w:rsidR="00997F3B">
                  <w:pPr>
                    <w:widowControl/>
                    <w:jc w:val="left"/>
                    <w:rPr>
                      <w:rFonts w:ascii="宋体" w:hAnsi="宋体" w:cs="宋体"/>
                      <w:color w:val="000000"/>
                      <w:kern w:val="0"/>
                      <w:lang w:val="x-none"/>
                    </w:rPr>
                  </w:pPr>
                  <w:r>
                    <w:rPr>
                      <w:rFonts w:ascii="宋体" w:hAnsi="宋体" w:cs="宋体" w:hint="eastAsia"/>
                      <w:color w:val="000000"/>
                      <w:kern w:val="0"/>
                      <w:lang w:val="x-none"/>
                    </w:rPr>
                    <w:t>项</w:t>
                  </w:r>
                  <w:r>
                    <w:rPr>
                      <w:rFonts w:ascii="宋体" w:hAnsi="宋体" w:cs="宋体" w:hint="eastAsia"/>
                      <w:color w:val="000000"/>
                      <w:kern w:val="0"/>
                      <w:lang w:val="x-none"/>
                    </w:rPr>
                    <w:t>目位于龙岩市</w:t>
                  </w:r>
                  <w:r>
                    <w:rPr>
                      <w:rFonts w:ascii="宋体" w:hAnsi="宋体" w:cs="宋体" w:hint="eastAsia"/>
                      <w:color w:val="000000"/>
                      <w:kern w:val="0"/>
                      <w:lang w:val="x-none"/>
                    </w:rPr>
                    <w:t xml:space="preserve"> </w:t>
                  </w:r>
                  <w:r>
                    <w:rPr>
                      <w:rFonts w:ascii="宋体" w:hAnsi="宋体" w:cs="宋体" w:hint="eastAsia"/>
                      <w:color w:val="000000"/>
                      <w:kern w:val="0"/>
                      <w:lang w:val="x-none"/>
                    </w:rPr>
                    <w:t>永定区抚市镇溪联村</w:t>
                  </w:r>
                  <w:r>
                    <w:rPr>
                      <w:rFonts w:ascii="宋体" w:hAnsi="宋体" w:cs="宋体" w:hint="eastAsia"/>
                      <w:color w:val="000000"/>
                      <w:kern w:val="0"/>
                      <w:lang w:val="x-none"/>
                    </w:rPr>
                    <w:t>，不属于禁止准入项目。</w:t>
                  </w:r>
                </w:p>
              </w:tc>
              <w:tc>
                <w:tcPr>
                  <w:tcW w:w="1176" w:type="dxa"/>
                </w:tcPr>
                <w:p w:rsidR="00997F3B">
                  <w:pPr>
                    <w:widowControl/>
                    <w:jc w:val="left"/>
                    <w:rPr>
                      <w:rFonts w:ascii="宋体" w:hAnsi="宋体" w:cs="宋体"/>
                      <w:color w:val="000000"/>
                      <w:kern w:val="0"/>
                      <w:lang w:val="x-none"/>
                    </w:rPr>
                  </w:pPr>
                </w:p>
              </w:tc>
            </w:tr>
          </w:tbl>
          <w:p/>
        </w:tc>
      </w:tr>
    </w:tbl>
    <w:p>
      <w:pPr>
        <w:sectPr>
          <w:footerReference w:type="default" r:id="rId7"/>
          <w:type w:val="nextPage"/>
          <w:pgSz w:w="11906" w:h="16838"/>
          <w:pgMar w:top="1440" w:right="1800" w:bottom="1440" w:left="1800" w:header="851" w:footer="992" w:gutter="0"/>
          <w:pgNumType w:start="3"/>
          <w:cols w:space="425"/>
          <w:titlePg w:val="0"/>
          <w:docGrid w:type="lines" w:linePitch="312"/>
        </w:sectPr>
      </w:pPr>
    </w:p>
    <w:tbl>
      <w:tblPr>
        <w:tblStyle w:val="TableGrid3"/>
        <w:tblW w:w="9967"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1609"/>
        <w:gridCol w:w="8358"/>
      </w:tblGrid>
      <w:tr>
        <w:tblPrEx>
          <w:tblW w:w="9967" w:type="dxa"/>
          <w:jc w:val="center"/>
          <w:tblBorders>
            <w:top w:val="single" w:sz="12" w:space="0" w:color="auto"/>
            <w:left w:val="single" w:sz="12" w:space="0" w:color="auto"/>
            <w:bottom w:val="single" w:sz="12" w:space="0" w:color="auto"/>
            <w:right w:val="single" w:sz="12" w:space="0" w:color="auto"/>
          </w:tblBorders>
          <w:tblLayout w:type="fixed"/>
          <w:tblLook w:val="04A0"/>
        </w:tblPrEx>
        <w:trPr>
          <w:jc w:val="center"/>
        </w:trPr>
        <w:tc>
          <w:tcPr>
            <w:tcW w:w="1609" w:type="dxa"/>
            <w:vAlign w:val="center"/>
          </w:tcPr>
          <w:p/>
        </w:tc>
        <w:tc>
          <w:tcPr>
            <w:tcW w:w="8358" w:type="dxa"/>
            <w:vAlign w:val="center"/>
          </w:tcPr>
          <w:tbl>
            <w:tblPr>
              <w:tblStyle w:val="TableGrid3"/>
              <w:tblW w:w="8142" w:type="dxa"/>
              <w:tblLayout w:type="fixed"/>
              <w:tblLook w:val="04A0"/>
            </w:tblPr>
            <w:tblGrid>
              <w:gridCol w:w="478"/>
              <w:gridCol w:w="4500"/>
              <w:gridCol w:w="1988"/>
              <w:gridCol w:w="1176"/>
            </w:tblGrid>
            <w:tr>
              <w:tblPrEx>
                <w:tblW w:w="8142" w:type="dxa"/>
                <w:tblLayout w:type="fixed"/>
                <w:tblLook w:val="04A0"/>
              </w:tblPrEx>
              <w:tc>
                <w:tcPr>
                  <w:tcW w:w="478" w:type="dxa"/>
                </w:tcPr>
                <w:p/>
              </w:tc>
              <w:tc>
                <w:tcPr>
                  <w:tcW w:w="4500" w:type="dxa"/>
                </w:tcPr>
                <w:p w:rsidR="00997F3B">
                  <w:pPr>
                    <w:widowControl/>
                    <w:spacing w:before="0"/>
                    <w:jc w:val="left"/>
                    <w:rPr>
                      <w:rFonts w:ascii="宋体" w:hAnsi="宋体" w:cs="宋体"/>
                      <w:color w:val="000000"/>
                      <w:kern w:val="0"/>
                      <w:lang w:val="x-none"/>
                    </w:rPr>
                  </w:pPr>
                  <w:r>
                    <w:rPr>
                      <w:rFonts w:ascii="宋体" w:hAnsi="宋体" w:cs="宋体" w:hint="eastAsia"/>
                      <w:color w:val="000000"/>
                      <w:kern w:val="0"/>
                      <w:lang w:val="x-none"/>
                    </w:rPr>
                    <w:t>江、九龙江、汀江流域两岸严格控制新、扩建增加氨氮、总磷等主要污染物排放的项目。闽江、九龙江禁止新建、</w:t>
                  </w:r>
                  <w:r>
                    <w:rPr>
                      <w:rFonts w:ascii="宋体" w:hAnsi="宋体" w:cs="宋体" w:hint="eastAsia"/>
                      <w:color w:val="000000"/>
                      <w:kern w:val="0"/>
                      <w:lang w:val="x-none"/>
                    </w:rPr>
                    <w:t xml:space="preserve"> </w:t>
                  </w:r>
                  <w:r>
                    <w:rPr>
                      <w:rFonts w:ascii="宋体" w:hAnsi="宋体" w:cs="宋体" w:hint="eastAsia"/>
                      <w:color w:val="000000"/>
                      <w:kern w:val="0"/>
                      <w:lang w:val="x-none"/>
                    </w:rPr>
                    <w:t>扩建铬盐、氰化物生产项目。汀江流域范围禁止新、扩建制浆造纸、印染、合成革</w:t>
                  </w:r>
                  <w:r>
                    <w:rPr>
                      <w:rFonts w:ascii="宋体" w:hAnsi="宋体" w:cs="宋体" w:hint="eastAsia"/>
                      <w:color w:val="000000"/>
                      <w:kern w:val="0"/>
                      <w:lang w:val="x-none"/>
                    </w:rPr>
                    <w:t xml:space="preserve"> </w:t>
                  </w:r>
                  <w:r>
                    <w:rPr>
                      <w:rFonts w:ascii="宋体" w:hAnsi="宋体" w:cs="宋体" w:hint="eastAsia"/>
                      <w:color w:val="000000"/>
                      <w:kern w:val="0"/>
                      <w:lang w:val="x-none"/>
                    </w:rPr>
                    <w:t>及人造革项目。</w:t>
                  </w:r>
                  <w:r>
                    <w:rPr>
                      <w:rFonts w:ascii="宋体" w:hAnsi="宋体" w:cs="宋体" w:hint="eastAsia"/>
                      <w:color w:val="000000"/>
                      <w:kern w:val="0"/>
                      <w:lang w:val="x-none"/>
                    </w:rPr>
                    <w:t xml:space="preserve"> 4.</w:t>
                  </w:r>
                  <w:r>
                    <w:rPr>
                      <w:rFonts w:ascii="宋体" w:hAnsi="宋体" w:cs="宋体" w:hint="eastAsia"/>
                      <w:color w:val="000000"/>
                      <w:kern w:val="0"/>
                      <w:lang w:val="x-none"/>
                    </w:rPr>
                    <w:t>龙岩市严控钢铁、水泥、平板玻璃等产能</w:t>
                  </w:r>
                  <w:r>
                    <w:rPr>
                      <w:rFonts w:ascii="宋体" w:hAnsi="宋体" w:cs="宋体" w:hint="eastAsia"/>
                      <w:color w:val="000000"/>
                      <w:kern w:val="0"/>
                      <w:lang w:val="x-none"/>
                    </w:rPr>
                    <w:t xml:space="preserve"> </w:t>
                  </w:r>
                  <w:r>
                    <w:rPr>
                      <w:rFonts w:ascii="宋体" w:hAnsi="宋体" w:cs="宋体" w:hint="eastAsia"/>
                      <w:color w:val="000000"/>
                      <w:kern w:val="0"/>
                      <w:lang w:val="x-none"/>
                    </w:rPr>
                    <w:t>过剩行业新增产能，新增产能应实施产能</w:t>
                  </w:r>
                  <w:r>
                    <w:rPr>
                      <w:rFonts w:ascii="宋体" w:hAnsi="宋体" w:cs="宋体" w:hint="eastAsia"/>
                      <w:color w:val="000000"/>
                      <w:kern w:val="0"/>
                      <w:lang w:val="x-none"/>
                    </w:rPr>
                    <w:t xml:space="preserve"> </w:t>
                  </w:r>
                  <w:r>
                    <w:rPr>
                      <w:rFonts w:ascii="宋体" w:hAnsi="宋体" w:cs="宋体" w:hint="eastAsia"/>
                      <w:color w:val="000000"/>
                      <w:kern w:val="0"/>
                      <w:lang w:val="x-none"/>
                    </w:rPr>
                    <w:t>等量或减</w:t>
                  </w:r>
                  <w:r>
                    <w:rPr>
                      <w:rFonts w:ascii="宋体" w:hAnsi="宋体" w:cs="宋体" w:hint="eastAsia"/>
                      <w:color w:val="000000"/>
                      <w:kern w:val="0"/>
                      <w:lang w:val="x-none"/>
                    </w:rPr>
                    <w:t>量置换；除列入国家规划的大型</w:t>
                  </w:r>
                  <w:r>
                    <w:rPr>
                      <w:rFonts w:ascii="宋体" w:hAnsi="宋体" w:cs="宋体" w:hint="eastAsia"/>
                      <w:color w:val="000000"/>
                      <w:kern w:val="0"/>
                      <w:lang w:val="x-none"/>
                    </w:rPr>
                    <w:t xml:space="preserve"> </w:t>
                  </w:r>
                  <w:r>
                    <w:rPr>
                      <w:rFonts w:ascii="宋体" w:hAnsi="宋体" w:cs="宋体" w:hint="eastAsia"/>
                      <w:color w:val="000000"/>
                      <w:kern w:val="0"/>
                      <w:lang w:val="x-none"/>
                    </w:rPr>
                    <w:t>煤电和符合相关要求的等容量替代项目，</w:t>
                  </w:r>
                  <w:r>
                    <w:rPr>
                      <w:rFonts w:ascii="宋体" w:hAnsi="宋体" w:cs="宋体" w:hint="eastAsia"/>
                      <w:color w:val="000000"/>
                      <w:kern w:val="0"/>
                      <w:lang w:val="x-none"/>
                    </w:rPr>
                    <w:t xml:space="preserve"> </w:t>
                  </w:r>
                  <w:r>
                    <w:rPr>
                      <w:rFonts w:ascii="宋体" w:hAnsi="宋体" w:cs="宋体" w:hint="eastAsia"/>
                      <w:color w:val="000000"/>
                      <w:kern w:val="0"/>
                      <w:lang w:val="x-none"/>
                    </w:rPr>
                    <w:t>以及以供热为主的热电联产项目外，原则上不再建设新的煤电项目；氟化工产业应布局在上杭蛟洋工业区、漳平市新材料产业园具有氟化工产业功能，且已开展规划环评、配套环保基础设施和环境风险防范</w:t>
                  </w:r>
                  <w:r>
                    <w:rPr>
                      <w:rFonts w:ascii="宋体" w:hAnsi="宋体" w:cs="宋体" w:hint="eastAsia"/>
                      <w:color w:val="000000"/>
                      <w:kern w:val="0"/>
                      <w:lang w:val="x-none"/>
                    </w:rPr>
                    <w:t xml:space="preserve"> </w:t>
                  </w:r>
                  <w:r>
                    <w:rPr>
                      <w:rFonts w:ascii="宋体" w:hAnsi="宋体" w:cs="宋体" w:hint="eastAsia"/>
                      <w:color w:val="000000"/>
                      <w:kern w:val="0"/>
                      <w:lang w:val="x-none"/>
                    </w:rPr>
                    <w:t>设施完善的园区，园区外现有氟化工企业不再扩大规模；禁止在水环境质量不能稳定达标的区域内，建设新增相应不达标污染物指标排放量的工业项目。</w:t>
                  </w:r>
                  <w:r>
                    <w:rPr>
                      <w:rFonts w:ascii="宋体" w:hAnsi="宋体" w:cs="宋体" w:hint="eastAsia"/>
                      <w:color w:val="000000"/>
                      <w:kern w:val="0"/>
                      <w:lang w:val="x-none"/>
                    </w:rPr>
                    <w:t xml:space="preserve"> 5.</w:t>
                  </w:r>
                  <w:r>
                    <w:rPr>
                      <w:rFonts w:ascii="宋体" w:hAnsi="宋体" w:cs="宋体" w:hint="eastAsia"/>
                      <w:color w:val="000000"/>
                      <w:kern w:val="0"/>
                      <w:lang w:val="x-none"/>
                    </w:rPr>
                    <w:t>严格控制审批高耗能、高污染和资源型行业（钢铁、水泥、铁合金、多晶硅、铜冶炼、有色金属矿山、煤矿、稀土等）新增产能项目。</w:t>
                  </w:r>
                </w:p>
              </w:tc>
              <w:tc>
                <w:tcPr>
                  <w:tcW w:w="1988" w:type="dxa"/>
                </w:tcPr>
                <w:p/>
              </w:tc>
              <w:tc>
                <w:tcPr>
                  <w:tcW w:w="1176" w:type="dxa"/>
                </w:tcPr>
                <w:p/>
              </w:tc>
            </w:tr>
            <w:tr>
              <w:tblPrEx>
                <w:tblW w:w="8142" w:type="dxa"/>
                <w:tblLayout w:type="fixed"/>
                <w:tblLook w:val="04A0"/>
              </w:tblPrEx>
              <w:tc>
                <w:tcPr>
                  <w:tcW w:w="478" w:type="dxa"/>
                </w:tcPr>
                <w:p w:rsidR="00997F3B">
                  <w:pPr>
                    <w:widowControl/>
                    <w:jc w:val="left"/>
                    <w:rPr>
                      <w:rFonts w:ascii="宋体" w:hAnsi="宋体" w:cs="宋体"/>
                      <w:color w:val="000000"/>
                      <w:kern w:val="0"/>
                      <w:lang w:val="x-none"/>
                    </w:rPr>
                  </w:pPr>
                  <w:r>
                    <w:rPr>
                      <w:rFonts w:ascii="宋体" w:hAnsi="宋体" w:cs="宋体" w:hint="eastAsia"/>
                      <w:color w:val="000000"/>
                      <w:kern w:val="0"/>
                      <w:lang w:val="x-none"/>
                    </w:rPr>
                    <w:t>污染物排放管控</w:t>
                  </w:r>
                </w:p>
              </w:tc>
              <w:tc>
                <w:tcPr>
                  <w:tcW w:w="4500" w:type="dxa"/>
                </w:tcPr>
                <w:p w:rsidR="00997F3B">
                  <w:pPr>
                    <w:widowControl/>
                    <w:spacing w:after="0"/>
                    <w:jc w:val="left"/>
                    <w:rPr>
                      <w:rFonts w:ascii="宋体" w:hAnsi="宋体" w:cs="宋体"/>
                      <w:color w:val="000000"/>
                      <w:kern w:val="0"/>
                      <w:lang w:val="x-none"/>
                    </w:rPr>
                  </w:pPr>
                  <w:r>
                    <w:rPr>
                      <w:rFonts w:ascii="宋体" w:hAnsi="宋体" w:cs="宋体" w:hint="eastAsia"/>
                      <w:color w:val="000000"/>
                      <w:kern w:val="0"/>
                      <w:lang w:val="x-none"/>
                    </w:rPr>
                    <w:t>九龙江流域：</w:t>
                  </w:r>
                  <w:r>
                    <w:rPr>
                      <w:rFonts w:ascii="宋体" w:hAnsi="宋体" w:cs="宋体" w:hint="eastAsia"/>
                      <w:color w:val="000000"/>
                      <w:kern w:val="0"/>
                      <w:lang w:val="x-none"/>
                    </w:rPr>
                    <w:t xml:space="preserve"> 1.</w:t>
                  </w:r>
                  <w:r>
                    <w:rPr>
                      <w:rFonts w:ascii="宋体" w:hAnsi="宋体" w:cs="宋体" w:hint="eastAsia"/>
                      <w:color w:val="000000"/>
                      <w:kern w:val="0"/>
                      <w:lang w:val="x-none"/>
                    </w:rPr>
                    <w:t>九龙江北溪江东北引桥闸以上、西溪桥以</w:t>
                  </w:r>
                  <w:r>
                    <w:rPr>
                      <w:rFonts w:ascii="宋体" w:hAnsi="宋体" w:cs="宋体" w:hint="eastAsia"/>
                      <w:color w:val="000000"/>
                      <w:kern w:val="0"/>
                      <w:lang w:val="x-none"/>
                    </w:rPr>
                    <w:t xml:space="preserve"> </w:t>
                  </w:r>
                  <w:r>
                    <w:rPr>
                      <w:rFonts w:ascii="宋体" w:hAnsi="宋体" w:cs="宋体" w:hint="eastAsia"/>
                      <w:color w:val="000000"/>
                      <w:kern w:val="0"/>
                      <w:lang w:val="x-none"/>
                    </w:rPr>
                    <w:t>上，新建水污染型项目应实行水污染物排</w:t>
                  </w:r>
                  <w:r>
                    <w:rPr>
                      <w:rFonts w:ascii="宋体" w:hAnsi="宋体" w:cs="宋体" w:hint="eastAsia"/>
                      <w:color w:val="000000"/>
                      <w:kern w:val="0"/>
                      <w:lang w:val="x-none"/>
                    </w:rPr>
                    <w:t xml:space="preserve"> </w:t>
                  </w:r>
                  <w:r>
                    <w:rPr>
                      <w:rFonts w:ascii="宋体" w:hAnsi="宋体" w:cs="宋体" w:hint="eastAsia"/>
                      <w:color w:val="000000"/>
                      <w:kern w:val="0"/>
                      <w:lang w:val="x-none"/>
                    </w:rPr>
                    <w:t>放量倍量削减替代。</w:t>
                  </w:r>
                  <w:r>
                    <w:rPr>
                      <w:rFonts w:ascii="宋体" w:hAnsi="宋体" w:cs="宋体" w:hint="eastAsia"/>
                      <w:color w:val="000000"/>
                      <w:kern w:val="0"/>
                      <w:lang w:val="x-none"/>
                    </w:rPr>
                    <w:t xml:space="preserve"> 2.</w:t>
                  </w:r>
                  <w:r>
                    <w:rPr>
                      <w:rFonts w:ascii="宋体" w:hAnsi="宋体" w:cs="宋体" w:hint="eastAsia"/>
                      <w:color w:val="000000"/>
                      <w:kern w:val="0"/>
                      <w:lang w:val="x-none"/>
                    </w:rPr>
                    <w:t>全流域大力推进粪污资源化利用。北溪上</w:t>
                  </w:r>
                  <w:r>
                    <w:rPr>
                      <w:rFonts w:ascii="宋体" w:hAnsi="宋体" w:cs="宋体" w:hint="eastAsia"/>
                      <w:color w:val="000000"/>
                      <w:kern w:val="0"/>
                      <w:lang w:val="x-none"/>
                    </w:rPr>
                    <w:t xml:space="preserve"> </w:t>
                  </w:r>
                  <w:r>
                    <w:rPr>
                      <w:rFonts w:ascii="宋体" w:hAnsi="宋体" w:cs="宋体" w:hint="eastAsia"/>
                      <w:color w:val="000000"/>
                      <w:kern w:val="0"/>
                      <w:lang w:val="x-none"/>
                    </w:rPr>
                    <w:t>游严格控制畜禽养殖总量，继续开展畜禽</w:t>
                  </w:r>
                  <w:r>
                    <w:rPr>
                      <w:rFonts w:ascii="宋体" w:hAnsi="宋体" w:cs="宋体" w:hint="eastAsia"/>
                      <w:color w:val="000000"/>
                      <w:kern w:val="0"/>
                      <w:lang w:val="x-none"/>
                    </w:rPr>
                    <w:t xml:space="preserve"> </w:t>
                  </w:r>
                  <w:r>
                    <w:rPr>
                      <w:rFonts w:ascii="宋体" w:hAnsi="宋体" w:cs="宋体" w:hint="eastAsia"/>
                      <w:color w:val="000000"/>
                      <w:kern w:val="0"/>
                      <w:lang w:val="x-none"/>
                    </w:rPr>
                    <w:t>养殖场标准化建设。</w:t>
                  </w:r>
                  <w:r>
                    <w:rPr>
                      <w:rFonts w:ascii="宋体" w:hAnsi="宋体" w:cs="宋体" w:hint="eastAsia"/>
                      <w:color w:val="000000"/>
                      <w:kern w:val="0"/>
                      <w:lang w:val="x-none"/>
                    </w:rPr>
                    <w:t xml:space="preserve"> </w:t>
                  </w:r>
                  <w:r>
                    <w:rPr>
                      <w:rFonts w:ascii="宋体" w:hAnsi="宋体" w:cs="宋体" w:hint="eastAsia"/>
                      <w:color w:val="000000"/>
                      <w:kern w:val="0"/>
                      <w:lang w:val="x-none"/>
                    </w:rPr>
                    <w:t>项目区域水环境</w:t>
                  </w:r>
                  <w:r>
                    <w:rPr>
                      <w:rFonts w:ascii="宋体" w:hAnsi="宋体" w:cs="宋体" w:hint="eastAsia"/>
                      <w:color w:val="000000"/>
                      <w:kern w:val="0"/>
                      <w:lang w:val="x-none"/>
                    </w:rPr>
                    <w:t xml:space="preserve"> </w:t>
                  </w:r>
                  <w:r>
                    <w:rPr>
                      <w:rFonts w:ascii="宋体" w:hAnsi="宋体" w:cs="宋体" w:hint="eastAsia"/>
                      <w:color w:val="000000"/>
                      <w:kern w:val="0"/>
                      <w:lang w:val="x-none"/>
                    </w:rPr>
                    <w:t>为雁石溪（见龙</w:t>
                  </w:r>
                  <w:r>
                    <w:rPr>
                      <w:rFonts w:ascii="宋体" w:hAnsi="宋体" w:cs="宋体" w:hint="eastAsia"/>
                      <w:color w:val="000000"/>
                      <w:kern w:val="0"/>
                      <w:lang w:val="x-none"/>
                    </w:rPr>
                    <w:t xml:space="preserve"> </w:t>
                  </w:r>
                  <w:r>
                    <w:rPr>
                      <w:rFonts w:ascii="宋体" w:hAnsi="宋体" w:cs="宋体" w:hint="eastAsia"/>
                      <w:color w:val="000000"/>
                      <w:kern w:val="0"/>
                      <w:lang w:val="x-none"/>
                    </w:rPr>
                    <w:t>桥断面至雁石桥</w:t>
                  </w:r>
                  <w:r>
                    <w:rPr>
                      <w:rFonts w:ascii="宋体" w:hAnsi="宋体" w:cs="宋体" w:hint="eastAsia"/>
                      <w:color w:val="000000"/>
                      <w:kern w:val="0"/>
                      <w:lang w:val="x-none"/>
                    </w:rPr>
                    <w:t xml:space="preserve"> </w:t>
                  </w:r>
                  <w:r>
                    <w:rPr>
                      <w:rFonts w:ascii="宋体" w:hAnsi="宋体" w:cs="宋体" w:hint="eastAsia"/>
                      <w:color w:val="000000"/>
                      <w:kern w:val="0"/>
                      <w:lang w:val="x-none"/>
                    </w:rPr>
                    <w:t>断面），不属于</w:t>
                  </w:r>
                  <w:r>
                    <w:rPr>
                      <w:rFonts w:ascii="宋体" w:hAnsi="宋体" w:cs="宋体" w:hint="eastAsia"/>
                      <w:color w:val="000000"/>
                      <w:kern w:val="0"/>
                      <w:lang w:val="x-none"/>
                    </w:rPr>
                    <w:t xml:space="preserve"> </w:t>
                  </w:r>
                  <w:r>
                    <w:rPr>
                      <w:rFonts w:ascii="宋体" w:hAnsi="宋体" w:cs="宋体" w:hint="eastAsia"/>
                      <w:color w:val="000000"/>
                      <w:kern w:val="0"/>
                      <w:lang w:val="x-none"/>
                    </w:rPr>
                    <w:t>水污染型项目。</w:t>
                  </w:r>
                  <w:r>
                    <w:rPr>
                      <w:rFonts w:ascii="宋体" w:hAnsi="宋体" w:cs="宋体" w:hint="eastAsia"/>
                      <w:color w:val="000000"/>
                      <w:kern w:val="0"/>
                      <w:lang w:val="x-none"/>
                    </w:rPr>
                    <w:t xml:space="preserve"> </w:t>
                  </w:r>
                  <w:r>
                    <w:rPr>
                      <w:rFonts w:ascii="宋体" w:hAnsi="宋体" w:cs="宋体" w:hint="eastAsia"/>
                      <w:color w:val="000000"/>
                      <w:kern w:val="0"/>
                      <w:lang w:val="x-none"/>
                    </w:rPr>
                    <w:t>符合</w:t>
                  </w:r>
                  <w:r>
                    <w:rPr>
                      <w:rFonts w:ascii="宋体" w:hAnsi="宋体" w:cs="宋体" w:hint="eastAsia"/>
                      <w:color w:val="000000"/>
                      <w:kern w:val="0"/>
                      <w:lang w:val="x-none"/>
                    </w:rPr>
                    <w:t xml:space="preserve"> 7 3.</w:t>
                  </w:r>
                  <w:r>
                    <w:rPr>
                      <w:rFonts w:ascii="宋体" w:hAnsi="宋体" w:cs="宋体" w:hint="eastAsia"/>
                      <w:color w:val="000000"/>
                      <w:kern w:val="0"/>
                      <w:lang w:val="x-none"/>
                    </w:rPr>
                    <w:t>加快城镇污水处理设施建设与提标改造，</w:t>
                  </w:r>
                  <w:r>
                    <w:rPr>
                      <w:rFonts w:ascii="宋体" w:hAnsi="宋体" w:cs="宋体" w:hint="eastAsia"/>
                      <w:color w:val="000000"/>
                      <w:kern w:val="0"/>
                      <w:lang w:val="x-none"/>
                    </w:rPr>
                    <w:t xml:space="preserve"> </w:t>
                  </w:r>
                </w:p>
              </w:tc>
              <w:tc>
                <w:tcPr>
                  <w:tcW w:w="1988" w:type="dxa"/>
                </w:tcPr>
                <w:p w:rsidR="00997F3B">
                  <w:pPr>
                    <w:widowControl/>
                    <w:jc w:val="left"/>
                    <w:rPr>
                      <w:rFonts w:ascii="宋体" w:hAnsi="宋体" w:cs="宋体"/>
                      <w:color w:val="000000"/>
                      <w:kern w:val="0"/>
                      <w:lang w:val="x-none"/>
                    </w:rPr>
                  </w:pPr>
                  <w:r>
                    <w:rPr>
                      <w:rFonts w:ascii="宋体" w:hAnsi="宋体" w:cs="宋体" w:hint="eastAsia"/>
                      <w:color w:val="000000"/>
                      <w:kern w:val="0"/>
                      <w:lang w:val="x-none"/>
                    </w:rPr>
                    <w:t>项目区域水环境</w:t>
                  </w:r>
                  <w:r>
                    <w:rPr>
                      <w:rFonts w:ascii="宋体" w:hAnsi="宋体" w:cs="宋体" w:hint="eastAsia"/>
                      <w:color w:val="000000"/>
                      <w:kern w:val="0"/>
                      <w:lang w:val="x-none"/>
                    </w:rPr>
                    <w:t xml:space="preserve"> </w:t>
                  </w:r>
                  <w:r>
                    <w:rPr>
                      <w:rFonts w:ascii="宋体" w:hAnsi="宋体" w:cs="宋体" w:hint="eastAsia"/>
                      <w:color w:val="000000"/>
                      <w:kern w:val="0"/>
                      <w:lang w:val="x-none"/>
                    </w:rPr>
                    <w:t>为</w:t>
                  </w:r>
                  <w:r>
                    <w:rPr>
                      <w:rFonts w:ascii="宋体" w:hAnsi="宋体" w:cs="宋体" w:hint="eastAsia"/>
                      <w:color w:val="000000"/>
                      <w:kern w:val="0"/>
                      <w:lang w:val="x-none"/>
                    </w:rPr>
                    <w:t>抚市溪支流</w:t>
                  </w:r>
                  <w:r>
                    <w:rPr>
                      <w:rFonts w:ascii="宋体" w:hAnsi="宋体" w:cs="宋体" w:hint="eastAsia"/>
                      <w:color w:val="000000"/>
                      <w:kern w:val="0"/>
                      <w:lang w:val="x-none"/>
                    </w:rPr>
                    <w:t>，不属于水污染型项目。</w:t>
                  </w:r>
                </w:p>
              </w:tc>
              <w:tc>
                <w:tcPr>
                  <w:tcW w:w="1176" w:type="dxa"/>
                </w:tcPr>
                <w:p w:rsidR="00997F3B">
                  <w:pPr>
                    <w:widowControl/>
                    <w:jc w:val="left"/>
                    <w:rPr>
                      <w:rFonts w:ascii="宋体" w:hAnsi="宋体" w:cs="宋体"/>
                      <w:color w:val="000000"/>
                      <w:kern w:val="0"/>
                      <w:lang w:val="x-none"/>
                    </w:rPr>
                  </w:pPr>
                </w:p>
              </w:tc>
            </w:tr>
          </w:tbl>
          <w:p/>
        </w:tc>
      </w:tr>
    </w:tbl>
    <w:p>
      <w:pPr>
        <w:sectPr>
          <w:footerReference w:type="default" r:id="rId8"/>
          <w:type w:val="nextPage"/>
          <w:pgSz w:w="11906" w:h="16838"/>
          <w:pgMar w:top="1440" w:right="1800" w:bottom="1440" w:left="1800" w:header="851" w:footer="992" w:gutter="0"/>
          <w:pgNumType w:start="4"/>
          <w:cols w:space="425"/>
          <w:titlePg w:val="0"/>
          <w:docGrid w:type="lines" w:linePitch="312"/>
        </w:sectPr>
      </w:pPr>
    </w:p>
    <w:tbl>
      <w:tblPr>
        <w:tblStyle w:val="TableGrid4"/>
        <w:tblW w:w="9967"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1609"/>
        <w:gridCol w:w="8358"/>
      </w:tblGrid>
      <w:tr>
        <w:tblPrEx>
          <w:tblW w:w="9967" w:type="dxa"/>
          <w:jc w:val="center"/>
          <w:tblBorders>
            <w:top w:val="single" w:sz="12" w:space="0" w:color="auto"/>
            <w:left w:val="single" w:sz="12" w:space="0" w:color="auto"/>
            <w:bottom w:val="single" w:sz="12" w:space="0" w:color="auto"/>
            <w:right w:val="single" w:sz="12" w:space="0" w:color="auto"/>
          </w:tblBorders>
          <w:tblLayout w:type="fixed"/>
          <w:tblLook w:val="04A0"/>
        </w:tblPrEx>
        <w:trPr>
          <w:jc w:val="center"/>
        </w:trPr>
        <w:tc>
          <w:tcPr>
            <w:tcW w:w="1609" w:type="dxa"/>
            <w:vAlign w:val="center"/>
          </w:tcPr>
          <w:p/>
        </w:tc>
        <w:tc>
          <w:tcPr>
            <w:tcW w:w="8358" w:type="dxa"/>
            <w:vAlign w:val="center"/>
          </w:tcPr>
          <w:tbl>
            <w:tblPr>
              <w:tblStyle w:val="TableGrid4"/>
              <w:tblW w:w="8142" w:type="dxa"/>
              <w:tblLayout w:type="fixed"/>
              <w:tblLook w:val="04A0"/>
            </w:tblPr>
            <w:tblGrid>
              <w:gridCol w:w="478"/>
              <w:gridCol w:w="4500"/>
              <w:gridCol w:w="1988"/>
              <w:gridCol w:w="1176"/>
            </w:tblGrid>
            <w:tr>
              <w:tblPrEx>
                <w:tblW w:w="8142" w:type="dxa"/>
                <w:tblLayout w:type="fixed"/>
                <w:tblLook w:val="04A0"/>
              </w:tblPrEx>
              <w:tc>
                <w:tcPr>
                  <w:tcW w:w="478" w:type="dxa"/>
                </w:tcPr>
                <w:p/>
              </w:tc>
              <w:tc>
                <w:tcPr>
                  <w:tcW w:w="4500" w:type="dxa"/>
                </w:tcPr>
                <w:p w:rsidR="00997F3B">
                  <w:pPr>
                    <w:widowControl/>
                    <w:spacing w:before="0"/>
                    <w:jc w:val="left"/>
                    <w:rPr>
                      <w:rFonts w:ascii="宋体" w:hAnsi="宋体" w:cs="宋体"/>
                      <w:color w:val="000000"/>
                      <w:kern w:val="0"/>
                      <w:lang w:val="x-none"/>
                    </w:rPr>
                  </w:pPr>
                  <w:r>
                    <w:rPr>
                      <w:rFonts w:ascii="宋体" w:hAnsi="宋体" w:cs="宋体" w:hint="eastAsia"/>
                      <w:color w:val="000000"/>
                      <w:kern w:val="0"/>
                      <w:lang w:val="x-none"/>
                    </w:rPr>
                    <w:t>实施雨污分流改造，逐步提高污水收集率</w:t>
                  </w:r>
                  <w:r>
                    <w:rPr>
                      <w:rFonts w:ascii="宋体" w:hAnsi="宋体" w:cs="宋体" w:hint="eastAsia"/>
                      <w:color w:val="000000"/>
                      <w:kern w:val="0"/>
                      <w:lang w:val="x-none"/>
                    </w:rPr>
                    <w:t xml:space="preserve"> </w:t>
                  </w:r>
                  <w:r>
                    <w:rPr>
                      <w:rFonts w:ascii="宋体" w:hAnsi="宋体" w:cs="宋体" w:hint="eastAsia"/>
                      <w:color w:val="000000"/>
                      <w:kern w:val="0"/>
                      <w:lang w:val="x-none"/>
                    </w:rPr>
                    <w:t>和处理率。</w:t>
                  </w:r>
                </w:p>
              </w:tc>
              <w:tc>
                <w:tcPr>
                  <w:tcW w:w="1988" w:type="dxa"/>
                </w:tcPr>
                <w:p/>
              </w:tc>
              <w:tc>
                <w:tcPr>
                  <w:tcW w:w="1176" w:type="dxa"/>
                </w:tcPr>
                <w:p/>
              </w:tc>
            </w:tr>
            <w:tr>
              <w:tblPrEx>
                <w:tblW w:w="8142" w:type="dxa"/>
                <w:tblLayout w:type="fixed"/>
                <w:tblLook w:val="04A0"/>
              </w:tblPrEx>
              <w:tc>
                <w:tcPr>
                  <w:tcW w:w="478" w:type="dxa"/>
                </w:tcPr>
                <w:p w:rsidR="00997F3B">
                  <w:pPr>
                    <w:widowControl/>
                    <w:jc w:val="left"/>
                    <w:rPr>
                      <w:rFonts w:ascii="宋体" w:hAnsi="宋体" w:cs="宋体"/>
                      <w:color w:val="000000"/>
                      <w:kern w:val="0"/>
                      <w:lang w:val="x-none"/>
                    </w:rPr>
                  </w:pPr>
                  <w:r>
                    <w:rPr>
                      <w:rFonts w:ascii="宋体" w:hAnsi="宋体" w:cs="宋体" w:hint="eastAsia"/>
                      <w:color w:val="000000"/>
                      <w:kern w:val="0"/>
                      <w:lang w:val="x-none"/>
                    </w:rPr>
                    <w:t>环境风险防控</w:t>
                  </w:r>
                </w:p>
              </w:tc>
              <w:tc>
                <w:tcPr>
                  <w:tcW w:w="4500" w:type="dxa"/>
                </w:tcPr>
                <w:p w:rsidR="00997F3B">
                  <w:pPr>
                    <w:widowControl/>
                    <w:jc w:val="left"/>
                    <w:rPr>
                      <w:rFonts w:ascii="宋体" w:hAnsi="宋体" w:cs="宋体"/>
                      <w:color w:val="000000"/>
                      <w:kern w:val="0"/>
                      <w:lang w:val="x-none"/>
                    </w:rPr>
                  </w:pPr>
                  <w:r>
                    <w:rPr>
                      <w:rFonts w:ascii="宋体" w:hAnsi="宋体" w:cs="宋体" w:hint="eastAsia"/>
                      <w:color w:val="000000"/>
                      <w:kern w:val="0"/>
                      <w:lang w:val="x-none"/>
                    </w:rPr>
                    <w:t>1</w:t>
                  </w:r>
                  <w:r>
                    <w:rPr>
                      <w:rFonts w:ascii="宋体" w:hAnsi="宋体" w:cs="宋体" w:hint="eastAsia"/>
                      <w:color w:val="000000"/>
                      <w:kern w:val="0"/>
                      <w:lang w:val="x-none"/>
                    </w:rPr>
                    <w:t>、强化石化、化工、冶炼、危化品储运等</w:t>
                  </w:r>
                  <w:r>
                    <w:rPr>
                      <w:rFonts w:ascii="宋体" w:hAnsi="宋体" w:cs="宋体" w:hint="eastAsia"/>
                      <w:color w:val="000000"/>
                      <w:kern w:val="0"/>
                      <w:lang w:val="x-none"/>
                    </w:rPr>
                    <w:t xml:space="preserve"> </w:t>
                  </w:r>
                  <w:r>
                    <w:rPr>
                      <w:rFonts w:ascii="宋体" w:hAnsi="宋体" w:cs="宋体" w:hint="eastAsia"/>
                      <w:color w:val="000000"/>
                      <w:kern w:val="0"/>
                      <w:lang w:val="x-none"/>
                    </w:rPr>
                    <w:t>企业的环境风险防控</w:t>
                  </w:r>
                  <w:r>
                    <w:rPr>
                      <w:rFonts w:ascii="宋体" w:hAnsi="宋体" w:cs="宋体" w:hint="eastAsia"/>
                      <w:color w:val="000000"/>
                      <w:kern w:val="0"/>
                      <w:lang w:val="x-none"/>
                    </w:rPr>
                    <w:t xml:space="preserve"> 2</w:t>
                  </w:r>
                  <w:r>
                    <w:rPr>
                      <w:rFonts w:ascii="宋体" w:hAnsi="宋体" w:cs="宋体" w:hint="eastAsia"/>
                      <w:color w:val="000000"/>
                      <w:kern w:val="0"/>
                      <w:lang w:val="x-none"/>
                    </w:rPr>
                    <w:t>、建立和健全重点管控重金属及危险化学</w:t>
                  </w:r>
                  <w:r>
                    <w:rPr>
                      <w:rFonts w:ascii="宋体" w:hAnsi="宋体" w:cs="宋体" w:hint="eastAsia"/>
                      <w:color w:val="000000"/>
                      <w:kern w:val="0"/>
                      <w:lang w:val="x-none"/>
                    </w:rPr>
                    <w:t xml:space="preserve"> </w:t>
                  </w:r>
                  <w:r>
                    <w:rPr>
                      <w:rFonts w:ascii="宋体" w:hAnsi="宋体" w:cs="宋体" w:hint="eastAsia"/>
                      <w:color w:val="000000"/>
                      <w:kern w:val="0"/>
                      <w:lang w:val="x-none"/>
                    </w:rPr>
                    <w:t>品泄漏等环境风险防范体系，健全应急相应机制</w:t>
                  </w:r>
                  <w:r>
                    <w:rPr>
                      <w:rFonts w:ascii="宋体" w:hAnsi="宋体" w:cs="宋体" w:hint="eastAsia"/>
                      <w:color w:val="000000"/>
                      <w:kern w:val="0"/>
                      <w:lang w:val="x-none"/>
                    </w:rPr>
                    <w:t xml:space="preserve"> 3</w:t>
                  </w:r>
                  <w:r>
                    <w:rPr>
                      <w:rFonts w:ascii="宋体" w:hAnsi="宋体" w:cs="宋体" w:hint="eastAsia"/>
                      <w:color w:val="000000"/>
                      <w:kern w:val="0"/>
                      <w:lang w:val="x-none"/>
                    </w:rPr>
                    <w:t>、上杭蛟洋工业园区、连城朋口工业集中</w:t>
                  </w:r>
                  <w:r>
                    <w:rPr>
                      <w:rFonts w:ascii="宋体" w:hAnsi="宋体" w:cs="宋体" w:hint="eastAsia"/>
                      <w:color w:val="000000"/>
                      <w:kern w:val="0"/>
                      <w:lang w:val="x-none"/>
                    </w:rPr>
                    <w:t xml:space="preserve"> </w:t>
                  </w:r>
                  <w:r>
                    <w:rPr>
                      <w:rFonts w:ascii="宋体" w:hAnsi="宋体" w:cs="宋体" w:hint="eastAsia"/>
                      <w:color w:val="000000"/>
                      <w:kern w:val="0"/>
                      <w:lang w:val="x-none"/>
                    </w:rPr>
                    <w:t>区、漳平新材料产业园区（含漳平华寮化</w:t>
                  </w:r>
                  <w:r>
                    <w:rPr>
                      <w:rFonts w:ascii="宋体" w:hAnsi="宋体" w:cs="宋体" w:hint="eastAsia"/>
                      <w:color w:val="000000"/>
                      <w:kern w:val="0"/>
                      <w:lang w:val="x-none"/>
                    </w:rPr>
                    <w:t xml:space="preserve"> </w:t>
                  </w:r>
                  <w:r>
                    <w:rPr>
                      <w:rFonts w:ascii="宋体" w:hAnsi="宋体" w:cs="宋体" w:hint="eastAsia"/>
                      <w:color w:val="000000"/>
                      <w:kern w:val="0"/>
                      <w:lang w:val="x-none"/>
                    </w:rPr>
                    <w:t>工集中区）、新罗生物精细化工产业园应</w:t>
                  </w:r>
                  <w:r>
                    <w:rPr>
                      <w:rFonts w:ascii="宋体" w:hAnsi="宋体" w:cs="宋体" w:hint="eastAsia"/>
                      <w:color w:val="000000"/>
                      <w:kern w:val="0"/>
                      <w:lang w:val="x-none"/>
                    </w:rPr>
                    <w:t xml:space="preserve"> </w:t>
                  </w:r>
                  <w:r>
                    <w:rPr>
                      <w:rFonts w:ascii="宋体" w:hAnsi="宋体" w:cs="宋体" w:hint="eastAsia"/>
                      <w:color w:val="000000"/>
                      <w:kern w:val="0"/>
                      <w:lang w:val="x-none"/>
                    </w:rPr>
                    <w:t>建设园区事故应急池；</w:t>
                  </w:r>
                  <w:r>
                    <w:rPr>
                      <w:rFonts w:ascii="宋体" w:hAnsi="宋体" w:cs="宋体" w:hint="eastAsia"/>
                      <w:color w:val="000000"/>
                      <w:kern w:val="0"/>
                      <w:lang w:val="x-none"/>
                    </w:rPr>
                    <w:t xml:space="preserve"> 4</w:t>
                  </w:r>
                  <w:r>
                    <w:rPr>
                      <w:rFonts w:ascii="宋体" w:hAnsi="宋体" w:cs="宋体" w:hint="eastAsia"/>
                      <w:color w:val="000000"/>
                      <w:kern w:val="0"/>
                      <w:lang w:val="x-none"/>
                    </w:rPr>
                    <w:t>、九龙江北溪流域禁止行、扩建电镀项目。</w:t>
                  </w:r>
                  <w:r>
                    <w:rPr>
                      <w:rFonts w:ascii="宋体" w:hAnsi="宋体" w:cs="宋体" w:hint="eastAsia"/>
                      <w:color w:val="000000"/>
                      <w:kern w:val="0"/>
                      <w:lang w:val="x-none"/>
                    </w:rPr>
                    <w:t xml:space="preserve"> </w:t>
                  </w:r>
                  <w:r>
                    <w:rPr>
                      <w:rFonts w:ascii="宋体" w:hAnsi="宋体" w:cs="宋体" w:hint="eastAsia"/>
                      <w:color w:val="000000"/>
                      <w:kern w:val="0"/>
                      <w:lang w:val="x-none"/>
                    </w:rPr>
                    <w:t>全市新建电镀项目应集中布局在上杭金铜</w:t>
                  </w:r>
                  <w:r>
                    <w:rPr>
                      <w:rFonts w:ascii="宋体" w:hAnsi="宋体" w:cs="宋体" w:hint="eastAsia"/>
                      <w:color w:val="000000"/>
                      <w:kern w:val="0"/>
                      <w:lang w:val="x-none"/>
                    </w:rPr>
                    <w:t xml:space="preserve"> </w:t>
                  </w:r>
                  <w:r>
                    <w:rPr>
                      <w:rFonts w:ascii="宋体" w:hAnsi="宋体" w:cs="宋体" w:hint="eastAsia"/>
                      <w:color w:val="000000"/>
                      <w:kern w:val="0"/>
                      <w:lang w:val="x-none"/>
                    </w:rPr>
                    <w:t>新材料循环产业园，并严格控制重金属的</w:t>
                  </w:r>
                  <w:r>
                    <w:rPr>
                      <w:rFonts w:ascii="宋体" w:hAnsi="宋体" w:cs="宋体" w:hint="eastAsia"/>
                      <w:color w:val="000000"/>
                      <w:kern w:val="0"/>
                      <w:lang w:val="x-none"/>
                    </w:rPr>
                    <w:t xml:space="preserve"> </w:t>
                  </w:r>
                  <w:r>
                    <w:rPr>
                      <w:rFonts w:ascii="宋体" w:hAnsi="宋体" w:cs="宋体" w:hint="eastAsia"/>
                      <w:color w:val="000000"/>
                      <w:kern w:val="0"/>
                      <w:lang w:val="x-none"/>
                    </w:rPr>
                    <w:t>排放量</w:t>
                  </w:r>
                </w:p>
              </w:tc>
              <w:tc>
                <w:tcPr>
                  <w:tcW w:w="1988" w:type="dxa"/>
                </w:tcPr>
                <w:p w:rsidR="00997F3B">
                  <w:pPr>
                    <w:widowControl/>
                    <w:jc w:val="left"/>
                    <w:rPr>
                      <w:rFonts w:ascii="宋体" w:hAnsi="宋体" w:cs="宋体"/>
                      <w:color w:val="000000"/>
                      <w:kern w:val="0"/>
                      <w:lang w:val="x-none"/>
                    </w:rPr>
                  </w:pPr>
                  <w:r>
                    <w:rPr>
                      <w:rFonts w:ascii="宋体" w:hAnsi="宋体" w:cs="宋体" w:hint="eastAsia"/>
                      <w:color w:val="000000"/>
                      <w:kern w:val="0"/>
                      <w:lang w:val="x-none"/>
                    </w:rPr>
                    <w:t>项目属于</w:t>
                  </w:r>
                  <w:r>
                    <w:rPr>
                      <w:rFonts w:ascii="宋体" w:hAnsi="宋体" w:cs="宋体" w:hint="eastAsia"/>
                      <w:color w:val="000000"/>
                      <w:kern w:val="0"/>
                      <w:lang w:val="x-none"/>
                    </w:rPr>
                    <w:t>非金属矿物制品业</w:t>
                  </w:r>
                  <w:r>
                    <w:rPr>
                      <w:rFonts w:ascii="宋体" w:hAnsi="宋体" w:cs="宋体" w:hint="eastAsia"/>
                      <w:color w:val="000000"/>
                      <w:kern w:val="0"/>
                      <w:lang w:val="x-none"/>
                    </w:rPr>
                    <w:t>，位</w:t>
                  </w:r>
                  <w:r>
                    <w:rPr>
                      <w:rFonts w:ascii="宋体" w:hAnsi="宋体" w:cs="宋体" w:hint="eastAsia"/>
                      <w:color w:val="000000"/>
                      <w:kern w:val="0"/>
                      <w:lang w:val="x-none"/>
                    </w:rPr>
                    <w:t xml:space="preserve"> </w:t>
                  </w:r>
                  <w:r>
                    <w:rPr>
                      <w:rFonts w:ascii="宋体" w:hAnsi="宋体" w:cs="宋体" w:hint="eastAsia"/>
                      <w:color w:val="000000"/>
                      <w:kern w:val="0"/>
                      <w:lang w:val="x-none"/>
                    </w:rPr>
                    <w:t>于龙岩市</w:t>
                  </w:r>
                  <w:r>
                    <w:rPr>
                      <w:rFonts w:ascii="宋体" w:hAnsi="宋体" w:cs="宋体" w:hint="eastAsia"/>
                      <w:color w:val="000000"/>
                      <w:kern w:val="0"/>
                      <w:lang w:val="x-none"/>
                    </w:rPr>
                    <w:t>永定区抚市镇溪联村</w:t>
                  </w:r>
                  <w:r>
                    <w:rPr>
                      <w:rFonts w:ascii="宋体" w:hAnsi="宋体" w:cs="宋体" w:hint="eastAsia"/>
                      <w:color w:val="000000"/>
                      <w:kern w:val="0"/>
                      <w:lang w:val="x-none"/>
                    </w:rPr>
                    <w:t>，不属于重大危险源。</w:t>
                  </w:r>
                </w:p>
              </w:tc>
              <w:tc>
                <w:tcPr>
                  <w:tcW w:w="1176" w:type="dxa"/>
                </w:tcPr>
                <w:p w:rsidR="00997F3B">
                  <w:pPr>
                    <w:widowControl/>
                    <w:jc w:val="left"/>
                    <w:rPr>
                      <w:rFonts w:ascii="宋体" w:hAnsi="宋体" w:cs="宋体"/>
                      <w:color w:val="000000"/>
                      <w:kern w:val="0"/>
                      <w:lang w:val="x-none"/>
                    </w:rPr>
                  </w:pPr>
                </w:p>
              </w:tc>
            </w:tr>
          </w:tbl>
          <w:p w:rsidR="00997F3B">
            <w:pPr>
              <w:widowControl/>
              <w:ind w:firstLine="480" w:firstLineChars="200"/>
              <w:jc w:val="left"/>
              <w:rPr>
                <w:rFonts w:ascii="宋体" w:hAnsi="宋体" w:cs="宋体"/>
                <w:color w:val="000000"/>
                <w:kern w:val="0"/>
                <w:lang w:val="x-none"/>
              </w:rPr>
            </w:pPr>
          </w:p>
          <w:p w:rsidR="00997F3B">
            <w:pPr>
              <w:widowControl/>
              <w:ind w:firstLine="480" w:firstLineChars="200"/>
              <w:jc w:val="left"/>
            </w:pPr>
            <w:r>
              <w:rPr>
                <w:rFonts w:ascii="宋体" w:hAnsi="宋体" w:cs="宋体" w:hint="eastAsia"/>
                <w:color w:val="000000"/>
                <w:kern w:val="0"/>
                <w:lang w:val="x-none"/>
              </w:rPr>
              <w:t>由上述分析可知，项目的实施符合《关于以改善环境质量为核心加强环境影响评价管理的通知》（环评</w:t>
            </w:r>
            <w:r>
              <w:rPr>
                <w:rFonts w:ascii="宋体" w:hAnsi="宋体" w:cs="宋体" w:hint="eastAsia"/>
                <w:color w:val="000000"/>
                <w:kern w:val="0"/>
                <w:lang w:val="x-none"/>
              </w:rPr>
              <w:t xml:space="preserve"> </w:t>
            </w:r>
            <w:r>
              <w:rPr>
                <w:rFonts w:ascii="Times New Roman" w:hAnsi="Times New Roman" w:cs="Times New Roman"/>
                <w:color w:val="000000"/>
                <w:kern w:val="0"/>
                <w:lang w:val="x-none"/>
              </w:rPr>
              <w:t xml:space="preserve">[2016]150 </w:t>
            </w:r>
            <w:r>
              <w:rPr>
                <w:rFonts w:ascii="宋体" w:hAnsi="宋体" w:cs="宋体" w:hint="eastAsia"/>
                <w:color w:val="000000"/>
                <w:kern w:val="0"/>
                <w:lang w:val="x-none"/>
              </w:rPr>
              <w:t>号）中</w:t>
            </w:r>
            <w:r>
              <w:rPr>
                <w:rFonts w:ascii="Times New Roman" w:hAnsi="Times New Roman" w:cs="Times New Roman"/>
                <w:color w:val="000000"/>
                <w:kern w:val="0"/>
                <w:lang w:val="x-none"/>
              </w:rPr>
              <w:t>“</w:t>
            </w:r>
            <w:r>
              <w:rPr>
                <w:rFonts w:ascii="宋体" w:hAnsi="宋体" w:cs="宋体" w:hint="eastAsia"/>
                <w:color w:val="000000"/>
                <w:kern w:val="0"/>
                <w:lang w:val="x-none"/>
              </w:rPr>
              <w:t>三线一</w:t>
            </w:r>
            <w:bookmarkStart w:id="0" w:name="_GoBack"/>
            <w:bookmarkEnd w:id="0"/>
            <w:r>
              <w:rPr>
                <w:rFonts w:ascii="宋体" w:hAnsi="宋体" w:cs="宋体" w:hint="eastAsia"/>
                <w:color w:val="000000"/>
                <w:kern w:val="0"/>
                <w:lang w:val="x-none"/>
              </w:rPr>
              <w:t>单</w:t>
            </w:r>
            <w:r>
              <w:rPr>
                <w:rFonts w:ascii="Times New Roman" w:hAnsi="Times New Roman" w:cs="Times New Roman"/>
                <w:color w:val="000000"/>
                <w:kern w:val="0"/>
                <w:lang w:val="x-none"/>
              </w:rPr>
              <w:t>”</w:t>
            </w:r>
            <w:r>
              <w:rPr>
                <w:rFonts w:ascii="宋体" w:hAnsi="宋体" w:cs="宋体" w:hint="eastAsia"/>
                <w:color w:val="000000"/>
                <w:kern w:val="0"/>
                <w:lang w:val="x-none"/>
              </w:rPr>
              <w:t>的要求。符合《龙岩市人民政府关于印发龙岩市</w:t>
            </w:r>
            <w:r>
              <w:rPr>
                <w:rFonts w:ascii="Times New Roman" w:hAnsi="Times New Roman" w:cs="Times New Roman"/>
                <w:color w:val="000000"/>
                <w:kern w:val="0"/>
                <w:lang w:val="x-none"/>
              </w:rPr>
              <w:t>“</w:t>
            </w:r>
            <w:r>
              <w:rPr>
                <w:rFonts w:ascii="宋体" w:hAnsi="宋体" w:cs="宋体" w:hint="eastAsia"/>
                <w:color w:val="000000"/>
                <w:kern w:val="0"/>
                <w:lang w:val="x-none"/>
              </w:rPr>
              <w:t>三线一单</w:t>
            </w:r>
            <w:r>
              <w:rPr>
                <w:rFonts w:ascii="Times New Roman" w:hAnsi="Times New Roman" w:cs="Times New Roman"/>
                <w:color w:val="000000"/>
                <w:kern w:val="0"/>
                <w:lang w:val="x-none"/>
              </w:rPr>
              <w:t>”</w:t>
            </w:r>
            <w:r>
              <w:rPr>
                <w:rFonts w:ascii="宋体" w:hAnsi="宋体" w:cs="宋体" w:hint="eastAsia"/>
                <w:color w:val="000000"/>
                <w:kern w:val="0"/>
                <w:lang w:val="x-none"/>
              </w:rPr>
              <w:t>生态环境分区管控方案的通知》（龙政综</w:t>
            </w:r>
            <w:r>
              <w:rPr>
                <w:rFonts w:ascii="Times New Roman" w:hAnsi="Times New Roman" w:cs="Times New Roman"/>
                <w:color w:val="000000"/>
                <w:kern w:val="0"/>
                <w:lang w:val="x-none"/>
              </w:rPr>
              <w:t xml:space="preserve">[2021]72 </w:t>
            </w:r>
            <w:r>
              <w:rPr>
                <w:rFonts w:ascii="宋体" w:hAnsi="宋体" w:cs="宋体" w:hint="eastAsia"/>
                <w:color w:val="000000"/>
                <w:kern w:val="0"/>
                <w:lang w:val="x-none"/>
              </w:rPr>
              <w:t>号）的要求。</w:t>
            </w:r>
          </w:p>
          <w:p w:rsidR="00997F3B">
            <w:pPr>
              <w:numPr>
                <w:ilvl w:val="0"/>
                <w:numId w:val="1"/>
              </w:numPr>
              <w:rPr>
                <w:rFonts w:ascii="Times New Roman" w:hAnsi="Times New Roman" w:cs="Times New Roman"/>
                <w:b/>
                <w:bCs/>
              </w:rPr>
            </w:pPr>
            <w:r>
              <w:rPr>
                <w:rFonts w:ascii="Times New Roman" w:hAnsi="Times New Roman" w:cs="Times New Roman"/>
                <w:b/>
                <w:bCs/>
              </w:rPr>
              <w:t>选址符合性分析</w:t>
            </w:r>
          </w:p>
          <w:p w:rsidR="00997F3B">
            <w:pPr>
              <w:ind w:firstLine="480" w:firstLineChars="200"/>
              <w:rPr>
                <w:rFonts w:ascii="Times New Roman" w:hAnsi="Times New Roman" w:cs="Times New Roman"/>
              </w:rPr>
            </w:pPr>
            <w:r>
              <w:rPr>
                <w:rFonts w:ascii="Times New Roman" w:hAnsi="Times New Roman" w:cs="Times New Roman"/>
              </w:rPr>
              <w:t>项目位于福建省龙岩市永定区抚市镇溪联村，租用</w:t>
            </w:r>
            <w:r>
              <w:rPr>
                <w:rFonts w:ascii="Times New Roman" w:hAnsi="Times New Roman" w:cs="Times New Roman" w:hint="eastAsia"/>
              </w:rPr>
              <w:t>龙岩市永定区华兴机砖厂闲置厂房</w:t>
            </w:r>
            <w:r>
              <w:rPr>
                <w:rFonts w:ascii="Times New Roman" w:hAnsi="Times New Roman" w:cs="Times New Roman"/>
              </w:rPr>
              <w:t>进行建设，</w:t>
            </w:r>
            <w:r>
              <w:rPr>
                <w:rFonts w:ascii="Times New Roman" w:hAnsi="Times New Roman" w:cs="Times New Roman" w:hint="eastAsia"/>
              </w:rPr>
              <w:t>项目四周均为山地，项目最近敏感点位西南方向</w:t>
            </w:r>
            <w:r>
              <w:rPr>
                <w:rFonts w:ascii="Times New Roman" w:hAnsi="Times New Roman" w:cs="Times New Roman" w:hint="eastAsia"/>
              </w:rPr>
              <w:t>1230m</w:t>
            </w:r>
            <w:r>
              <w:rPr>
                <w:rFonts w:ascii="Times New Roman" w:hAnsi="Times New Roman" w:cs="Times New Roman" w:hint="eastAsia"/>
              </w:rPr>
              <w:t>的溪联村。</w:t>
            </w:r>
            <w:r>
              <w:rPr>
                <w:rFonts w:ascii="Times New Roman" w:hAnsi="Times New Roman" w:cs="Times New Roman"/>
              </w:rPr>
              <w:t>项目投资经</w:t>
            </w:r>
            <w:r>
              <w:rPr>
                <w:rFonts w:ascii="Times New Roman" w:hAnsi="Times New Roman" w:cs="Times New Roman" w:hint="eastAsia"/>
              </w:rPr>
              <w:t>永定区</w:t>
            </w:r>
            <w:r>
              <w:rPr>
                <w:rFonts w:ascii="Times New Roman" w:hAnsi="Times New Roman" w:cs="Times New Roman"/>
              </w:rPr>
              <w:t>发改局同意备案，选址经抚市镇镇政府确认，占地不涉及基本农田、生态林等特殊用地。因此，建设项目符合抚市镇规划。项目投入运行后对周围环境及敏感目标的影响在可接受范围内，不会改变当地的环境功能。</w:t>
            </w:r>
            <w:r>
              <w:rPr>
                <w:rFonts w:ascii="Times New Roman" w:hAnsi="Times New Roman" w:cs="Times New Roman"/>
              </w:rPr>
              <w:t xml:space="preserve"> </w:t>
            </w:r>
          </w:p>
          <w:p w:rsidR="00997F3B">
            <w:pPr>
              <w:ind w:firstLine="480" w:firstLineChars="200"/>
              <w:rPr>
                <w:rFonts w:ascii="Times New Roman" w:hAnsi="Times New Roman" w:cs="Times New Roman"/>
              </w:rPr>
            </w:pPr>
            <w:r>
              <w:rPr>
                <w:rFonts w:ascii="Times New Roman" w:hAnsi="Times New Roman" w:cs="Times New Roman"/>
              </w:rPr>
              <w:t>综上所述，本项目的选址当地总体规划要求，与区域环境功能相容性较好，项目选址基本合理。</w:t>
            </w:r>
            <w:r>
              <w:rPr>
                <w:rFonts w:ascii="Times New Roman" w:hAnsi="Times New Roman" w:cs="Times New Roman"/>
              </w:rPr>
              <w:t xml:space="preserve"> </w:t>
            </w:r>
          </w:p>
        </w:tc>
      </w:tr>
    </w:tbl>
    <w:p w:rsidR="00997F3B">
      <w:pPr>
        <w:pStyle w:val="Heading1"/>
        <w:rPr>
          <w:rFonts w:ascii="Times New Roman" w:hAnsi="Times New Roman" w:cs="Times New Roman"/>
          <w:sz w:val="24"/>
          <w:szCs w:val="24"/>
          <w:lang w:eastAsia="zh-CN"/>
        </w:rPr>
      </w:pPr>
      <w:r>
        <w:rPr>
          <w:rFonts w:ascii="Times New Roman" w:hAnsi="Times New Roman" w:cs="Times New Roman"/>
          <w:sz w:val="24"/>
          <w:szCs w:val="24"/>
          <w:lang w:eastAsia="zh-CN"/>
        </w:rPr>
        <w:t>二、建设项目工程分析</w:t>
      </w:r>
    </w:p>
    <w:tbl>
      <w:tblPr>
        <w:tblStyle w:val="TableGrid4"/>
        <w:tblW w:w="10010"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751"/>
        <w:gridCol w:w="9259"/>
      </w:tblGrid>
      <w:tr>
        <w:tblPrEx>
          <w:tblW w:w="10010" w:type="dxa"/>
          <w:jc w:val="center"/>
          <w:tblBorders>
            <w:top w:val="single" w:sz="12" w:space="0" w:color="auto"/>
            <w:left w:val="single" w:sz="12" w:space="0" w:color="auto"/>
            <w:bottom w:val="single" w:sz="12" w:space="0" w:color="auto"/>
            <w:right w:val="single" w:sz="12" w:space="0" w:color="auto"/>
          </w:tblBorders>
          <w:tblLayout w:type="fixed"/>
          <w:tblLook w:val="04A0"/>
        </w:tblPrEx>
        <w:trPr>
          <w:jc w:val="center"/>
        </w:trPr>
        <w:tc>
          <w:tcPr>
            <w:tcW w:w="751" w:type="dxa"/>
            <w:vAlign w:val="center"/>
          </w:tcPr>
          <w:p w:rsidR="00997F3B">
            <w:pPr>
              <w:spacing w:after="0"/>
              <w:jc w:val="center"/>
              <w:rPr>
                <w:rFonts w:ascii="Times New Roman" w:hAnsi="Times New Roman" w:eastAsiaTheme="minorEastAsia" w:cs="Times New Roman"/>
              </w:rPr>
            </w:pPr>
          </w:p>
        </w:tc>
        <w:tc>
          <w:tcPr>
            <w:tcW w:w="9259" w:type="dxa"/>
            <w:vAlign w:val="center"/>
          </w:tcPr>
          <w:p w:rsidR="00997F3B">
            <w:pPr>
              <w:numPr>
                <w:ilvl w:val="0"/>
                <w:numId w:val="2"/>
              </w:numPr>
              <w:rPr>
                <w:rFonts w:ascii="Times New Roman" w:hAnsi="Times New Roman" w:cs="Times New Roman"/>
                <w:b/>
                <w:bCs/>
              </w:rPr>
            </w:pPr>
            <w:r>
              <w:rPr>
                <w:rFonts w:ascii="Times New Roman" w:hAnsi="Times New Roman" w:cs="Times New Roman"/>
                <w:b/>
                <w:bCs/>
              </w:rPr>
              <w:t>项目由来</w:t>
            </w:r>
          </w:p>
        </w:tc>
      </w:tr>
    </w:tbl>
    <w:p>
      <w:pPr>
        <w:sectPr>
          <w:footerReference w:type="default" r:id="rId9"/>
          <w:type w:val="nextPage"/>
          <w:pgSz w:w="11906" w:h="16838"/>
          <w:pgMar w:top="1440" w:right="1800" w:bottom="1440" w:left="1800" w:header="851" w:footer="992" w:gutter="0"/>
          <w:pgNumType w:start="5"/>
          <w:cols w:space="425"/>
          <w:titlePg w:val="0"/>
          <w:docGrid w:type="lines" w:linePitch="312"/>
        </w:sectPr>
      </w:pPr>
    </w:p>
    <w:tbl>
      <w:tblPr>
        <w:tblStyle w:val="TableGrid5"/>
        <w:tblW w:w="10010"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751"/>
        <w:gridCol w:w="9259"/>
      </w:tblGrid>
      <w:tr>
        <w:tblPrEx>
          <w:tblW w:w="10010" w:type="dxa"/>
          <w:jc w:val="center"/>
          <w:tblBorders>
            <w:top w:val="single" w:sz="12" w:space="0" w:color="auto"/>
            <w:left w:val="single" w:sz="12" w:space="0" w:color="auto"/>
            <w:bottom w:val="single" w:sz="12" w:space="0" w:color="auto"/>
            <w:right w:val="single" w:sz="12" w:space="0" w:color="auto"/>
          </w:tblBorders>
          <w:tblLayout w:type="fixed"/>
          <w:tblLook w:val="04A0"/>
        </w:tblPrEx>
        <w:trPr>
          <w:jc w:val="center"/>
        </w:trPr>
        <w:tc>
          <w:tcPr>
            <w:tcW w:w="751" w:type="dxa"/>
            <w:vAlign w:val="center"/>
          </w:tcPr>
          <w:p w:rsidR="00997F3B">
            <w:pPr>
              <w:spacing w:before="0"/>
              <w:jc w:val="center"/>
              <w:rPr>
                <w:rFonts w:ascii="Times New Roman" w:hAnsi="Times New Roman" w:eastAsiaTheme="minorEastAsia" w:cs="Times New Roman"/>
              </w:rPr>
            </w:pPr>
            <w:r>
              <w:rPr>
                <w:rFonts w:ascii="Times New Roman" w:hAnsi="Times New Roman" w:eastAsiaTheme="minorEastAsia" w:cs="Times New Roman"/>
              </w:rPr>
              <w:t>建设内容</w:t>
            </w:r>
          </w:p>
        </w:tc>
        <w:tc>
          <w:tcPr>
            <w:tcW w:w="9259" w:type="dxa"/>
            <w:vAlign w:val="center"/>
          </w:tcPr>
          <w:p w:rsidR="00997F3B">
            <w:pPr>
              <w:ind w:firstLine="480" w:firstLineChars="200"/>
              <w:rPr>
                <w:rFonts w:ascii="Times New Roman" w:hAnsi="Times New Roman" w:cs="Times New Roman"/>
              </w:rPr>
            </w:pPr>
            <w:r>
              <w:rPr>
                <w:rFonts w:ascii="Times New Roman" w:hAnsi="Times New Roman" w:cs="Times New Roman"/>
              </w:rPr>
              <w:t>龙岩市下坑工贸有限公司</w:t>
            </w:r>
            <w:r>
              <w:rPr>
                <w:rFonts w:ascii="Times New Roman" w:hAnsi="Times New Roman" w:cs="Times New Roman"/>
              </w:rPr>
              <w:t>成立于</w:t>
            </w:r>
            <w:r>
              <w:rPr>
                <w:rFonts w:ascii="Times New Roman" w:hAnsi="Times New Roman" w:cs="Times New Roman"/>
              </w:rPr>
              <w:t>202</w:t>
            </w:r>
            <w:r>
              <w:rPr>
                <w:rFonts w:ascii="Times New Roman" w:hAnsi="Times New Roman" w:cs="Times New Roman"/>
              </w:rPr>
              <w:t>0</w:t>
            </w:r>
            <w:r>
              <w:rPr>
                <w:rFonts w:ascii="Times New Roman" w:hAnsi="Times New Roman" w:cs="Times New Roman"/>
              </w:rPr>
              <w:t>年</w:t>
            </w:r>
            <w:r>
              <w:rPr>
                <w:rFonts w:ascii="Times New Roman" w:hAnsi="Times New Roman" w:cs="Times New Roman"/>
              </w:rPr>
              <w:t>3</w:t>
            </w:r>
            <w:r>
              <w:rPr>
                <w:rFonts w:ascii="Times New Roman" w:hAnsi="Times New Roman" w:cs="Times New Roman"/>
              </w:rPr>
              <w:t>月</w:t>
            </w:r>
            <w:r>
              <w:rPr>
                <w:rFonts w:ascii="Times New Roman" w:hAnsi="Times New Roman" w:cs="Times New Roman"/>
              </w:rPr>
              <w:t>30</w:t>
            </w:r>
            <w:r>
              <w:rPr>
                <w:rFonts w:ascii="Times New Roman" w:hAnsi="Times New Roman" w:cs="Times New Roman"/>
              </w:rPr>
              <w:t>日，位于福建省龙岩市永定区抚市镇溪联村下坑</w:t>
            </w:r>
            <w:r>
              <w:rPr>
                <w:rFonts w:ascii="Times New Roman" w:hAnsi="Times New Roman" w:cs="Times New Roman"/>
              </w:rPr>
              <w:t>37</w:t>
            </w:r>
            <w:r>
              <w:rPr>
                <w:rFonts w:ascii="Times New Roman" w:hAnsi="Times New Roman" w:cs="Times New Roman"/>
              </w:rPr>
              <w:t>号，拟投资</w:t>
            </w:r>
            <w:r>
              <w:rPr>
                <w:rFonts w:ascii="Times New Roman" w:hAnsi="Times New Roman" w:cs="Times New Roman"/>
              </w:rPr>
              <w:t>200</w:t>
            </w:r>
            <w:r>
              <w:rPr>
                <w:rFonts w:ascii="Times New Roman" w:hAnsi="Times New Roman" w:cs="Times New Roman"/>
              </w:rPr>
              <w:t>万元</w:t>
            </w:r>
            <w:r>
              <w:rPr>
                <w:rFonts w:ascii="Times New Roman" w:hAnsi="Times New Roman" w:cs="Times New Roman"/>
              </w:rPr>
              <w:t>于</w:t>
            </w:r>
            <w:r>
              <w:rPr>
                <w:rFonts w:ascii="Times New Roman" w:hAnsi="Times New Roman" w:cs="Times New Roman"/>
              </w:rPr>
              <w:t>龙岩市永定区抚市镇溪联村建设</w:t>
            </w:r>
            <w:r>
              <w:rPr>
                <w:rFonts w:ascii="Times New Roman" w:hAnsi="Times New Roman" w:cs="Times New Roman"/>
              </w:rPr>
              <w:t>煤矸石综合利用项目</w:t>
            </w:r>
            <w:r>
              <w:rPr>
                <w:rFonts w:ascii="Times New Roman" w:hAnsi="Times New Roman" w:cs="Times New Roman"/>
              </w:rPr>
              <w:t>，并于</w:t>
            </w:r>
            <w:r>
              <w:rPr>
                <w:rFonts w:ascii="Times New Roman" w:hAnsi="Times New Roman" w:cs="Times New Roman"/>
              </w:rPr>
              <w:t>2021</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w:t>
            </w:r>
            <w:r>
              <w:rPr>
                <w:rFonts w:ascii="Times New Roman" w:hAnsi="Times New Roman" w:cs="Times New Roman"/>
              </w:rPr>
              <w:t>23</w:t>
            </w:r>
            <w:r>
              <w:rPr>
                <w:rFonts w:ascii="Times New Roman" w:hAnsi="Times New Roman" w:cs="Times New Roman"/>
              </w:rPr>
              <w:t>日取得</w:t>
            </w:r>
            <w:r>
              <w:rPr>
                <w:rFonts w:ascii="Times New Roman" w:hAnsi="Times New Roman" w:cs="Times New Roman"/>
              </w:rPr>
              <w:t>永定区</w:t>
            </w:r>
            <w:r>
              <w:rPr>
                <w:rFonts w:ascii="Times New Roman" w:hAnsi="Times New Roman" w:cs="Times New Roman"/>
              </w:rPr>
              <w:t>发展和改革局的备案（</w:t>
            </w:r>
            <w:r>
              <w:rPr>
                <w:rFonts w:ascii="Times New Roman" w:hAnsi="Times New Roman" w:cs="Times New Roman"/>
              </w:rPr>
              <w:t>闽发改备</w:t>
            </w:r>
            <w:r>
              <w:rPr>
                <w:rFonts w:ascii="Times New Roman" w:hAnsi="Times New Roman" w:cs="Times New Roman"/>
              </w:rPr>
              <w:t>[2021]F030146</w:t>
            </w:r>
            <w:r>
              <w:rPr>
                <w:rFonts w:ascii="Times New Roman" w:hAnsi="Times New Roman" w:cs="Times New Roman"/>
              </w:rPr>
              <w:t>号</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根据《中华人民共和国环境影响评价法》、《建设项目环境保护管理条例》和国家环境保护有关法律、法规的要求，该项目属于《建设项目环境影响评价分类管理名录》（</w:t>
            </w:r>
            <w:r>
              <w:rPr>
                <w:rFonts w:ascii="Times New Roman" w:hAnsi="Times New Roman" w:cs="Times New Roman"/>
              </w:rPr>
              <w:t>2021</w:t>
            </w:r>
            <w:r>
              <w:rPr>
                <w:rFonts w:ascii="Times New Roman" w:hAnsi="Times New Roman" w:cs="Times New Roman"/>
              </w:rPr>
              <w:t>年版）中</w:t>
            </w:r>
            <w:r>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rPr>
              <w:t>“</w:t>
            </w:r>
            <w:r>
              <w:rPr>
                <w:rFonts w:ascii="Times New Roman" w:hAnsi="Times New Roman" w:cs="Times New Roman"/>
              </w:rPr>
              <w:t>二十七、非金属矿物制品业</w:t>
            </w:r>
            <w:r>
              <w:rPr>
                <w:rFonts w:ascii="Times New Roman" w:hAnsi="Times New Roman" w:cs="Times New Roman"/>
              </w:rPr>
              <w:t xml:space="preserve"> 30—60 </w:t>
            </w:r>
            <w:r>
              <w:rPr>
                <w:rFonts w:ascii="Times New Roman" w:hAnsi="Times New Roman" w:cs="Times New Roman"/>
              </w:rPr>
              <w:t>耐火材料制品制造</w:t>
            </w:r>
            <w:r>
              <w:rPr>
                <w:rFonts w:ascii="Times New Roman" w:hAnsi="Times New Roman" w:cs="Times New Roman"/>
              </w:rPr>
              <w:t xml:space="preserve"> 308</w:t>
            </w:r>
            <w:r>
              <w:rPr>
                <w:rFonts w:ascii="Times New Roman" w:hAnsi="Times New Roman" w:cs="Times New Roman"/>
              </w:rPr>
              <w:t>；石墨及其他非金属矿物制品制造</w:t>
            </w:r>
            <w:r>
              <w:rPr>
                <w:rFonts w:ascii="Times New Roman" w:hAnsi="Times New Roman" w:cs="Times New Roman"/>
              </w:rPr>
              <w:t xml:space="preserve"> 309</w:t>
            </w:r>
            <w:r>
              <w:rPr>
                <w:rFonts w:ascii="Times New Roman" w:hAnsi="Times New Roman" w:cs="Times New Roman"/>
              </w:rPr>
              <w:t>”</w:t>
            </w:r>
            <w:r>
              <w:rPr>
                <w:rFonts w:ascii="Times New Roman" w:hAnsi="Times New Roman" w:cs="Times New Roman"/>
              </w:rPr>
              <w:t>，需要编制报告表。因此，</w:t>
            </w:r>
            <w:r>
              <w:rPr>
                <w:rFonts w:ascii="Times New Roman" w:hAnsi="Times New Roman" w:cs="Times New Roman"/>
              </w:rPr>
              <w:t>龙岩市下坑工贸有限公司</w:t>
            </w:r>
            <w:r>
              <w:rPr>
                <w:rFonts w:ascii="Times New Roman" w:hAnsi="Times New Roman" w:cs="Times New Roman"/>
              </w:rPr>
              <w:t>特委托本评价单位编制本项目环境影响报告表。本单位接受委托后即派技术人员现场踏勘，经资料收集与调研后，根据本项目的特点和</w:t>
            </w:r>
            <w:r>
              <w:rPr>
                <w:rFonts w:ascii="Times New Roman" w:hAnsi="Times New Roman" w:cs="Times New Roman"/>
              </w:rPr>
              <w:t>项目所在地的环境特征编制了本环境影响报告表，供建设单位上报环保部门审批。</w:t>
            </w:r>
          </w:p>
          <w:p w:rsidR="00997F3B">
            <w:pPr>
              <w:numPr>
                <w:ilvl w:val="0"/>
                <w:numId w:val="2"/>
              </w:numPr>
              <w:rPr>
                <w:rFonts w:ascii="Times New Roman" w:hAnsi="Times New Roman" w:cs="Times New Roman"/>
                <w:b/>
                <w:bCs/>
              </w:rPr>
            </w:pPr>
            <w:r>
              <w:rPr>
                <w:rFonts w:ascii="Times New Roman" w:hAnsi="Times New Roman" w:cs="Times New Roman"/>
                <w:b/>
                <w:bCs/>
              </w:rPr>
              <w:t>主要产品及产能</w:t>
            </w:r>
          </w:p>
          <w:p w:rsidR="00997F3B">
            <w:pPr>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本项目建成后产品方案见表</w:t>
            </w:r>
            <w:r>
              <w:rPr>
                <w:rFonts w:ascii="Times New Roman" w:hAnsi="Times New Roman" w:cs="Times New Roman"/>
              </w:rPr>
              <w:t>2-1</w:t>
            </w:r>
            <w:r>
              <w:rPr>
                <w:rFonts w:ascii="Times New Roman" w:hAnsi="Times New Roman" w:cs="Times New Roman"/>
              </w:rPr>
              <w:t>。</w:t>
            </w:r>
          </w:p>
          <w:p w:rsidR="00997F3B">
            <w:pPr>
              <w:jc w:val="center"/>
              <w:rPr>
                <w:rFonts w:ascii="Times New Roman" w:hAnsi="Times New Roman" w:cs="Times New Roman"/>
                <w:b/>
                <w:bCs/>
              </w:rPr>
            </w:pPr>
            <w:r>
              <w:rPr>
                <w:rFonts w:ascii="Times New Roman" w:hAnsi="Times New Roman" w:cs="Times New Roman"/>
                <w:b/>
                <w:bCs/>
              </w:rPr>
              <w:t>表</w:t>
            </w:r>
            <w:r>
              <w:rPr>
                <w:rFonts w:ascii="Times New Roman" w:hAnsi="Times New Roman" w:cs="Times New Roman"/>
                <w:b/>
                <w:bCs/>
              </w:rPr>
              <w:t xml:space="preserve">2-1 </w:t>
            </w:r>
            <w:r>
              <w:rPr>
                <w:rFonts w:ascii="Times New Roman" w:hAnsi="Times New Roman" w:cs="Times New Roman"/>
                <w:b/>
                <w:bCs/>
              </w:rPr>
              <w:t>项目主要产品一览表</w:t>
            </w:r>
          </w:p>
          <w:tbl>
            <w:tblPr>
              <w:tblStyle w:val="TableNormal"/>
              <w:tblW w:w="7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2"/>
              <w:gridCol w:w="3159"/>
              <w:gridCol w:w="1583"/>
              <w:gridCol w:w="1514"/>
            </w:tblGrid>
            <w:tr>
              <w:tblPrEx>
                <w:tblW w:w="7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91"/>
                <w:jc w:val="center"/>
              </w:trPr>
              <w:tc>
                <w:tcPr>
                  <w:tcW w:w="982"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3159"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产品</w:t>
                  </w:r>
                </w:p>
              </w:tc>
              <w:tc>
                <w:tcPr>
                  <w:tcW w:w="3097" w:type="dxa"/>
                  <w:gridSpan w:val="2"/>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年产量</w:t>
                  </w:r>
                  <w:r>
                    <w:rPr>
                      <w:rFonts w:ascii="Times New Roman" w:hAnsi="Times New Roman" w:cs="Times New Roman"/>
                      <w:sz w:val="21"/>
                      <w:szCs w:val="21"/>
                    </w:rPr>
                    <w:t>（</w:t>
                  </w:r>
                  <w:r>
                    <w:rPr>
                      <w:rFonts w:ascii="Times New Roman" w:hAnsi="Times New Roman" w:cs="Times New Roman"/>
                      <w:sz w:val="21"/>
                      <w:szCs w:val="21"/>
                    </w:rPr>
                    <w:t>t/a</w:t>
                  </w:r>
                  <w:r>
                    <w:rPr>
                      <w:rFonts w:ascii="Times New Roman" w:hAnsi="Times New Roman" w:cs="Times New Roman"/>
                      <w:sz w:val="21"/>
                      <w:szCs w:val="21"/>
                    </w:rPr>
                    <w:t>）</w:t>
                  </w:r>
                </w:p>
              </w:tc>
            </w:tr>
            <w:tr>
              <w:tblPrEx>
                <w:tblW w:w="7238" w:type="dxa"/>
                <w:jc w:val="center"/>
                <w:tblLayout w:type="fixed"/>
                <w:tblLook w:val="04A0"/>
              </w:tblPrEx>
              <w:trPr>
                <w:trHeight w:val="474"/>
                <w:jc w:val="center"/>
              </w:trPr>
              <w:tc>
                <w:tcPr>
                  <w:tcW w:w="982"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3159"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机制</w:t>
                  </w:r>
                  <w:r>
                    <w:rPr>
                      <w:rFonts w:ascii="Times New Roman" w:hAnsi="Times New Roman" w:cs="Times New Roman"/>
                      <w:sz w:val="21"/>
                      <w:szCs w:val="21"/>
                    </w:rPr>
                    <w:t>石（大于</w:t>
                  </w:r>
                  <w:r>
                    <w:rPr>
                      <w:rFonts w:ascii="Times New Roman" w:hAnsi="Times New Roman" w:cs="Times New Roman"/>
                      <w:sz w:val="21"/>
                      <w:szCs w:val="21"/>
                    </w:rPr>
                    <w:t>12mm</w:t>
                  </w:r>
                  <w:r>
                    <w:rPr>
                      <w:rFonts w:ascii="Times New Roman" w:hAnsi="Times New Roman" w:cs="Times New Roman"/>
                      <w:sz w:val="21"/>
                      <w:szCs w:val="21"/>
                    </w:rPr>
                    <w:t>）</w:t>
                  </w:r>
                </w:p>
              </w:tc>
              <w:tc>
                <w:tcPr>
                  <w:tcW w:w="1583" w:type="dxa"/>
                  <w:vMerge w:val="restart"/>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75×10</w:t>
                  </w:r>
                  <w:r>
                    <w:rPr>
                      <w:rFonts w:ascii="Times New Roman" w:hAnsi="Times New Roman" w:cs="Times New Roman"/>
                      <w:sz w:val="21"/>
                      <w:szCs w:val="21"/>
                      <w:vertAlign w:val="superscript"/>
                    </w:rPr>
                    <w:t>4</w:t>
                  </w:r>
                </w:p>
              </w:tc>
              <w:tc>
                <w:tcPr>
                  <w:tcW w:w="1514" w:type="dxa"/>
                  <w:vAlign w:val="center"/>
                </w:tcPr>
                <w:p w:rsidR="00997F3B">
                  <w:pPr>
                    <w:spacing w:line="240" w:lineRule="auto"/>
                    <w:rPr>
                      <w:rFonts w:ascii="Times New Roman" w:hAnsi="Times New Roman" w:cs="Times New Roman"/>
                      <w:sz w:val="21"/>
                      <w:szCs w:val="21"/>
                    </w:rPr>
                  </w:pPr>
                  <w:r>
                    <w:rPr>
                      <w:rFonts w:ascii="Times New Roman" w:hAnsi="Times New Roman" w:cs="Times New Roman"/>
                      <w:sz w:val="21"/>
                      <w:szCs w:val="21"/>
                    </w:rPr>
                    <w:t>根据需求调整</w:t>
                  </w:r>
                </w:p>
              </w:tc>
            </w:tr>
            <w:tr>
              <w:tblPrEx>
                <w:tblW w:w="7238" w:type="dxa"/>
                <w:jc w:val="center"/>
                <w:tblLayout w:type="fixed"/>
                <w:tblLook w:val="04A0"/>
              </w:tblPrEx>
              <w:trPr>
                <w:trHeight w:val="383"/>
                <w:jc w:val="center"/>
              </w:trPr>
              <w:tc>
                <w:tcPr>
                  <w:tcW w:w="982" w:type="dxa"/>
                  <w:vMerge w:val="restart"/>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3159" w:type="dxa"/>
                  <w:vMerge w:val="restart"/>
                  <w:vAlign w:val="center"/>
                </w:tcPr>
                <w:p w:rsidR="00997F3B">
                  <w:pPr>
                    <w:spacing w:line="240" w:lineRule="auto"/>
                    <w:jc w:val="center"/>
                    <w:rPr>
                      <w:rFonts w:ascii="Times New Roman" w:hAnsi="Times New Roman" w:cs="Times New Roman"/>
                      <w:b/>
                      <w:bCs/>
                      <w:sz w:val="21"/>
                      <w:szCs w:val="21"/>
                    </w:rPr>
                  </w:pPr>
                  <w:r>
                    <w:rPr>
                      <w:rFonts w:ascii="Times New Roman" w:hAnsi="Times New Roman" w:cs="Times New Roman"/>
                      <w:sz w:val="21"/>
                      <w:szCs w:val="21"/>
                    </w:rPr>
                    <w:t>机制</w:t>
                  </w:r>
                  <w:r>
                    <w:rPr>
                      <w:rFonts w:ascii="Times New Roman" w:hAnsi="Times New Roman" w:cs="Times New Roman"/>
                      <w:sz w:val="21"/>
                      <w:szCs w:val="21"/>
                    </w:rPr>
                    <w:t>石（</w:t>
                  </w:r>
                  <w:r>
                    <w:rPr>
                      <w:rFonts w:ascii="Times New Roman" w:hAnsi="Times New Roman" w:cs="Times New Roman"/>
                      <w:sz w:val="21"/>
                      <w:szCs w:val="21"/>
                    </w:rPr>
                    <w:t>10-12mm</w:t>
                  </w:r>
                  <w:r>
                    <w:rPr>
                      <w:rFonts w:ascii="Times New Roman" w:hAnsi="Times New Roman" w:cs="Times New Roman"/>
                      <w:sz w:val="21"/>
                      <w:szCs w:val="21"/>
                    </w:rPr>
                    <w:t>）</w:t>
                  </w:r>
                </w:p>
              </w:tc>
              <w:tc>
                <w:tcPr>
                  <w:tcW w:w="1583" w:type="dxa"/>
                  <w:vMerge/>
                  <w:vAlign w:val="center"/>
                </w:tcPr>
                <w:p w:rsidR="00997F3B">
                  <w:pPr>
                    <w:spacing w:line="240" w:lineRule="auto"/>
                    <w:jc w:val="center"/>
                    <w:rPr>
                      <w:rFonts w:ascii="Times New Roman" w:hAnsi="Times New Roman" w:cs="Times New Roman"/>
                      <w:sz w:val="21"/>
                      <w:szCs w:val="21"/>
                    </w:rPr>
                  </w:pPr>
                </w:p>
              </w:tc>
              <w:tc>
                <w:tcPr>
                  <w:tcW w:w="1514"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根据需求调整</w:t>
                  </w:r>
                </w:p>
              </w:tc>
            </w:tr>
            <w:tr>
              <w:tblPrEx>
                <w:tblW w:w="7238" w:type="dxa"/>
                <w:jc w:val="center"/>
                <w:tblLayout w:type="fixed"/>
                <w:tblLook w:val="04A0"/>
              </w:tblPrEx>
              <w:trPr>
                <w:trHeight w:val="312"/>
                <w:jc w:val="center"/>
              </w:trPr>
              <w:tc>
                <w:tcPr>
                  <w:tcW w:w="982" w:type="dxa"/>
                  <w:vMerge/>
                  <w:vAlign w:val="center"/>
                </w:tcPr>
                <w:p w:rsidR="00997F3B">
                  <w:pPr>
                    <w:spacing w:line="240" w:lineRule="auto"/>
                    <w:jc w:val="center"/>
                    <w:rPr>
                      <w:rFonts w:ascii="Times New Roman" w:hAnsi="Times New Roman" w:cs="Times New Roman"/>
                      <w:sz w:val="21"/>
                      <w:szCs w:val="21"/>
                    </w:rPr>
                  </w:pPr>
                </w:p>
              </w:tc>
              <w:tc>
                <w:tcPr>
                  <w:tcW w:w="3159" w:type="dxa"/>
                  <w:vMerge/>
                  <w:vAlign w:val="center"/>
                </w:tcPr>
                <w:p w:rsidR="00997F3B">
                  <w:pPr>
                    <w:spacing w:line="240" w:lineRule="auto"/>
                    <w:jc w:val="center"/>
                    <w:rPr>
                      <w:rFonts w:ascii="Times New Roman" w:hAnsi="Times New Roman" w:cs="Times New Roman"/>
                      <w:sz w:val="21"/>
                      <w:szCs w:val="21"/>
                    </w:rPr>
                  </w:pPr>
                </w:p>
              </w:tc>
              <w:tc>
                <w:tcPr>
                  <w:tcW w:w="1583" w:type="dxa"/>
                  <w:vMerge/>
                  <w:vAlign w:val="center"/>
                </w:tcPr>
                <w:p w:rsidR="00997F3B">
                  <w:pPr>
                    <w:spacing w:line="240" w:lineRule="auto"/>
                    <w:jc w:val="center"/>
                    <w:rPr>
                      <w:rFonts w:ascii="Times New Roman" w:hAnsi="Times New Roman" w:cs="Times New Roman"/>
                      <w:sz w:val="21"/>
                      <w:szCs w:val="21"/>
                    </w:rPr>
                  </w:pPr>
                </w:p>
              </w:tc>
              <w:tc>
                <w:tcPr>
                  <w:tcW w:w="1514" w:type="dxa"/>
                  <w:vMerge w:val="restart"/>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根据需求调整</w:t>
                  </w:r>
                </w:p>
              </w:tc>
            </w:tr>
            <w:tr>
              <w:tblPrEx>
                <w:tblW w:w="7238" w:type="dxa"/>
                <w:jc w:val="center"/>
                <w:tblLayout w:type="fixed"/>
                <w:tblLook w:val="04A0"/>
              </w:tblPrEx>
              <w:trPr>
                <w:trHeight w:val="474"/>
                <w:jc w:val="center"/>
              </w:trPr>
              <w:tc>
                <w:tcPr>
                  <w:tcW w:w="982"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3159"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机制</w:t>
                  </w:r>
                  <w:r>
                    <w:rPr>
                      <w:rFonts w:ascii="Times New Roman" w:hAnsi="Times New Roman" w:cs="Times New Roman"/>
                      <w:sz w:val="21"/>
                      <w:szCs w:val="21"/>
                    </w:rPr>
                    <w:t>石（</w:t>
                  </w:r>
                  <w:r>
                    <w:rPr>
                      <w:rFonts w:ascii="Times New Roman" w:hAnsi="Times New Roman" w:cs="Times New Roman"/>
                      <w:sz w:val="21"/>
                      <w:szCs w:val="21"/>
                    </w:rPr>
                    <w:t>5-10mm</w:t>
                  </w:r>
                  <w:r>
                    <w:rPr>
                      <w:rFonts w:ascii="Times New Roman" w:hAnsi="Times New Roman" w:cs="Times New Roman"/>
                      <w:sz w:val="21"/>
                      <w:szCs w:val="21"/>
                    </w:rPr>
                    <w:t>）</w:t>
                  </w:r>
                </w:p>
              </w:tc>
              <w:tc>
                <w:tcPr>
                  <w:tcW w:w="1583" w:type="dxa"/>
                  <w:vMerge/>
                  <w:vAlign w:val="center"/>
                </w:tcPr>
                <w:p w:rsidR="00997F3B">
                  <w:pPr>
                    <w:spacing w:line="240" w:lineRule="auto"/>
                    <w:jc w:val="center"/>
                    <w:rPr>
                      <w:rFonts w:ascii="Times New Roman" w:hAnsi="Times New Roman" w:cs="Times New Roman"/>
                      <w:sz w:val="21"/>
                      <w:szCs w:val="21"/>
                    </w:rPr>
                  </w:pPr>
                </w:p>
              </w:tc>
              <w:tc>
                <w:tcPr>
                  <w:tcW w:w="1514" w:type="dxa"/>
                  <w:vMerge/>
                  <w:vAlign w:val="center"/>
                </w:tcPr>
                <w:p w:rsidR="00997F3B">
                  <w:pPr>
                    <w:spacing w:line="240" w:lineRule="auto"/>
                    <w:jc w:val="center"/>
                    <w:rPr>
                      <w:rFonts w:ascii="Times New Roman" w:hAnsi="Times New Roman" w:cs="Times New Roman"/>
                      <w:sz w:val="21"/>
                      <w:szCs w:val="21"/>
                    </w:rPr>
                  </w:pPr>
                </w:p>
              </w:tc>
            </w:tr>
            <w:tr>
              <w:tblPrEx>
                <w:tblW w:w="7238" w:type="dxa"/>
                <w:jc w:val="center"/>
                <w:tblLayout w:type="fixed"/>
                <w:tblLook w:val="04A0"/>
              </w:tblPrEx>
              <w:trPr>
                <w:trHeight w:val="474"/>
                <w:jc w:val="center"/>
              </w:trPr>
              <w:tc>
                <w:tcPr>
                  <w:tcW w:w="982"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3159" w:type="dxa"/>
                  <w:vAlign w:val="center"/>
                </w:tcPr>
                <w:p w:rsidR="00997F3B">
                  <w:pPr>
                    <w:spacing w:line="240" w:lineRule="auto"/>
                    <w:jc w:val="center"/>
                    <w:rPr>
                      <w:rFonts w:ascii="Times New Roman" w:hAnsi="Times New Roman" w:cs="Times New Roman"/>
                      <w:b/>
                      <w:bCs/>
                      <w:sz w:val="21"/>
                      <w:szCs w:val="21"/>
                    </w:rPr>
                  </w:pPr>
                  <w:r>
                    <w:rPr>
                      <w:rFonts w:ascii="Times New Roman" w:hAnsi="Times New Roman" w:cs="Times New Roman"/>
                      <w:sz w:val="21"/>
                      <w:szCs w:val="21"/>
                    </w:rPr>
                    <w:t>煤粉（小于</w:t>
                  </w:r>
                  <w:r>
                    <w:rPr>
                      <w:rFonts w:ascii="Times New Roman" w:hAnsi="Times New Roman" w:cs="Times New Roman"/>
                      <w:sz w:val="21"/>
                      <w:szCs w:val="21"/>
                    </w:rPr>
                    <w:t>5mm</w:t>
                  </w:r>
                  <w:r>
                    <w:rPr>
                      <w:rFonts w:ascii="Times New Roman" w:hAnsi="Times New Roman" w:cs="Times New Roman"/>
                      <w:sz w:val="21"/>
                      <w:szCs w:val="21"/>
                    </w:rPr>
                    <w:t>）</w:t>
                  </w:r>
                </w:p>
              </w:tc>
              <w:tc>
                <w:tcPr>
                  <w:tcW w:w="3097" w:type="dxa"/>
                  <w:gridSpan w:val="2"/>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187485.25</w:t>
                  </w:r>
                </w:p>
              </w:tc>
            </w:tr>
          </w:tbl>
          <w:p w:rsidR="00997F3B">
            <w:pPr>
              <w:numPr>
                <w:ilvl w:val="0"/>
                <w:numId w:val="2"/>
              </w:numPr>
              <w:rPr>
                <w:rFonts w:ascii="Times New Roman" w:hAnsi="Times New Roman" w:cs="Times New Roman"/>
                <w:b/>
                <w:bCs/>
              </w:rPr>
            </w:pPr>
            <w:r>
              <w:rPr>
                <w:rFonts w:ascii="Times New Roman" w:hAnsi="Times New Roman" w:cs="Times New Roman"/>
                <w:b/>
                <w:bCs/>
              </w:rPr>
              <w:t>项目组成</w:t>
            </w:r>
          </w:p>
          <w:p w:rsidR="00997F3B">
            <w:pPr>
              <w:ind w:firstLine="480" w:firstLineChars="200"/>
              <w:rPr>
                <w:rFonts w:ascii="Times New Roman" w:hAnsi="Times New Roman" w:cs="Times New Roman"/>
              </w:rPr>
            </w:pPr>
            <w:r>
              <w:rPr>
                <w:rFonts w:ascii="Times New Roman" w:hAnsi="Times New Roman" w:cs="Times New Roman"/>
              </w:rPr>
              <w:t>本项目位于</w:t>
            </w:r>
            <w:r>
              <w:rPr>
                <w:rFonts w:ascii="Times New Roman" w:hAnsi="Times New Roman" w:cs="Times New Roman"/>
              </w:rPr>
              <w:t>永定区抚市镇溪联村</w:t>
            </w:r>
            <w:r>
              <w:rPr>
                <w:rFonts w:ascii="Times New Roman" w:hAnsi="Times New Roman" w:cs="Times New Roman"/>
              </w:rPr>
              <w:t>，总占地面积</w:t>
            </w:r>
            <w:r>
              <w:rPr>
                <w:rFonts w:ascii="Times New Roman" w:hAnsi="Times New Roman" w:cs="Times New Roman"/>
              </w:rPr>
              <w:t>10000</w:t>
            </w:r>
            <w:r>
              <w:rPr>
                <w:rFonts w:ascii="Times New Roman" w:hAnsi="Times New Roman" w:cs="Times New Roman"/>
              </w:rPr>
              <w:t>m²</w:t>
            </w:r>
            <w:r>
              <w:rPr>
                <w:rFonts w:ascii="Times New Roman" w:hAnsi="Times New Roman" w:cs="Times New Roman"/>
              </w:rPr>
              <w:t>。项目主要建设内容见表</w:t>
            </w:r>
            <w:r>
              <w:rPr>
                <w:rFonts w:ascii="Times New Roman" w:hAnsi="Times New Roman" w:cs="Times New Roman"/>
              </w:rPr>
              <w:t>2-2</w:t>
            </w:r>
            <w:r>
              <w:rPr>
                <w:rFonts w:ascii="Times New Roman" w:hAnsi="Times New Roman" w:cs="Times New Roman"/>
              </w:rPr>
              <w:t>。</w:t>
            </w:r>
          </w:p>
          <w:p w:rsidR="00997F3B">
            <w:pPr>
              <w:jc w:val="center"/>
              <w:rPr>
                <w:rFonts w:ascii="Times New Roman" w:hAnsi="Times New Roman" w:cs="Times New Roman"/>
              </w:rPr>
            </w:pPr>
            <w:r>
              <w:rPr>
                <w:rFonts w:ascii="Times New Roman" w:hAnsi="Times New Roman" w:cs="Times New Roman"/>
                <w:b/>
                <w:bCs/>
              </w:rPr>
              <w:t>表</w:t>
            </w:r>
            <w:r>
              <w:rPr>
                <w:rFonts w:ascii="Times New Roman" w:hAnsi="Times New Roman" w:cs="Times New Roman"/>
                <w:b/>
                <w:bCs/>
              </w:rPr>
              <w:t xml:space="preserve">2-2   </w:t>
            </w:r>
            <w:r>
              <w:rPr>
                <w:rFonts w:ascii="Times New Roman" w:hAnsi="Times New Roman" w:cs="Times New Roman"/>
                <w:b/>
                <w:bCs/>
              </w:rPr>
              <w:t>项目主要建设内容一览表</w:t>
            </w:r>
          </w:p>
          <w:tbl>
            <w:tblPr>
              <w:tblStyle w:val="TableNormal"/>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074"/>
              <w:gridCol w:w="1808"/>
              <w:gridCol w:w="2065"/>
              <w:gridCol w:w="3371"/>
            </w:tblGrid>
            <w:tr>
              <w:tblPrEx>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Ex>
              <w:trPr>
                <w:trHeight w:hRule="exact" w:val="357"/>
                <w:jc w:val="center"/>
              </w:trPr>
              <w:tc>
                <w:tcPr>
                  <w:tcW w:w="1074"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工程类别</w:t>
                  </w:r>
                </w:p>
              </w:tc>
              <w:tc>
                <w:tcPr>
                  <w:tcW w:w="180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项目建设内容</w:t>
                  </w:r>
                </w:p>
              </w:tc>
              <w:tc>
                <w:tcPr>
                  <w:tcW w:w="2065"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占地面积</w:t>
                  </w:r>
                </w:p>
              </w:tc>
              <w:tc>
                <w:tcPr>
                  <w:tcW w:w="3371"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pacing w:val="-1"/>
                      <w:sz w:val="21"/>
                      <w:szCs w:val="21"/>
                    </w:rPr>
                    <w:t>备注</w:t>
                  </w:r>
                </w:p>
              </w:tc>
            </w:tr>
            <w:tr>
              <w:tblPrEx>
                <w:tblW w:w="8318" w:type="dxa"/>
                <w:jc w:val="center"/>
                <w:tblLayout w:type="fixed"/>
                <w:tblCellMar>
                  <w:left w:w="0" w:type="dxa"/>
                  <w:right w:w="0" w:type="dxa"/>
                </w:tblCellMar>
                <w:tblLook w:val="04A0"/>
              </w:tblPrEx>
              <w:trPr>
                <w:trHeight w:hRule="exact" w:val="347"/>
                <w:jc w:val="center"/>
              </w:trPr>
              <w:tc>
                <w:tcPr>
                  <w:tcW w:w="1074"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主体工程</w:t>
                  </w:r>
                </w:p>
              </w:tc>
              <w:tc>
                <w:tcPr>
                  <w:tcW w:w="180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生产区</w:t>
                  </w:r>
                </w:p>
              </w:tc>
              <w:tc>
                <w:tcPr>
                  <w:tcW w:w="2065"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2000</w:t>
                  </w:r>
                  <w:r>
                    <w:rPr>
                      <w:rFonts w:ascii="Times New Roman" w:hAnsi="Times New Roman" w:cs="Times New Roman"/>
                      <w:sz w:val="21"/>
                      <w:szCs w:val="21"/>
                    </w:rPr>
                    <w:t>m</w:t>
                  </w:r>
                  <w:r>
                    <w:rPr>
                      <w:rFonts w:ascii="Times New Roman" w:hAnsi="Times New Roman" w:cs="Times New Roman"/>
                      <w:sz w:val="21"/>
                      <w:szCs w:val="21"/>
                      <w:vertAlign w:val="superscript"/>
                    </w:rPr>
                    <w:t>2</w:t>
                  </w:r>
                </w:p>
              </w:tc>
              <w:tc>
                <w:tcPr>
                  <w:tcW w:w="3371"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生产加工区</w:t>
                  </w:r>
                </w:p>
              </w:tc>
            </w:tr>
            <w:tr>
              <w:tblPrEx>
                <w:tblW w:w="8318" w:type="dxa"/>
                <w:jc w:val="center"/>
                <w:tblLayout w:type="fixed"/>
                <w:tblCellMar>
                  <w:left w:w="0" w:type="dxa"/>
                  <w:right w:w="0" w:type="dxa"/>
                </w:tblCellMar>
                <w:tblLook w:val="04A0"/>
              </w:tblPrEx>
              <w:trPr>
                <w:trHeight w:hRule="exact" w:val="347"/>
                <w:jc w:val="center"/>
              </w:trPr>
              <w:tc>
                <w:tcPr>
                  <w:tcW w:w="1074" w:type="dxa"/>
                  <w:vMerge w:val="restart"/>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储运工程</w:t>
                  </w:r>
                </w:p>
              </w:tc>
              <w:tc>
                <w:tcPr>
                  <w:tcW w:w="180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原料堆场</w:t>
                  </w:r>
                </w:p>
              </w:tc>
              <w:tc>
                <w:tcPr>
                  <w:tcW w:w="2065" w:type="dxa"/>
                  <w:vAlign w:val="center"/>
                </w:tcPr>
                <w:p w:rsidR="00997F3B">
                  <w:pPr>
                    <w:pStyle w:val="TableParagraph"/>
                    <w:spacing w:line="240" w:lineRule="auto"/>
                    <w:jc w:val="center"/>
                    <w:rPr>
                      <w:rFonts w:ascii="Times New Roman" w:eastAsia="Times New Roman" w:hAnsi="Times New Roman" w:cs="Times New Roman"/>
                      <w:sz w:val="21"/>
                      <w:szCs w:val="21"/>
                    </w:rPr>
                  </w:pPr>
                  <w:r>
                    <w:rPr>
                      <w:rFonts w:ascii="Times New Roman" w:hAnsi="Times New Roman" w:cs="Times New Roman"/>
                      <w:sz w:val="21"/>
                      <w:szCs w:val="21"/>
                    </w:rPr>
                    <w:t>1500</w:t>
                  </w:r>
                  <w:r>
                    <w:rPr>
                      <w:rFonts w:ascii="Times New Roman" w:hAnsi="Times New Roman" w:cs="Times New Roman"/>
                      <w:sz w:val="21"/>
                      <w:szCs w:val="21"/>
                    </w:rPr>
                    <w:t>m</w:t>
                  </w:r>
                  <w:r>
                    <w:rPr>
                      <w:rFonts w:ascii="Times New Roman" w:hAnsi="Times New Roman" w:cs="Times New Roman"/>
                      <w:sz w:val="21"/>
                      <w:szCs w:val="21"/>
                      <w:vertAlign w:val="superscript"/>
                    </w:rPr>
                    <w:t>2</w:t>
                  </w:r>
                </w:p>
              </w:tc>
              <w:tc>
                <w:tcPr>
                  <w:tcW w:w="3371"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原料堆存</w:t>
                  </w:r>
                </w:p>
              </w:tc>
            </w:tr>
            <w:tr>
              <w:tblPrEx>
                <w:tblW w:w="8318" w:type="dxa"/>
                <w:jc w:val="center"/>
                <w:tblLayout w:type="fixed"/>
                <w:tblCellMar>
                  <w:left w:w="0" w:type="dxa"/>
                  <w:right w:w="0" w:type="dxa"/>
                </w:tblCellMar>
                <w:tblLook w:val="04A0"/>
              </w:tblPrEx>
              <w:trPr>
                <w:trHeight w:hRule="exact" w:val="347"/>
                <w:jc w:val="center"/>
              </w:trPr>
              <w:tc>
                <w:tcPr>
                  <w:tcW w:w="1074" w:type="dxa"/>
                  <w:vMerge/>
                  <w:vAlign w:val="center"/>
                </w:tcPr>
                <w:p w:rsidR="00997F3B">
                  <w:pPr>
                    <w:spacing w:line="240" w:lineRule="auto"/>
                    <w:jc w:val="center"/>
                    <w:rPr>
                      <w:rFonts w:ascii="Times New Roman" w:hAnsi="Times New Roman" w:cs="Times New Roman"/>
                      <w:sz w:val="21"/>
                      <w:szCs w:val="21"/>
                    </w:rPr>
                  </w:pPr>
                </w:p>
              </w:tc>
              <w:tc>
                <w:tcPr>
                  <w:tcW w:w="180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成品堆场</w:t>
                  </w:r>
                </w:p>
              </w:tc>
              <w:tc>
                <w:tcPr>
                  <w:tcW w:w="2065" w:type="dxa"/>
                  <w:vAlign w:val="center"/>
                </w:tcPr>
                <w:p w:rsidR="00997F3B">
                  <w:pPr>
                    <w:pStyle w:val="TableParagraph"/>
                    <w:spacing w:line="240" w:lineRule="auto"/>
                    <w:jc w:val="center"/>
                    <w:rPr>
                      <w:rFonts w:ascii="Times New Roman" w:eastAsia="Times New Roman" w:hAnsi="Times New Roman" w:cs="Times New Roman"/>
                      <w:sz w:val="21"/>
                      <w:szCs w:val="21"/>
                    </w:rPr>
                  </w:pPr>
                  <w:r>
                    <w:rPr>
                      <w:rFonts w:ascii="Times New Roman" w:hAnsi="Times New Roman" w:cs="Times New Roman"/>
                      <w:sz w:val="21"/>
                      <w:szCs w:val="21"/>
                    </w:rPr>
                    <w:t>1500</w:t>
                  </w:r>
                  <w:r>
                    <w:rPr>
                      <w:rFonts w:ascii="Times New Roman" w:hAnsi="Times New Roman" w:cs="Times New Roman"/>
                      <w:sz w:val="21"/>
                      <w:szCs w:val="21"/>
                    </w:rPr>
                    <w:t>m</w:t>
                  </w:r>
                  <w:r>
                    <w:rPr>
                      <w:rFonts w:ascii="Times New Roman" w:hAnsi="Times New Roman" w:cs="Times New Roman"/>
                      <w:sz w:val="21"/>
                      <w:szCs w:val="21"/>
                      <w:vertAlign w:val="superscript"/>
                    </w:rPr>
                    <w:t>2</w:t>
                  </w:r>
                </w:p>
              </w:tc>
              <w:tc>
                <w:tcPr>
                  <w:tcW w:w="3371"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碎石</w:t>
                  </w:r>
                  <w:r>
                    <w:rPr>
                      <w:rFonts w:ascii="Times New Roman" w:hAnsi="Times New Roman" w:cs="Times New Roman"/>
                      <w:sz w:val="21"/>
                      <w:szCs w:val="21"/>
                    </w:rPr>
                    <w:t>堆存</w:t>
                  </w:r>
                </w:p>
              </w:tc>
            </w:tr>
            <w:tr>
              <w:tblPrEx>
                <w:tblW w:w="8318" w:type="dxa"/>
                <w:jc w:val="center"/>
                <w:tblLayout w:type="fixed"/>
                <w:tblCellMar>
                  <w:left w:w="0" w:type="dxa"/>
                  <w:right w:w="0" w:type="dxa"/>
                </w:tblCellMar>
                <w:tblLook w:val="04A0"/>
              </w:tblPrEx>
              <w:trPr>
                <w:trHeight w:hRule="exact" w:val="318"/>
                <w:jc w:val="center"/>
              </w:trPr>
              <w:tc>
                <w:tcPr>
                  <w:tcW w:w="1074" w:type="dxa"/>
                  <w:vMerge w:val="restart"/>
                  <w:vAlign w:val="center"/>
                </w:tcPr>
                <w:p w:rsidR="00997F3B">
                  <w:pPr>
                    <w:pStyle w:val="TableParagraph"/>
                    <w:spacing w:line="240" w:lineRule="auto"/>
                    <w:rPr>
                      <w:rFonts w:ascii="Times New Roman" w:hAnsi="Times New Roman" w:cs="Times New Roman"/>
                      <w:sz w:val="21"/>
                      <w:szCs w:val="21"/>
                    </w:rPr>
                  </w:pPr>
                </w:p>
                <w:p w:rsidR="00997F3B">
                  <w:pPr>
                    <w:pStyle w:val="TableParagraph"/>
                    <w:spacing w:line="240" w:lineRule="auto"/>
                    <w:jc w:val="center"/>
                    <w:rPr>
                      <w:rFonts w:ascii="Times New Roman" w:hAnsi="Times New Roman" w:cs="Times New Roman"/>
                      <w:sz w:val="21"/>
                      <w:szCs w:val="21"/>
                    </w:rPr>
                  </w:pPr>
                </w:p>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公用工程</w:t>
                  </w:r>
                </w:p>
              </w:tc>
              <w:tc>
                <w:tcPr>
                  <w:tcW w:w="180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办公楼</w:t>
                  </w:r>
                </w:p>
              </w:tc>
              <w:tc>
                <w:tcPr>
                  <w:tcW w:w="2065"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200m²</w:t>
                  </w:r>
                </w:p>
              </w:tc>
              <w:tc>
                <w:tcPr>
                  <w:tcW w:w="3371"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w:t>
                  </w:r>
                </w:p>
              </w:tc>
            </w:tr>
            <w:tr>
              <w:tblPrEx>
                <w:tblW w:w="8318" w:type="dxa"/>
                <w:jc w:val="center"/>
                <w:tblLayout w:type="fixed"/>
                <w:tblCellMar>
                  <w:left w:w="0" w:type="dxa"/>
                  <w:right w:w="0" w:type="dxa"/>
                </w:tblCellMar>
                <w:tblLook w:val="04A0"/>
              </w:tblPrEx>
              <w:trPr>
                <w:trHeight w:hRule="exact" w:val="347"/>
                <w:jc w:val="center"/>
              </w:trPr>
              <w:tc>
                <w:tcPr>
                  <w:tcW w:w="1074" w:type="dxa"/>
                  <w:vMerge/>
                  <w:vAlign w:val="center"/>
                </w:tcPr>
                <w:p w:rsidR="00997F3B">
                  <w:pPr>
                    <w:spacing w:line="240" w:lineRule="auto"/>
                    <w:jc w:val="center"/>
                    <w:rPr>
                      <w:rFonts w:ascii="Times New Roman" w:hAnsi="Times New Roman" w:cs="Times New Roman"/>
                      <w:sz w:val="21"/>
                      <w:szCs w:val="21"/>
                    </w:rPr>
                  </w:pPr>
                </w:p>
              </w:tc>
              <w:tc>
                <w:tcPr>
                  <w:tcW w:w="180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配电室</w:t>
                  </w:r>
                </w:p>
              </w:tc>
              <w:tc>
                <w:tcPr>
                  <w:tcW w:w="2065" w:type="dxa"/>
                  <w:vAlign w:val="center"/>
                </w:tcPr>
                <w:p w:rsidR="00997F3B">
                  <w:pPr>
                    <w:pStyle w:val="TableParagraph"/>
                    <w:spacing w:line="240" w:lineRule="auto"/>
                    <w:jc w:val="center"/>
                    <w:rPr>
                      <w:rFonts w:ascii="Times New Roman" w:eastAsia="Times New Roman" w:hAnsi="Times New Roman" w:cs="Times New Roman"/>
                      <w:sz w:val="21"/>
                      <w:szCs w:val="21"/>
                    </w:rPr>
                  </w:pPr>
                  <w:r>
                    <w:rPr>
                      <w:rFonts w:ascii="Times New Roman" w:hAnsi="Times New Roman" w:cs="Times New Roman"/>
                      <w:sz w:val="21"/>
                      <w:szCs w:val="21"/>
                    </w:rPr>
                    <w:t>10</w:t>
                  </w:r>
                  <w:r>
                    <w:rPr>
                      <w:rFonts w:ascii="Times New Roman" w:hAnsi="Times New Roman" w:cs="Times New Roman"/>
                      <w:sz w:val="21"/>
                      <w:szCs w:val="21"/>
                    </w:rPr>
                    <w:t>m</w:t>
                  </w:r>
                  <w:r>
                    <w:rPr>
                      <w:rFonts w:ascii="Times New Roman" w:hAnsi="Times New Roman" w:cs="Times New Roman"/>
                      <w:sz w:val="21"/>
                      <w:szCs w:val="21"/>
                      <w:vertAlign w:val="superscript"/>
                    </w:rPr>
                    <w:t>2</w:t>
                  </w:r>
                </w:p>
              </w:tc>
              <w:tc>
                <w:tcPr>
                  <w:tcW w:w="3371"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pacing w:val="-1"/>
                      <w:sz w:val="21"/>
                      <w:szCs w:val="21"/>
                    </w:rPr>
                    <w:t>供电</w:t>
                  </w:r>
                </w:p>
              </w:tc>
            </w:tr>
            <w:tr>
              <w:tblPrEx>
                <w:tblW w:w="8318" w:type="dxa"/>
                <w:jc w:val="center"/>
                <w:tblLayout w:type="fixed"/>
                <w:tblCellMar>
                  <w:left w:w="0" w:type="dxa"/>
                  <w:right w:w="0" w:type="dxa"/>
                </w:tblCellMar>
                <w:tblLook w:val="04A0"/>
              </w:tblPrEx>
              <w:trPr>
                <w:trHeight w:hRule="exact" w:val="347"/>
                <w:jc w:val="center"/>
              </w:trPr>
              <w:tc>
                <w:tcPr>
                  <w:tcW w:w="1074" w:type="dxa"/>
                  <w:vMerge/>
                  <w:vAlign w:val="center"/>
                </w:tcPr>
                <w:p w:rsidR="00997F3B">
                  <w:pPr>
                    <w:spacing w:line="240" w:lineRule="auto"/>
                    <w:jc w:val="center"/>
                    <w:rPr>
                      <w:rFonts w:ascii="Times New Roman" w:hAnsi="Times New Roman" w:cs="Times New Roman"/>
                      <w:sz w:val="21"/>
                      <w:szCs w:val="21"/>
                    </w:rPr>
                  </w:pPr>
                </w:p>
              </w:tc>
              <w:tc>
                <w:tcPr>
                  <w:tcW w:w="180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pacing w:val="-1"/>
                      <w:sz w:val="21"/>
                      <w:szCs w:val="21"/>
                    </w:rPr>
                    <w:t>供水</w:t>
                  </w:r>
                </w:p>
              </w:tc>
              <w:tc>
                <w:tcPr>
                  <w:tcW w:w="5436" w:type="dxa"/>
                  <w:gridSpan w:val="2"/>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生产</w:t>
                  </w:r>
                  <w:r>
                    <w:rPr>
                      <w:rFonts w:ascii="Times New Roman" w:hAnsi="Times New Roman" w:cs="Times New Roman"/>
                      <w:sz w:val="21"/>
                      <w:szCs w:val="21"/>
                    </w:rPr>
                    <w:t>、</w:t>
                  </w:r>
                  <w:r>
                    <w:rPr>
                      <w:rFonts w:ascii="Times New Roman" w:hAnsi="Times New Roman" w:cs="Times New Roman"/>
                      <w:sz w:val="21"/>
                      <w:szCs w:val="21"/>
                    </w:rPr>
                    <w:t>生</w:t>
                  </w:r>
                  <w:r>
                    <w:rPr>
                      <w:rFonts w:ascii="Times New Roman" w:hAnsi="Times New Roman" w:cs="Times New Roman"/>
                      <w:sz w:val="21"/>
                      <w:szCs w:val="21"/>
                    </w:rPr>
                    <w:t>活用水来自</w:t>
                  </w:r>
                  <w:r>
                    <w:rPr>
                      <w:rFonts w:ascii="Times New Roman" w:hAnsi="Times New Roman" w:cs="Times New Roman"/>
                      <w:sz w:val="21"/>
                      <w:szCs w:val="21"/>
                    </w:rPr>
                    <w:t>山泉水</w:t>
                  </w:r>
                </w:p>
              </w:tc>
            </w:tr>
          </w:tbl>
          <w:p/>
        </w:tc>
      </w:tr>
    </w:tbl>
    <w:p>
      <w:pPr>
        <w:sectPr>
          <w:footerReference w:type="default" r:id="rId10"/>
          <w:type w:val="nextPage"/>
          <w:pgSz w:w="11906" w:h="16838"/>
          <w:pgMar w:top="1440" w:right="1800" w:bottom="1440" w:left="1800" w:header="851" w:footer="992" w:gutter="0"/>
          <w:pgNumType w:start="6"/>
          <w:cols w:space="425"/>
          <w:titlePg w:val="0"/>
          <w:docGrid w:type="lines" w:linePitch="312"/>
        </w:sectPr>
      </w:pPr>
    </w:p>
    <w:tbl>
      <w:tblPr>
        <w:tblStyle w:val="TableGrid6"/>
        <w:tblW w:w="10010"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751"/>
        <w:gridCol w:w="9259"/>
      </w:tblGrid>
      <w:tr>
        <w:tblPrEx>
          <w:tblW w:w="10010" w:type="dxa"/>
          <w:jc w:val="center"/>
          <w:tblBorders>
            <w:top w:val="single" w:sz="12" w:space="0" w:color="auto"/>
            <w:left w:val="single" w:sz="12" w:space="0" w:color="auto"/>
            <w:bottom w:val="single" w:sz="12" w:space="0" w:color="auto"/>
            <w:right w:val="single" w:sz="12" w:space="0" w:color="auto"/>
          </w:tblBorders>
          <w:tblLayout w:type="fixed"/>
          <w:tblLook w:val="04A0"/>
        </w:tblPrEx>
        <w:trPr>
          <w:jc w:val="center"/>
        </w:trPr>
        <w:tc>
          <w:tcPr>
            <w:tcW w:w="751" w:type="dxa"/>
            <w:vAlign w:val="center"/>
          </w:tcPr>
          <w:p/>
        </w:tc>
        <w:tc>
          <w:tcPr>
            <w:tcW w:w="9259" w:type="dxa"/>
            <w:vAlign w:val="center"/>
          </w:tcPr>
          <w:tbl>
            <w:tblPr>
              <w:tblStyle w:val="TableNormal"/>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074"/>
              <w:gridCol w:w="1808"/>
              <w:gridCol w:w="5436"/>
            </w:tblGrid>
            <w:tr>
              <w:tblPrEx>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Ex>
              <w:trPr>
                <w:trHeight w:hRule="exact" w:val="1546"/>
                <w:jc w:val="center"/>
              </w:trPr>
              <w:tc>
                <w:tcPr>
                  <w:tcW w:w="1074" w:type="dxa"/>
                  <w:vMerge w:val="restart"/>
                  <w:vAlign w:val="center"/>
                </w:tcPr>
                <w:p w:rsidR="00997F3B">
                  <w:pPr>
                    <w:spacing w:line="240" w:lineRule="auto"/>
                    <w:jc w:val="center"/>
                    <w:rPr>
                      <w:rFonts w:ascii="Times New Roman" w:hAnsi="Times New Roman" w:cs="Times New Roman"/>
                      <w:sz w:val="21"/>
                      <w:szCs w:val="21"/>
                    </w:rPr>
                  </w:pPr>
                </w:p>
              </w:tc>
              <w:tc>
                <w:tcPr>
                  <w:tcW w:w="180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pacing w:val="-1"/>
                      <w:sz w:val="21"/>
                      <w:szCs w:val="21"/>
                    </w:rPr>
                    <w:t>排水</w:t>
                  </w:r>
                </w:p>
              </w:tc>
              <w:tc>
                <w:tcPr>
                  <w:tcW w:w="5436"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pacing w:val="-1"/>
                      <w:sz w:val="21"/>
                      <w:szCs w:val="21"/>
                    </w:rPr>
                    <w:t>项目</w:t>
                  </w:r>
                  <w:r>
                    <w:rPr>
                      <w:rFonts w:ascii="Times New Roman" w:hAnsi="Times New Roman" w:cs="Times New Roman"/>
                      <w:spacing w:val="-1"/>
                      <w:sz w:val="21"/>
                      <w:szCs w:val="21"/>
                    </w:rPr>
                    <w:t>无生产废水产生</w:t>
                  </w:r>
                  <w:r>
                    <w:rPr>
                      <w:rFonts w:ascii="Times New Roman" w:hAnsi="Times New Roman" w:cs="Times New Roman"/>
                      <w:spacing w:val="-1"/>
                      <w:sz w:val="21"/>
                      <w:szCs w:val="21"/>
                    </w:rPr>
                    <w:t>；</w:t>
                  </w:r>
                  <w:r>
                    <w:rPr>
                      <w:rFonts w:ascii="Times New Roman" w:hAnsi="Times New Roman" w:cs="Times New Roman"/>
                      <w:spacing w:val="-1"/>
                      <w:sz w:val="21"/>
                      <w:szCs w:val="21"/>
                    </w:rPr>
                    <w:t>初期雨水经</w:t>
                  </w:r>
                  <w:r>
                    <w:rPr>
                      <w:rFonts w:ascii="Times New Roman" w:hAnsi="Times New Roman" w:cs="Times New Roman"/>
                      <w:spacing w:val="-1"/>
                      <w:sz w:val="21"/>
                      <w:szCs w:val="21"/>
                    </w:rPr>
                    <w:t>雨水渠引至外围沉淀池处理后回用于生产或除尘，不外排；</w:t>
                  </w:r>
                  <w:r>
                    <w:rPr>
                      <w:rFonts w:ascii="Times New Roman" w:hAnsi="Times New Roman" w:cs="Times New Roman"/>
                      <w:spacing w:val="-1"/>
                      <w:sz w:val="21"/>
                      <w:szCs w:val="21"/>
                    </w:rPr>
                    <w:t>员工生</w:t>
                  </w:r>
                  <w:r>
                    <w:rPr>
                      <w:rFonts w:ascii="Times New Roman" w:hAnsi="Times New Roman" w:cs="Times New Roman"/>
                      <w:spacing w:val="-1"/>
                      <w:sz w:val="21"/>
                      <w:szCs w:val="21"/>
                    </w:rPr>
                    <w:t>活污水经三级化粪池处理后用于周边山坡地的灌溉，不外排；</w:t>
                  </w:r>
                </w:p>
              </w:tc>
            </w:tr>
            <w:tr>
              <w:tblPrEx>
                <w:tblW w:w="8318" w:type="dxa"/>
                <w:jc w:val="center"/>
                <w:tblLayout w:type="fixed"/>
                <w:tblCellMar>
                  <w:left w:w="0" w:type="dxa"/>
                  <w:right w:w="0" w:type="dxa"/>
                </w:tblCellMar>
                <w:tblLook w:val="04A0"/>
              </w:tblPrEx>
              <w:trPr>
                <w:trHeight w:hRule="exact" w:val="1025"/>
                <w:jc w:val="center"/>
              </w:trPr>
              <w:tc>
                <w:tcPr>
                  <w:tcW w:w="1074" w:type="dxa"/>
                  <w:vMerge w:val="restart"/>
                  <w:vAlign w:val="center"/>
                </w:tcPr>
                <w:p w:rsidR="00997F3B">
                  <w:pPr>
                    <w:pStyle w:val="TableParagraph"/>
                    <w:spacing w:line="240" w:lineRule="auto"/>
                    <w:jc w:val="center"/>
                    <w:rPr>
                      <w:rFonts w:ascii="Times New Roman" w:hAnsi="Times New Roman" w:cs="Times New Roman"/>
                      <w:sz w:val="21"/>
                      <w:szCs w:val="21"/>
                    </w:rPr>
                  </w:pPr>
                </w:p>
                <w:p w:rsidR="00997F3B">
                  <w:pPr>
                    <w:pStyle w:val="TableParagraph"/>
                    <w:spacing w:line="240" w:lineRule="auto"/>
                    <w:jc w:val="center"/>
                    <w:rPr>
                      <w:rFonts w:ascii="Times New Roman" w:hAnsi="Times New Roman" w:cs="Times New Roman"/>
                      <w:sz w:val="21"/>
                      <w:szCs w:val="21"/>
                    </w:rPr>
                  </w:pPr>
                </w:p>
                <w:p w:rsidR="00997F3B">
                  <w:pPr>
                    <w:pStyle w:val="TableParagraph"/>
                    <w:spacing w:line="240" w:lineRule="auto"/>
                    <w:jc w:val="center"/>
                    <w:rPr>
                      <w:rFonts w:ascii="Times New Roman" w:hAnsi="Times New Roman" w:cs="Times New Roman"/>
                      <w:sz w:val="21"/>
                      <w:szCs w:val="21"/>
                    </w:rPr>
                  </w:pPr>
                </w:p>
                <w:p w:rsidR="00997F3B">
                  <w:pPr>
                    <w:pStyle w:val="TableParagraph"/>
                    <w:spacing w:line="240" w:lineRule="auto"/>
                    <w:jc w:val="center"/>
                    <w:rPr>
                      <w:rFonts w:ascii="Times New Roman" w:hAnsi="Times New Roman" w:cs="Times New Roman"/>
                      <w:sz w:val="21"/>
                      <w:szCs w:val="21"/>
                    </w:rPr>
                  </w:pPr>
                </w:p>
                <w:p w:rsidR="00997F3B">
                  <w:pPr>
                    <w:pStyle w:val="TableParagraph"/>
                    <w:spacing w:line="240" w:lineRule="auto"/>
                    <w:jc w:val="center"/>
                    <w:rPr>
                      <w:rFonts w:ascii="Times New Roman" w:hAnsi="Times New Roman" w:cs="Times New Roman"/>
                      <w:sz w:val="21"/>
                      <w:szCs w:val="21"/>
                    </w:rPr>
                  </w:pPr>
                </w:p>
                <w:p w:rsidR="00997F3B">
                  <w:pPr>
                    <w:pStyle w:val="TableParagraph"/>
                    <w:spacing w:line="240" w:lineRule="auto"/>
                    <w:jc w:val="center"/>
                    <w:rPr>
                      <w:rFonts w:ascii="Times New Roman" w:hAnsi="Times New Roman" w:cs="Times New Roman"/>
                      <w:sz w:val="21"/>
                      <w:szCs w:val="21"/>
                    </w:rPr>
                  </w:pPr>
                </w:p>
                <w:p w:rsidR="00997F3B">
                  <w:pPr>
                    <w:pStyle w:val="TableParagraph"/>
                    <w:spacing w:line="240" w:lineRule="auto"/>
                    <w:jc w:val="center"/>
                    <w:rPr>
                      <w:rFonts w:ascii="Times New Roman" w:hAnsi="Times New Roman" w:cs="Times New Roman"/>
                      <w:sz w:val="21"/>
                      <w:szCs w:val="21"/>
                    </w:rPr>
                  </w:pPr>
                </w:p>
                <w:p w:rsidR="00997F3B">
                  <w:pPr>
                    <w:pStyle w:val="TableParagraph"/>
                    <w:spacing w:line="240" w:lineRule="auto"/>
                    <w:jc w:val="center"/>
                    <w:rPr>
                      <w:rFonts w:ascii="Times New Roman" w:hAnsi="Times New Roman" w:cs="Times New Roman"/>
                      <w:sz w:val="21"/>
                      <w:szCs w:val="21"/>
                    </w:rPr>
                  </w:pPr>
                </w:p>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环保工程</w:t>
                  </w:r>
                </w:p>
              </w:tc>
              <w:tc>
                <w:tcPr>
                  <w:tcW w:w="180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废水处理系统</w:t>
                  </w:r>
                </w:p>
              </w:tc>
              <w:tc>
                <w:tcPr>
                  <w:tcW w:w="5436"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pacing w:val="-1"/>
                      <w:sz w:val="21"/>
                      <w:szCs w:val="21"/>
                    </w:rPr>
                    <w:t>员工生活污水经三级化粪池处理后用于周边</w:t>
                  </w:r>
                  <w:r>
                    <w:rPr>
                      <w:rFonts w:ascii="Times New Roman" w:hAnsi="Times New Roman" w:cs="Times New Roman"/>
                      <w:spacing w:val="-1"/>
                      <w:sz w:val="21"/>
                      <w:szCs w:val="21"/>
                    </w:rPr>
                    <w:t>林</w:t>
                  </w:r>
                  <w:r>
                    <w:rPr>
                      <w:rFonts w:ascii="Times New Roman" w:hAnsi="Times New Roman" w:cs="Times New Roman"/>
                      <w:spacing w:val="-1"/>
                      <w:sz w:val="21"/>
                      <w:szCs w:val="21"/>
                    </w:rPr>
                    <w:t>地灌溉</w:t>
                  </w:r>
                  <w:r>
                    <w:rPr>
                      <w:rFonts w:ascii="Times New Roman" w:hAnsi="Times New Roman" w:cs="Times New Roman"/>
                      <w:spacing w:val="-1"/>
                      <w:sz w:val="21"/>
                      <w:szCs w:val="21"/>
                    </w:rPr>
                    <w:t>；场地周边设置截洪沟和排水沟，防止上游地表径流水冲刷堆场。</w:t>
                  </w:r>
                </w:p>
              </w:tc>
            </w:tr>
            <w:tr>
              <w:tblPrEx>
                <w:tblW w:w="8318" w:type="dxa"/>
                <w:jc w:val="center"/>
                <w:tblLayout w:type="fixed"/>
                <w:tblCellMar>
                  <w:left w:w="0" w:type="dxa"/>
                  <w:right w:w="0" w:type="dxa"/>
                </w:tblCellMar>
                <w:tblLook w:val="04A0"/>
              </w:tblPrEx>
              <w:trPr>
                <w:trHeight w:hRule="exact" w:val="629"/>
                <w:jc w:val="center"/>
              </w:trPr>
              <w:tc>
                <w:tcPr>
                  <w:tcW w:w="1074" w:type="dxa"/>
                  <w:vMerge/>
                  <w:vAlign w:val="center"/>
                </w:tcPr>
                <w:p w:rsidR="00997F3B">
                  <w:pPr>
                    <w:spacing w:line="240" w:lineRule="auto"/>
                    <w:jc w:val="center"/>
                    <w:rPr>
                      <w:rFonts w:ascii="Times New Roman" w:hAnsi="Times New Roman" w:cs="Times New Roman"/>
                      <w:sz w:val="21"/>
                      <w:szCs w:val="21"/>
                    </w:rPr>
                  </w:pPr>
                </w:p>
              </w:tc>
              <w:tc>
                <w:tcPr>
                  <w:tcW w:w="180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固体废物</w:t>
                  </w:r>
                </w:p>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处理系统</w:t>
                  </w:r>
                </w:p>
              </w:tc>
              <w:tc>
                <w:tcPr>
                  <w:tcW w:w="5436"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沉降粉尘经收集后作为成品外售；沉淀池沉渣定期清理后同成品外售；生活垃圾委托当地环卫部门清运处理</w:t>
                  </w:r>
                  <w:r>
                    <w:rPr>
                      <w:rFonts w:ascii="Times New Roman" w:hAnsi="Times New Roman" w:cs="Times New Roman"/>
                      <w:sz w:val="21"/>
                      <w:szCs w:val="21"/>
                    </w:rPr>
                    <w:t>。</w:t>
                  </w:r>
                </w:p>
              </w:tc>
            </w:tr>
            <w:tr>
              <w:tblPrEx>
                <w:tblW w:w="8318" w:type="dxa"/>
                <w:jc w:val="center"/>
                <w:tblLayout w:type="fixed"/>
                <w:tblCellMar>
                  <w:left w:w="0" w:type="dxa"/>
                  <w:right w:w="0" w:type="dxa"/>
                </w:tblCellMar>
                <w:tblLook w:val="04A0"/>
              </w:tblPrEx>
              <w:trPr>
                <w:trHeight w:hRule="exact" w:val="1451"/>
                <w:jc w:val="center"/>
              </w:trPr>
              <w:tc>
                <w:tcPr>
                  <w:tcW w:w="1074" w:type="dxa"/>
                  <w:vMerge/>
                  <w:vAlign w:val="center"/>
                </w:tcPr>
                <w:p w:rsidR="00997F3B">
                  <w:pPr>
                    <w:spacing w:line="240" w:lineRule="auto"/>
                    <w:jc w:val="center"/>
                    <w:rPr>
                      <w:rFonts w:ascii="Times New Roman" w:hAnsi="Times New Roman" w:cs="Times New Roman"/>
                      <w:sz w:val="21"/>
                      <w:szCs w:val="21"/>
                    </w:rPr>
                  </w:pPr>
                </w:p>
              </w:tc>
              <w:tc>
                <w:tcPr>
                  <w:tcW w:w="180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pacing w:val="-1"/>
                      <w:sz w:val="21"/>
                      <w:szCs w:val="21"/>
                    </w:rPr>
                    <w:t>废气处理</w:t>
                  </w:r>
                  <w:r>
                    <w:rPr>
                      <w:rFonts w:ascii="Times New Roman" w:hAnsi="Times New Roman" w:cs="Times New Roman"/>
                      <w:spacing w:val="-1"/>
                      <w:sz w:val="21"/>
                      <w:szCs w:val="21"/>
                    </w:rPr>
                    <w:t xml:space="preserve"> </w:t>
                  </w:r>
                  <w:r>
                    <w:rPr>
                      <w:rFonts w:ascii="Times New Roman" w:hAnsi="Times New Roman" w:cs="Times New Roman"/>
                      <w:spacing w:val="-1"/>
                      <w:sz w:val="21"/>
                      <w:szCs w:val="21"/>
                    </w:rPr>
                    <w:t>系统</w:t>
                  </w:r>
                </w:p>
              </w:tc>
              <w:tc>
                <w:tcPr>
                  <w:tcW w:w="5436" w:type="dxa"/>
                  <w:vAlign w:val="center"/>
                </w:tcPr>
                <w:p w:rsidR="00997F3B">
                  <w:pPr>
                    <w:pStyle w:val="TableParagraph"/>
                    <w:spacing w:line="240" w:lineRule="auto"/>
                    <w:rPr>
                      <w:rFonts w:ascii="Times New Roman" w:hAnsi="Times New Roman" w:cs="Times New Roman"/>
                      <w:sz w:val="21"/>
                      <w:szCs w:val="21"/>
                    </w:rPr>
                  </w:pPr>
                  <w:r>
                    <w:rPr>
                      <w:rFonts w:ascii="Times New Roman" w:hAnsi="Times New Roman" w:cs="Times New Roman"/>
                      <w:spacing w:val="1"/>
                      <w:sz w:val="21"/>
                      <w:szCs w:val="21"/>
                    </w:rPr>
                    <w:t>破碎、筛分工段在封闭厂房内进行，原料及成品堆场搭建棚盖</w:t>
                  </w:r>
                  <w:r>
                    <w:rPr>
                      <w:rFonts w:ascii="Times New Roman" w:hAnsi="Times New Roman" w:cs="Times New Roman"/>
                      <w:spacing w:val="1"/>
                      <w:sz w:val="21"/>
                      <w:szCs w:val="21"/>
                    </w:rPr>
                    <w:t>，</w:t>
                  </w:r>
                  <w:r>
                    <w:rPr>
                      <w:rFonts w:ascii="Times New Roman" w:hAnsi="Times New Roman" w:cs="Times New Roman"/>
                      <w:spacing w:val="1"/>
                      <w:sz w:val="21"/>
                      <w:szCs w:val="21"/>
                    </w:rPr>
                    <w:t>下料口密闭且喷淋降尘；</w:t>
                  </w:r>
                  <w:r>
                    <w:rPr>
                      <w:rFonts w:ascii="Times New Roman" w:hAnsi="Times New Roman" w:cs="Times New Roman"/>
                      <w:spacing w:val="1"/>
                      <w:sz w:val="21"/>
                      <w:szCs w:val="21"/>
                    </w:rPr>
                    <w:t>各工段采取围挡、喷水降尘等措施，制砂工段采用湿法工艺，厂房外工业场地部分硬化并采取绿化、喷水降尘等措施；运输车辆车厢用帆布遮盖。</w:t>
                  </w:r>
                </w:p>
              </w:tc>
            </w:tr>
            <w:tr>
              <w:tblPrEx>
                <w:tblW w:w="8318" w:type="dxa"/>
                <w:jc w:val="center"/>
                <w:tblLayout w:type="fixed"/>
                <w:tblCellMar>
                  <w:left w:w="0" w:type="dxa"/>
                  <w:right w:w="0" w:type="dxa"/>
                </w:tblCellMar>
                <w:tblLook w:val="04A0"/>
              </w:tblPrEx>
              <w:trPr>
                <w:trHeight w:hRule="exact" w:val="699"/>
                <w:jc w:val="center"/>
              </w:trPr>
              <w:tc>
                <w:tcPr>
                  <w:tcW w:w="1074" w:type="dxa"/>
                  <w:vMerge/>
                  <w:vAlign w:val="center"/>
                </w:tcPr>
                <w:p w:rsidR="00997F3B">
                  <w:pPr>
                    <w:spacing w:line="240" w:lineRule="auto"/>
                    <w:jc w:val="center"/>
                    <w:rPr>
                      <w:rFonts w:ascii="Times New Roman" w:hAnsi="Times New Roman" w:cs="Times New Roman"/>
                      <w:sz w:val="21"/>
                      <w:szCs w:val="21"/>
                    </w:rPr>
                  </w:pPr>
                </w:p>
              </w:tc>
              <w:tc>
                <w:tcPr>
                  <w:tcW w:w="180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噪声处理</w:t>
                  </w:r>
                </w:p>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pacing w:val="-1"/>
                      <w:sz w:val="21"/>
                      <w:szCs w:val="21"/>
                    </w:rPr>
                    <w:t>系统</w:t>
                  </w:r>
                </w:p>
              </w:tc>
              <w:tc>
                <w:tcPr>
                  <w:tcW w:w="5436"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选用低噪声设备、设减振基础、安装减振垫圈、厂区绿化降噪</w:t>
                  </w:r>
                </w:p>
              </w:tc>
            </w:tr>
          </w:tbl>
          <w:p w:rsidR="00997F3B">
            <w:pPr>
              <w:rPr>
                <w:rFonts w:ascii="Times New Roman" w:hAnsi="Times New Roman" w:cs="Times New Roman"/>
                <w:b/>
                <w:bCs/>
              </w:rPr>
            </w:pPr>
          </w:p>
          <w:p w:rsidR="00997F3B">
            <w:pPr>
              <w:numPr>
                <w:ilvl w:val="0"/>
                <w:numId w:val="2"/>
              </w:numPr>
              <w:rPr>
                <w:rFonts w:ascii="Times New Roman" w:hAnsi="Times New Roman" w:cs="Times New Roman"/>
                <w:b/>
                <w:bCs/>
              </w:rPr>
            </w:pPr>
            <w:r>
              <w:rPr>
                <w:rFonts w:ascii="Times New Roman" w:hAnsi="Times New Roman" w:cs="Times New Roman"/>
                <w:b/>
                <w:bCs/>
              </w:rPr>
              <w:t>设备清单</w:t>
            </w:r>
          </w:p>
          <w:p w:rsidR="00997F3B">
            <w:pPr>
              <w:ind w:firstLine="480" w:firstLineChars="200"/>
              <w:rPr>
                <w:rFonts w:ascii="Times New Roman" w:hAnsi="Times New Roman" w:cs="Times New Roman"/>
              </w:rPr>
            </w:pPr>
            <w:r>
              <w:rPr>
                <w:rFonts w:ascii="Times New Roman" w:hAnsi="Times New Roman" w:cs="Times New Roman"/>
              </w:rPr>
              <w:t>本项目主要生产设备见表</w:t>
            </w:r>
            <w:r>
              <w:rPr>
                <w:rFonts w:ascii="Times New Roman" w:hAnsi="Times New Roman" w:cs="Times New Roman"/>
              </w:rPr>
              <w:t>2-3.</w:t>
            </w:r>
          </w:p>
          <w:p w:rsidR="00997F3B">
            <w:pPr>
              <w:jc w:val="center"/>
              <w:rPr>
                <w:rFonts w:ascii="Times New Roman" w:hAnsi="Times New Roman" w:cs="Times New Roman"/>
                <w:b/>
                <w:bCs/>
              </w:rPr>
            </w:pPr>
            <w:r>
              <w:rPr>
                <w:rFonts w:ascii="Times New Roman" w:hAnsi="Times New Roman" w:cs="Times New Roman"/>
                <w:b/>
                <w:bCs/>
              </w:rPr>
              <w:t>表</w:t>
            </w:r>
            <w:r>
              <w:rPr>
                <w:rFonts w:ascii="Times New Roman" w:hAnsi="Times New Roman" w:cs="Times New Roman"/>
                <w:b/>
                <w:bCs/>
              </w:rPr>
              <w:t>2-3</w:t>
            </w:r>
            <w:r>
              <w:rPr>
                <w:rFonts w:ascii="Times New Roman" w:hAnsi="Times New Roman" w:cs="Times New Roman"/>
                <w:b/>
                <w:bCs/>
              </w:rPr>
              <w:t>项目设备一览表</w:t>
            </w:r>
          </w:p>
          <w:tbl>
            <w:tblPr>
              <w:tblStyle w:val="TableNormal"/>
              <w:tblW w:w="811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77"/>
              <w:gridCol w:w="3713"/>
              <w:gridCol w:w="3128"/>
            </w:tblGrid>
            <w:tr>
              <w:tblPrEx>
                <w:tblW w:w="811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Ex>
              <w:trPr>
                <w:trHeight w:hRule="exact" w:val="409"/>
              </w:trPr>
              <w:tc>
                <w:tcPr>
                  <w:tcW w:w="1277" w:type="dxa"/>
                  <w:vAlign w:val="center"/>
                </w:tcPr>
                <w:p w:rsidR="00997F3B">
                  <w:pPr>
                    <w:pStyle w:val="TableParagraph"/>
                    <w:jc w:val="center"/>
                    <w:rPr>
                      <w:rFonts w:ascii="Times New Roman" w:hAnsi="Times New Roman" w:cs="Times New Roman"/>
                      <w:b/>
                      <w:bCs/>
                      <w:sz w:val="21"/>
                      <w:szCs w:val="21"/>
                    </w:rPr>
                  </w:pPr>
                  <w:r>
                    <w:rPr>
                      <w:rFonts w:ascii="Times New Roman" w:hAnsi="Times New Roman" w:cs="Times New Roman"/>
                      <w:b/>
                      <w:bCs/>
                      <w:spacing w:val="-1"/>
                      <w:sz w:val="21"/>
                      <w:szCs w:val="21"/>
                    </w:rPr>
                    <w:t>序号</w:t>
                  </w:r>
                </w:p>
              </w:tc>
              <w:tc>
                <w:tcPr>
                  <w:tcW w:w="3713" w:type="dxa"/>
                  <w:vAlign w:val="center"/>
                </w:tcPr>
                <w:p w:rsidR="00997F3B">
                  <w:pPr>
                    <w:pStyle w:val="TableParagraph"/>
                    <w:jc w:val="center"/>
                    <w:rPr>
                      <w:rFonts w:ascii="Times New Roman" w:hAnsi="Times New Roman" w:cs="Times New Roman"/>
                      <w:b/>
                      <w:bCs/>
                      <w:sz w:val="21"/>
                      <w:szCs w:val="21"/>
                    </w:rPr>
                  </w:pPr>
                  <w:r>
                    <w:rPr>
                      <w:rFonts w:ascii="Times New Roman" w:hAnsi="Times New Roman" w:cs="Times New Roman"/>
                      <w:b/>
                      <w:bCs/>
                      <w:sz w:val="21"/>
                      <w:szCs w:val="21"/>
                    </w:rPr>
                    <w:t>设备名称</w:t>
                  </w:r>
                </w:p>
              </w:tc>
              <w:tc>
                <w:tcPr>
                  <w:tcW w:w="3128" w:type="dxa"/>
                  <w:vAlign w:val="center"/>
                </w:tcPr>
                <w:p w:rsidR="00997F3B">
                  <w:pPr>
                    <w:pStyle w:val="TableParagraph"/>
                    <w:jc w:val="center"/>
                    <w:rPr>
                      <w:rFonts w:ascii="Times New Roman" w:hAnsi="Times New Roman" w:cs="Times New Roman"/>
                      <w:b/>
                      <w:bCs/>
                      <w:sz w:val="21"/>
                      <w:szCs w:val="21"/>
                    </w:rPr>
                  </w:pPr>
                  <w:r>
                    <w:rPr>
                      <w:rFonts w:ascii="Times New Roman" w:hAnsi="Times New Roman" w:cs="Times New Roman"/>
                      <w:b/>
                      <w:bCs/>
                      <w:spacing w:val="-1"/>
                      <w:sz w:val="21"/>
                      <w:szCs w:val="21"/>
                    </w:rPr>
                    <w:t>数量</w:t>
                  </w:r>
                </w:p>
              </w:tc>
            </w:tr>
            <w:tr>
              <w:tblPrEx>
                <w:tblW w:w="8118" w:type="dxa"/>
                <w:tblInd w:w="89" w:type="dxa"/>
                <w:tblLayout w:type="fixed"/>
                <w:tblCellMar>
                  <w:left w:w="0" w:type="dxa"/>
                  <w:right w:w="0" w:type="dxa"/>
                </w:tblCellMar>
                <w:tblLook w:val="04A0"/>
              </w:tblPrEx>
              <w:trPr>
                <w:trHeight w:hRule="exact" w:val="360"/>
              </w:trPr>
              <w:tc>
                <w:tcPr>
                  <w:tcW w:w="1277" w:type="dxa"/>
                </w:tcPr>
                <w:p w:rsidR="00997F3B">
                  <w:pPr>
                    <w:jc w:val="center"/>
                    <w:rPr>
                      <w:rFonts w:ascii="Times New Roman" w:eastAsia="Times New Roman" w:hAnsi="Times New Roman" w:cs="Times New Roman"/>
                      <w:sz w:val="21"/>
                      <w:szCs w:val="21"/>
                    </w:rPr>
                  </w:pPr>
                  <w:r>
                    <w:rPr>
                      <w:rFonts w:ascii="Times New Roman" w:hAnsi="Times New Roman" w:cs="Times New Roman"/>
                      <w:sz w:val="21"/>
                      <w:szCs w:val="21"/>
                    </w:rPr>
                    <w:t>1</w:t>
                  </w:r>
                </w:p>
              </w:tc>
              <w:tc>
                <w:tcPr>
                  <w:tcW w:w="3713" w:type="dxa"/>
                </w:tcPr>
                <w:p w:rsidR="00997F3B">
                  <w:pPr>
                    <w:jc w:val="center"/>
                    <w:rPr>
                      <w:rFonts w:ascii="Times New Roman" w:hAnsi="Times New Roman" w:cs="Times New Roman"/>
                      <w:sz w:val="21"/>
                      <w:szCs w:val="21"/>
                    </w:rPr>
                  </w:pPr>
                  <w:r>
                    <w:rPr>
                      <w:rFonts w:ascii="Times New Roman" w:hAnsi="Times New Roman" w:cs="Times New Roman"/>
                      <w:sz w:val="21"/>
                      <w:szCs w:val="21"/>
                    </w:rPr>
                    <w:t>颚式破碎机</w:t>
                  </w:r>
                </w:p>
              </w:tc>
              <w:tc>
                <w:tcPr>
                  <w:tcW w:w="3128" w:type="dxa"/>
                </w:tcPr>
                <w:p w:rsidR="00997F3B">
                  <w:pPr>
                    <w:jc w:val="center"/>
                    <w:rPr>
                      <w:rFonts w:ascii="Times New Roman" w:hAnsi="Times New Roman" w:cs="Times New Roman"/>
                      <w:sz w:val="21"/>
                      <w:szCs w:val="21"/>
                      <w:lang w:eastAsia="en-US"/>
                    </w:rPr>
                  </w:pPr>
                  <w:r>
                    <w:rPr>
                      <w:rFonts w:ascii="Times New Roman" w:hAnsi="Times New Roman" w:cs="Times New Roman"/>
                      <w:sz w:val="21"/>
                      <w:szCs w:val="21"/>
                    </w:rPr>
                    <w:t>1</w:t>
                  </w:r>
                  <w:r>
                    <w:rPr>
                      <w:rFonts w:ascii="Times New Roman" w:hAnsi="Times New Roman" w:cs="Times New Roman"/>
                      <w:sz w:val="21"/>
                      <w:szCs w:val="21"/>
                    </w:rPr>
                    <w:t>台</w:t>
                  </w:r>
                </w:p>
              </w:tc>
            </w:tr>
            <w:tr>
              <w:tblPrEx>
                <w:tblW w:w="8118" w:type="dxa"/>
                <w:tblInd w:w="89" w:type="dxa"/>
                <w:tblLayout w:type="fixed"/>
                <w:tblCellMar>
                  <w:left w:w="0" w:type="dxa"/>
                  <w:right w:w="0" w:type="dxa"/>
                </w:tblCellMar>
                <w:tblLook w:val="04A0"/>
              </w:tblPrEx>
              <w:trPr>
                <w:trHeight w:hRule="exact" w:val="367"/>
              </w:trPr>
              <w:tc>
                <w:tcPr>
                  <w:tcW w:w="1277" w:type="dxa"/>
                </w:tcPr>
                <w:p w:rsidR="00997F3B">
                  <w:pPr>
                    <w:jc w:val="center"/>
                    <w:rPr>
                      <w:rFonts w:ascii="Times New Roman" w:eastAsia="Times New Roman" w:hAnsi="Times New Roman" w:cs="Times New Roman"/>
                      <w:sz w:val="21"/>
                      <w:szCs w:val="21"/>
                    </w:rPr>
                  </w:pPr>
                  <w:r>
                    <w:rPr>
                      <w:rFonts w:ascii="Times New Roman" w:hAnsi="Times New Roman" w:cs="Times New Roman"/>
                      <w:sz w:val="21"/>
                      <w:szCs w:val="21"/>
                    </w:rPr>
                    <w:t>2</w:t>
                  </w:r>
                </w:p>
              </w:tc>
              <w:tc>
                <w:tcPr>
                  <w:tcW w:w="3713" w:type="dxa"/>
                </w:tcPr>
                <w:p w:rsidR="00997F3B">
                  <w:pPr>
                    <w:jc w:val="center"/>
                    <w:rPr>
                      <w:rFonts w:ascii="Times New Roman" w:hAnsi="Times New Roman" w:cs="Times New Roman"/>
                      <w:sz w:val="21"/>
                      <w:szCs w:val="21"/>
                    </w:rPr>
                  </w:pPr>
                  <w:r>
                    <w:rPr>
                      <w:rFonts w:ascii="Times New Roman" w:hAnsi="Times New Roman" w:cs="Times New Roman"/>
                      <w:sz w:val="21"/>
                      <w:szCs w:val="21"/>
                    </w:rPr>
                    <w:t>圆锥破碎机</w:t>
                  </w:r>
                </w:p>
              </w:tc>
              <w:tc>
                <w:tcPr>
                  <w:tcW w:w="3128" w:type="dxa"/>
                </w:tcPr>
                <w:p w:rsidR="00997F3B">
                  <w:pPr>
                    <w:jc w:val="center"/>
                    <w:rPr>
                      <w:rFonts w:ascii="Times New Roman" w:hAnsi="Times New Roman" w:cs="Times New Roman"/>
                      <w:sz w:val="21"/>
                      <w:szCs w:val="21"/>
                      <w:lang w:eastAsia="en-US"/>
                    </w:rPr>
                  </w:pPr>
                  <w:r>
                    <w:rPr>
                      <w:rFonts w:ascii="Times New Roman" w:hAnsi="Times New Roman" w:cs="Times New Roman"/>
                      <w:sz w:val="21"/>
                      <w:szCs w:val="21"/>
                    </w:rPr>
                    <w:t>1</w:t>
                  </w:r>
                  <w:r>
                    <w:rPr>
                      <w:rFonts w:ascii="Times New Roman" w:hAnsi="Times New Roman" w:cs="Times New Roman"/>
                      <w:sz w:val="21"/>
                      <w:szCs w:val="21"/>
                    </w:rPr>
                    <w:t>台</w:t>
                  </w:r>
                </w:p>
              </w:tc>
            </w:tr>
            <w:tr>
              <w:tblPrEx>
                <w:tblW w:w="8118" w:type="dxa"/>
                <w:tblInd w:w="89" w:type="dxa"/>
                <w:tblLayout w:type="fixed"/>
                <w:tblCellMar>
                  <w:left w:w="0" w:type="dxa"/>
                  <w:right w:w="0" w:type="dxa"/>
                </w:tblCellMar>
                <w:tblLook w:val="04A0"/>
              </w:tblPrEx>
              <w:trPr>
                <w:trHeight w:hRule="exact" w:val="442"/>
              </w:trPr>
              <w:tc>
                <w:tcPr>
                  <w:tcW w:w="1277" w:type="dxa"/>
                </w:tcPr>
                <w:p w:rsidR="00997F3B">
                  <w:pPr>
                    <w:jc w:val="center"/>
                    <w:rPr>
                      <w:rFonts w:ascii="Times New Roman" w:eastAsia="Times New Roman" w:hAnsi="Times New Roman" w:cs="Times New Roman"/>
                      <w:sz w:val="21"/>
                      <w:szCs w:val="21"/>
                    </w:rPr>
                  </w:pPr>
                  <w:r>
                    <w:rPr>
                      <w:rFonts w:ascii="Times New Roman" w:hAnsi="Times New Roman" w:cs="Times New Roman"/>
                      <w:sz w:val="21"/>
                      <w:szCs w:val="21"/>
                    </w:rPr>
                    <w:t>3</w:t>
                  </w:r>
                </w:p>
              </w:tc>
              <w:tc>
                <w:tcPr>
                  <w:tcW w:w="3713" w:type="dxa"/>
                </w:tcPr>
                <w:p w:rsidR="00997F3B">
                  <w:pPr>
                    <w:jc w:val="center"/>
                    <w:rPr>
                      <w:rFonts w:ascii="Times New Roman" w:hAnsi="Times New Roman" w:cs="Times New Roman"/>
                      <w:sz w:val="21"/>
                      <w:szCs w:val="21"/>
                    </w:rPr>
                  </w:pPr>
                  <w:r>
                    <w:rPr>
                      <w:rFonts w:ascii="Times New Roman" w:hAnsi="Times New Roman" w:cs="Times New Roman"/>
                      <w:sz w:val="21"/>
                      <w:szCs w:val="21"/>
                    </w:rPr>
                    <w:t>振动筛</w:t>
                  </w:r>
                </w:p>
              </w:tc>
              <w:tc>
                <w:tcPr>
                  <w:tcW w:w="3128" w:type="dxa"/>
                </w:tcPr>
                <w:p w:rsidR="00997F3B">
                  <w:pPr>
                    <w:jc w:val="center"/>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台</w:t>
                  </w:r>
                </w:p>
              </w:tc>
            </w:tr>
          </w:tbl>
          <w:p w:rsidR="00997F3B">
            <w:pPr>
              <w:rPr>
                <w:rFonts w:ascii="Times New Roman" w:hAnsi="Times New Roman" w:cs="Times New Roman"/>
                <w:b/>
                <w:bCs/>
              </w:rPr>
            </w:pPr>
          </w:p>
          <w:p w:rsidR="00997F3B">
            <w:pPr>
              <w:numPr>
                <w:ilvl w:val="0"/>
                <w:numId w:val="2"/>
              </w:numPr>
              <w:rPr>
                <w:rFonts w:ascii="Times New Roman" w:hAnsi="Times New Roman" w:cs="Times New Roman"/>
                <w:b/>
                <w:bCs/>
              </w:rPr>
            </w:pPr>
            <w:r>
              <w:rPr>
                <w:rFonts w:ascii="Times New Roman" w:hAnsi="Times New Roman" w:cs="Times New Roman"/>
                <w:b/>
                <w:bCs/>
              </w:rPr>
              <w:t>主要原辅材料</w:t>
            </w:r>
          </w:p>
          <w:p w:rsidR="00997F3B">
            <w:pPr>
              <w:ind w:firstLine="480" w:firstLineChars="200"/>
              <w:rPr>
                <w:rFonts w:ascii="Times New Roman" w:hAnsi="Times New Roman" w:cs="Times New Roman"/>
              </w:rPr>
            </w:pPr>
            <w:r>
              <w:rPr>
                <w:rFonts w:ascii="Times New Roman" w:hAnsi="Times New Roman" w:cs="Times New Roman"/>
              </w:rPr>
              <w:t>本项目主要原辅材料及年用量见表</w:t>
            </w:r>
            <w:r>
              <w:rPr>
                <w:rFonts w:ascii="Times New Roman" w:hAnsi="Times New Roman" w:cs="Times New Roman"/>
              </w:rPr>
              <w:t xml:space="preserve"> 2-4</w:t>
            </w:r>
            <w:r>
              <w:rPr>
                <w:rFonts w:ascii="Times New Roman" w:hAnsi="Times New Roman" w:cs="Times New Roman"/>
              </w:rPr>
              <w:t>。</w:t>
            </w:r>
          </w:p>
          <w:p w:rsidR="00997F3B">
            <w:pPr>
              <w:jc w:val="center"/>
              <w:rPr>
                <w:rFonts w:ascii="Times New Roman" w:hAnsi="Times New Roman" w:cs="Times New Roman"/>
                <w:b/>
                <w:bCs/>
              </w:rPr>
            </w:pPr>
            <w:r>
              <w:rPr>
                <w:rFonts w:ascii="Times New Roman" w:hAnsi="Times New Roman" w:cs="Times New Roman"/>
                <w:b/>
                <w:bCs/>
              </w:rPr>
              <w:t>表</w:t>
            </w:r>
            <w:r>
              <w:rPr>
                <w:rFonts w:ascii="Times New Roman" w:hAnsi="Times New Roman" w:cs="Times New Roman"/>
                <w:b/>
                <w:bCs/>
              </w:rPr>
              <w:t xml:space="preserve">2-4 </w:t>
            </w:r>
            <w:r>
              <w:rPr>
                <w:rFonts w:ascii="Times New Roman" w:hAnsi="Times New Roman" w:cs="Times New Roman"/>
                <w:b/>
                <w:bCs/>
              </w:rPr>
              <w:t>项目主要原辅材料一览表</w:t>
            </w:r>
          </w:p>
          <w:tbl>
            <w:tblPr>
              <w:tblStyle w:val="TableNormal"/>
              <w:tblW w:w="74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39"/>
              <w:gridCol w:w="1920"/>
              <w:gridCol w:w="1448"/>
              <w:gridCol w:w="1448"/>
              <w:gridCol w:w="2103"/>
            </w:tblGrid>
            <w:tr>
              <w:tblPrEx>
                <w:tblW w:w="74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Ex>
              <w:trPr>
                <w:trHeight w:hRule="exact" w:val="311"/>
                <w:jc w:val="center"/>
              </w:trPr>
              <w:tc>
                <w:tcPr>
                  <w:tcW w:w="539"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pacing w:val="-1"/>
                      <w:sz w:val="21"/>
                      <w:szCs w:val="21"/>
                    </w:rPr>
                    <w:t>序号</w:t>
                  </w:r>
                </w:p>
              </w:tc>
              <w:tc>
                <w:tcPr>
                  <w:tcW w:w="1920"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物料名称</w:t>
                  </w:r>
                </w:p>
              </w:tc>
              <w:tc>
                <w:tcPr>
                  <w:tcW w:w="1448" w:type="dxa"/>
                  <w:tcBorders>
                    <w:tl2br w:val="nil"/>
                    <w:tr2bl w:val="nil"/>
                  </w:tcBorders>
                  <w:vAlign w:val="center"/>
                </w:tcPr>
                <w:p w:rsidR="00997F3B">
                  <w:pPr>
                    <w:pStyle w:val="TableParagraph"/>
                    <w:spacing w:line="240" w:lineRule="auto"/>
                    <w:jc w:val="center"/>
                    <w:rPr>
                      <w:rFonts w:ascii="Times New Roman" w:hAnsi="Times New Roman" w:cs="Times New Roman"/>
                      <w:spacing w:val="-1"/>
                      <w:sz w:val="21"/>
                      <w:szCs w:val="21"/>
                    </w:rPr>
                  </w:pPr>
                  <w:r>
                    <w:rPr>
                      <w:rFonts w:ascii="Times New Roman" w:hAnsi="Times New Roman" w:cs="Times New Roman"/>
                      <w:spacing w:val="-1"/>
                      <w:sz w:val="21"/>
                      <w:szCs w:val="21"/>
                    </w:rPr>
                    <w:t>单位</w:t>
                  </w:r>
                </w:p>
              </w:tc>
              <w:tc>
                <w:tcPr>
                  <w:tcW w:w="1448" w:type="dxa"/>
                  <w:tcBorders>
                    <w:tl2br w:val="nil"/>
                    <w:tr2bl w:val="nil"/>
                  </w:tcBorders>
                  <w:vAlign w:val="center"/>
                </w:tcPr>
                <w:p w:rsidR="00997F3B">
                  <w:pPr>
                    <w:pStyle w:val="TableParagraph"/>
                    <w:spacing w:line="240" w:lineRule="auto"/>
                    <w:jc w:val="center"/>
                    <w:rPr>
                      <w:rFonts w:ascii="Times New Roman" w:hAnsi="Times New Roman" w:cs="Times New Roman"/>
                      <w:spacing w:val="-1"/>
                      <w:sz w:val="21"/>
                      <w:szCs w:val="21"/>
                    </w:rPr>
                  </w:pPr>
                  <w:r>
                    <w:rPr>
                      <w:rFonts w:ascii="Times New Roman" w:hAnsi="Times New Roman" w:cs="Times New Roman"/>
                      <w:spacing w:val="-1"/>
                      <w:sz w:val="21"/>
                      <w:szCs w:val="21"/>
                    </w:rPr>
                    <w:t>年用量</w:t>
                  </w:r>
                </w:p>
              </w:tc>
              <w:tc>
                <w:tcPr>
                  <w:tcW w:w="2103" w:type="dxa"/>
                  <w:tcBorders>
                    <w:tl2br w:val="nil"/>
                    <w:tr2bl w:val="nil"/>
                  </w:tcBorders>
                  <w:vAlign w:val="center"/>
                </w:tcPr>
                <w:p w:rsidR="00997F3B">
                  <w:pPr>
                    <w:pStyle w:val="TableParagraph"/>
                    <w:spacing w:line="240" w:lineRule="auto"/>
                    <w:jc w:val="center"/>
                    <w:rPr>
                      <w:rFonts w:ascii="Times New Roman" w:hAnsi="Times New Roman" w:cs="Times New Roman"/>
                      <w:spacing w:val="-1"/>
                      <w:sz w:val="21"/>
                      <w:szCs w:val="21"/>
                    </w:rPr>
                  </w:pPr>
                  <w:r>
                    <w:rPr>
                      <w:rFonts w:ascii="Times New Roman" w:hAnsi="Times New Roman" w:cs="Times New Roman"/>
                      <w:spacing w:val="-1"/>
                      <w:sz w:val="21"/>
                      <w:szCs w:val="21"/>
                    </w:rPr>
                    <w:t>来源</w:t>
                  </w:r>
                </w:p>
              </w:tc>
            </w:tr>
            <w:tr>
              <w:tblPrEx>
                <w:tblW w:w="7458" w:type="dxa"/>
                <w:jc w:val="center"/>
                <w:tblLayout w:type="fixed"/>
                <w:tblCellMar>
                  <w:left w:w="0" w:type="dxa"/>
                  <w:right w:w="0" w:type="dxa"/>
                </w:tblCellMar>
                <w:tblLook w:val="04A0"/>
              </w:tblPrEx>
              <w:trPr>
                <w:trHeight w:hRule="exact" w:val="961"/>
                <w:jc w:val="center"/>
              </w:trPr>
              <w:tc>
                <w:tcPr>
                  <w:tcW w:w="539"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920"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煤矸石</w:t>
                  </w:r>
                </w:p>
              </w:tc>
              <w:tc>
                <w:tcPr>
                  <w:tcW w:w="1448"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万</w:t>
                  </w:r>
                  <w:r>
                    <w:rPr>
                      <w:rFonts w:ascii="Times New Roman" w:hAnsi="Times New Roman" w:cs="Times New Roman"/>
                      <w:sz w:val="21"/>
                      <w:szCs w:val="21"/>
                    </w:rPr>
                    <w:t>t/a</w:t>
                  </w:r>
                </w:p>
              </w:tc>
              <w:tc>
                <w:tcPr>
                  <w:tcW w:w="1448"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93.75</w:t>
                  </w:r>
                </w:p>
              </w:tc>
              <w:tc>
                <w:tcPr>
                  <w:tcW w:w="2103" w:type="dxa"/>
                  <w:tcBorders>
                    <w:tl2br w:val="nil"/>
                    <w:tr2bl w:val="nil"/>
                  </w:tcBorders>
                  <w:vAlign w:val="center"/>
                </w:tcPr>
                <w:p w:rsidR="00997F3B">
                  <w:pPr>
                    <w:pStyle w:val="TableParagraph"/>
                    <w:spacing w:line="240" w:lineRule="auto"/>
                    <w:jc w:val="center"/>
                    <w:rPr>
                      <w:rFonts w:ascii="Times New Roman" w:hAnsi="Times New Roman" w:cs="Times New Roman"/>
                      <w:spacing w:val="2"/>
                      <w:sz w:val="21"/>
                      <w:szCs w:val="21"/>
                    </w:rPr>
                  </w:pPr>
                  <w:r>
                    <w:rPr>
                      <w:rFonts w:ascii="Times New Roman" w:hAnsi="Times New Roman" w:cs="Times New Roman"/>
                      <w:spacing w:val="2"/>
                      <w:sz w:val="21"/>
                      <w:szCs w:val="21"/>
                    </w:rPr>
                    <w:t>龙岩市永定区侨资煤矿有限公司</w:t>
                  </w:r>
                </w:p>
              </w:tc>
            </w:tr>
            <w:tr>
              <w:tblPrEx>
                <w:tblW w:w="7458" w:type="dxa"/>
                <w:jc w:val="center"/>
                <w:tblLayout w:type="fixed"/>
                <w:tblCellMar>
                  <w:left w:w="0" w:type="dxa"/>
                  <w:right w:w="0" w:type="dxa"/>
                </w:tblCellMar>
                <w:tblLook w:val="04A0"/>
              </w:tblPrEx>
              <w:trPr>
                <w:trHeight w:hRule="exact" w:val="559"/>
                <w:jc w:val="center"/>
              </w:trPr>
              <w:tc>
                <w:tcPr>
                  <w:tcW w:w="539"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1920"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水</w:t>
                  </w:r>
                </w:p>
              </w:tc>
              <w:tc>
                <w:tcPr>
                  <w:tcW w:w="1448"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 xml:space="preserve"> t/a</w:t>
                  </w:r>
                </w:p>
              </w:tc>
              <w:tc>
                <w:tcPr>
                  <w:tcW w:w="1448"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5170</w:t>
                  </w:r>
                </w:p>
              </w:tc>
              <w:tc>
                <w:tcPr>
                  <w:tcW w:w="2103" w:type="dxa"/>
                  <w:tcBorders>
                    <w:tl2br w:val="nil"/>
                    <w:tr2bl w:val="nil"/>
                  </w:tcBorders>
                  <w:vAlign w:val="center"/>
                </w:tcPr>
                <w:p w:rsidR="00997F3B">
                  <w:pPr>
                    <w:pStyle w:val="TableParagraph"/>
                    <w:spacing w:line="240" w:lineRule="auto"/>
                    <w:jc w:val="center"/>
                    <w:rPr>
                      <w:rFonts w:ascii="Times New Roman" w:hAnsi="Times New Roman" w:cs="Times New Roman"/>
                      <w:b/>
                      <w:bCs/>
                      <w:sz w:val="21"/>
                      <w:szCs w:val="21"/>
                    </w:rPr>
                  </w:pPr>
                  <w:r>
                    <w:rPr>
                      <w:rFonts w:ascii="Times New Roman" w:hAnsi="Times New Roman" w:cs="Times New Roman"/>
                      <w:spacing w:val="-1"/>
                      <w:sz w:val="21"/>
                      <w:szCs w:val="21"/>
                    </w:rPr>
                    <w:t>市政供水</w:t>
                  </w:r>
                </w:p>
              </w:tc>
            </w:tr>
            <w:tr>
              <w:tblPrEx>
                <w:tblW w:w="7458" w:type="dxa"/>
                <w:jc w:val="center"/>
                <w:tblLayout w:type="fixed"/>
                <w:tblCellMar>
                  <w:left w:w="0" w:type="dxa"/>
                  <w:right w:w="0" w:type="dxa"/>
                </w:tblCellMar>
                <w:tblLook w:val="04A0"/>
              </w:tblPrEx>
              <w:trPr>
                <w:trHeight w:hRule="exact" w:val="559"/>
                <w:jc w:val="center"/>
              </w:trPr>
              <w:tc>
                <w:tcPr>
                  <w:tcW w:w="539"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1920"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电</w:t>
                  </w:r>
                </w:p>
              </w:tc>
              <w:tc>
                <w:tcPr>
                  <w:tcW w:w="1448"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万</w:t>
                  </w:r>
                  <w:r>
                    <w:rPr>
                      <w:rFonts w:ascii="Times New Roman" w:hAnsi="Times New Roman" w:cs="Times New Roman"/>
                      <w:spacing w:val="-61"/>
                      <w:sz w:val="21"/>
                      <w:szCs w:val="21"/>
                    </w:rPr>
                    <w:t xml:space="preserve"> </w:t>
                  </w:r>
                  <w:r>
                    <w:rPr>
                      <w:rFonts w:ascii="Times New Roman" w:eastAsia="Times New Roman" w:hAnsi="Times New Roman" w:cs="Times New Roman"/>
                      <w:spacing w:val="-1"/>
                      <w:sz w:val="21"/>
                      <w:szCs w:val="21"/>
                    </w:rPr>
                    <w:t>kwh</w:t>
                  </w:r>
                  <w:r>
                    <w:rPr>
                      <w:rFonts w:ascii="Times New Roman" w:eastAsia="Times New Roman" w:hAnsi="Times New Roman" w:cs="Times New Roman"/>
                      <w:spacing w:val="-1"/>
                      <w:sz w:val="21"/>
                      <w:szCs w:val="21"/>
                    </w:rPr>
                    <w:t>/a</w:t>
                  </w:r>
                </w:p>
              </w:tc>
              <w:tc>
                <w:tcPr>
                  <w:tcW w:w="1448"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200</w:t>
                  </w:r>
                </w:p>
              </w:tc>
              <w:tc>
                <w:tcPr>
                  <w:tcW w:w="2103" w:type="dxa"/>
                  <w:tcBorders>
                    <w:tl2br w:val="nil"/>
                    <w:tr2bl w:val="nil"/>
                  </w:tcBorders>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rPr>
                    <w:t>市政供电</w:t>
                  </w:r>
                </w:p>
              </w:tc>
            </w:tr>
          </w:tbl>
          <w:p w:rsidR="00997F3B">
            <w:pPr>
              <w:rPr>
                <w:rFonts w:ascii="Times New Roman" w:hAnsi="Times New Roman" w:cs="Times New Roman"/>
                <w:b/>
                <w:bCs/>
              </w:rPr>
            </w:pPr>
          </w:p>
        </w:tc>
      </w:tr>
    </w:tbl>
    <w:p>
      <w:pPr>
        <w:sectPr>
          <w:footerReference w:type="default" r:id="rId11"/>
          <w:type w:val="nextPage"/>
          <w:pgSz w:w="11906" w:h="16838"/>
          <w:pgMar w:top="1440" w:right="1800" w:bottom="1440" w:left="1800" w:header="851" w:footer="992" w:gutter="0"/>
          <w:pgNumType w:start="7"/>
          <w:cols w:space="425"/>
          <w:titlePg w:val="0"/>
          <w:docGrid w:type="lines" w:linePitch="312"/>
        </w:sectPr>
      </w:pPr>
    </w:p>
    <w:tbl>
      <w:tblPr>
        <w:tblStyle w:val="TableGrid7"/>
        <w:tblW w:w="10010"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751"/>
        <w:gridCol w:w="9259"/>
      </w:tblGrid>
      <w:tr>
        <w:tblPrEx>
          <w:tblW w:w="10010" w:type="dxa"/>
          <w:jc w:val="center"/>
          <w:tblBorders>
            <w:top w:val="single" w:sz="12" w:space="0" w:color="auto"/>
            <w:left w:val="single" w:sz="12" w:space="0" w:color="auto"/>
            <w:bottom w:val="single" w:sz="12" w:space="0" w:color="auto"/>
            <w:right w:val="single" w:sz="12" w:space="0" w:color="auto"/>
          </w:tblBorders>
          <w:tblLayout w:type="fixed"/>
          <w:tblLook w:val="04A0"/>
        </w:tblPrEx>
        <w:trPr>
          <w:jc w:val="center"/>
        </w:trPr>
        <w:tc>
          <w:tcPr>
            <w:tcW w:w="751" w:type="dxa"/>
            <w:vAlign w:val="center"/>
          </w:tcPr>
          <w:p/>
        </w:tc>
        <w:tc>
          <w:tcPr>
            <w:tcW w:w="9259" w:type="dxa"/>
            <w:vAlign w:val="center"/>
          </w:tcPr>
          <w:p w:rsidR="00997F3B">
            <w:pPr>
              <w:numPr>
                <w:ilvl w:val="0"/>
                <w:numId w:val="2"/>
              </w:numPr>
              <w:rPr>
                <w:rFonts w:ascii="Times New Roman" w:hAnsi="Times New Roman" w:cs="Times New Roman"/>
                <w:b/>
                <w:bCs/>
              </w:rPr>
            </w:pPr>
            <w:r>
              <w:rPr>
                <w:rFonts w:ascii="Times New Roman" w:hAnsi="Times New Roman" w:cs="Times New Roman"/>
                <w:b/>
                <w:bCs/>
              </w:rPr>
              <w:t>物料平衡</w:t>
            </w:r>
          </w:p>
          <w:p w:rsidR="00997F3B">
            <w:pPr>
              <w:ind w:firstLine="480" w:firstLineChars="200"/>
              <w:rPr>
                <w:rFonts w:ascii="Times New Roman" w:hAnsi="Times New Roman" w:cs="Times New Roman"/>
                <w:b/>
                <w:color w:val="000000" w:themeColor="text1"/>
              </w:rPr>
            </w:pPr>
            <w:r>
              <w:rPr>
                <w:rFonts w:ascii="Times New Roman" w:hAnsi="Times New Roman" w:cs="Times New Roman"/>
                <w:color w:val="000000" w:themeColor="text1"/>
              </w:rPr>
              <w:t>本项目年产</w:t>
            </w:r>
            <w:r>
              <w:rPr>
                <w:rFonts w:ascii="Times New Roman" w:hAnsi="Times New Roman" w:cs="Times New Roman"/>
                <w:color w:val="000000" w:themeColor="text1"/>
              </w:rPr>
              <w:t>建筑碎石</w:t>
            </w:r>
            <w:r>
              <w:rPr>
                <w:rFonts w:ascii="Times New Roman" w:hAnsi="Times New Roman" w:cs="Times New Roman"/>
                <w:color w:val="000000" w:themeColor="text1"/>
              </w:rPr>
              <w:t>50</w:t>
            </w:r>
            <w:r>
              <w:rPr>
                <w:rFonts w:ascii="Times New Roman" w:hAnsi="Times New Roman" w:cs="Times New Roman"/>
                <w:color w:val="000000" w:themeColor="text1"/>
              </w:rPr>
              <w:t>万立方米（</w:t>
            </w:r>
            <w:r>
              <w:rPr>
                <w:rFonts w:ascii="Times New Roman" w:hAnsi="Times New Roman" w:cs="Times New Roman"/>
                <w:color w:val="000000" w:themeColor="text1"/>
              </w:rPr>
              <w:t>1m</w:t>
            </w:r>
            <w:r>
              <w:rPr>
                <w:rFonts w:ascii="Times New Roman" w:hAnsi="Times New Roman" w:cs="Times New Roman"/>
                <w:color w:val="000000" w:themeColor="text1"/>
                <w:vertAlign w:val="superscript"/>
              </w:rPr>
              <w:t>3</w:t>
            </w:r>
            <w:r>
              <w:rPr>
                <w:rFonts w:ascii="Times New Roman" w:hAnsi="Times New Roman" w:cs="Times New Roman"/>
                <w:color w:val="000000" w:themeColor="text1"/>
              </w:rPr>
              <w:t>碎石比重</w:t>
            </w:r>
            <w:r>
              <w:rPr>
                <w:rFonts w:ascii="Times New Roman" w:hAnsi="Times New Roman" w:cs="Times New Roman"/>
              </w:rPr>
              <w:t>为</w:t>
            </w:r>
            <w:r>
              <w:rPr>
                <w:rFonts w:ascii="Times New Roman" w:hAnsi="Times New Roman" w:cs="Times New Roman"/>
              </w:rPr>
              <w:t>1.</w:t>
            </w:r>
            <w:r>
              <w:rPr>
                <w:rFonts w:ascii="Times New Roman" w:hAnsi="Times New Roman" w:cs="Times New Roman"/>
              </w:rPr>
              <w:t>3</w:t>
            </w:r>
            <w:r>
              <w:rPr>
                <w:rFonts w:ascii="Times New Roman" w:hAnsi="Times New Roman" w:cs="Times New Roman"/>
              </w:rPr>
              <w:t>-1.</w:t>
            </w:r>
            <w:r>
              <w:rPr>
                <w:rFonts w:ascii="Times New Roman" w:hAnsi="Times New Roman" w:cs="Times New Roman"/>
              </w:rPr>
              <w:t>7</w:t>
            </w:r>
            <w:r>
              <w:rPr>
                <w:rFonts w:ascii="Times New Roman" w:hAnsi="Times New Roman" w:cs="Times New Roman"/>
              </w:rPr>
              <w:t>t</w:t>
            </w:r>
            <w:r>
              <w:rPr>
                <w:rFonts w:ascii="Times New Roman" w:hAnsi="Times New Roman" w:cs="Times New Roman"/>
              </w:rPr>
              <w:t>，本项目取值</w:t>
            </w:r>
            <w:r>
              <w:rPr>
                <w:rFonts w:ascii="Times New Roman" w:hAnsi="Times New Roman" w:cs="Times New Roman"/>
              </w:rPr>
              <w:t>1.5</w:t>
            </w:r>
            <w:r>
              <w:rPr>
                <w:rFonts w:ascii="Times New Roman" w:hAnsi="Times New Roman" w:cs="Times New Roman"/>
                <w:color w:val="000000" w:themeColor="text1"/>
              </w:rPr>
              <w:t>），</w:t>
            </w:r>
            <w:r>
              <w:rPr>
                <w:rFonts w:ascii="Times New Roman" w:hAnsi="Times New Roman" w:cs="Times New Roman"/>
                <w:color w:val="000000" w:themeColor="text1"/>
              </w:rPr>
              <w:t>则项目建筑碎石年产量为</w:t>
            </w:r>
            <w:r>
              <w:rPr>
                <w:rFonts w:ascii="Times New Roman" w:hAnsi="Times New Roman" w:cs="Times New Roman"/>
                <w:color w:val="000000" w:themeColor="text1"/>
              </w:rPr>
              <w:t>75</w:t>
            </w:r>
            <w:r>
              <w:rPr>
                <w:rFonts w:ascii="Times New Roman" w:hAnsi="Times New Roman" w:cs="Times New Roman"/>
                <w:color w:val="000000" w:themeColor="text1"/>
              </w:rPr>
              <w:t>万吨。</w:t>
            </w:r>
            <w:r>
              <w:rPr>
                <w:rFonts w:ascii="Times New Roman" w:hAnsi="Times New Roman" w:cs="Times New Roman"/>
                <w:color w:val="000000" w:themeColor="text1"/>
              </w:rPr>
              <w:t>根据同类企业类比分析，生产</w:t>
            </w:r>
            <w:r>
              <w:rPr>
                <w:rFonts w:ascii="Times New Roman" w:hAnsi="Times New Roman" w:cs="Times New Roman"/>
                <w:color w:val="000000" w:themeColor="text1"/>
              </w:rPr>
              <w:t>1</w:t>
            </w:r>
            <w:r>
              <w:rPr>
                <w:rFonts w:ascii="Times New Roman" w:hAnsi="Times New Roman" w:cs="Times New Roman"/>
                <w:color w:val="000000" w:themeColor="text1"/>
              </w:rPr>
              <w:t>吨的</w:t>
            </w:r>
            <w:r>
              <w:rPr>
                <w:rFonts w:ascii="Times New Roman" w:hAnsi="Times New Roman" w:cs="Times New Roman"/>
                <w:color w:val="000000" w:themeColor="text1"/>
              </w:rPr>
              <w:t>碎石</w:t>
            </w:r>
            <w:r>
              <w:rPr>
                <w:rFonts w:ascii="Times New Roman" w:hAnsi="Times New Roman" w:cs="Times New Roman"/>
                <w:color w:val="000000" w:themeColor="text1"/>
              </w:rPr>
              <w:t>需要原料约为</w:t>
            </w:r>
            <w:r>
              <w:rPr>
                <w:rFonts w:ascii="Times New Roman" w:hAnsi="Times New Roman" w:cs="Times New Roman"/>
                <w:color w:val="000000" w:themeColor="text1"/>
              </w:rPr>
              <w:t>1.</w:t>
            </w:r>
            <w:r>
              <w:rPr>
                <w:rFonts w:ascii="Times New Roman" w:hAnsi="Times New Roman" w:cs="Times New Roman"/>
                <w:color w:val="000000" w:themeColor="text1"/>
              </w:rPr>
              <w:t>25</w:t>
            </w:r>
            <w:r>
              <w:rPr>
                <w:rFonts w:ascii="Times New Roman" w:hAnsi="Times New Roman" w:cs="Times New Roman"/>
                <w:color w:val="000000" w:themeColor="text1"/>
              </w:rPr>
              <w:t>吨，则年需消耗原料为</w:t>
            </w:r>
            <w:r>
              <w:rPr>
                <w:rFonts w:ascii="Times New Roman" w:hAnsi="Times New Roman" w:cs="Times New Roman"/>
                <w:color w:val="000000" w:themeColor="text1"/>
              </w:rPr>
              <w:t>93.75</w:t>
            </w:r>
            <w:r>
              <w:rPr>
                <w:rFonts w:ascii="Times New Roman" w:hAnsi="Times New Roman" w:cs="Times New Roman"/>
                <w:color w:val="000000" w:themeColor="text1"/>
              </w:rPr>
              <w:t>万</w:t>
            </w:r>
            <w:r>
              <w:rPr>
                <w:rFonts w:ascii="Times New Roman" w:hAnsi="Times New Roman" w:cs="Times New Roman"/>
                <w:color w:val="000000" w:themeColor="text1"/>
              </w:rPr>
              <w:t>吨。除了少量粉尘无组织排放外，其余在破碎机内沉降的</w:t>
            </w:r>
            <w:r>
              <w:rPr>
                <w:rFonts w:ascii="Times New Roman" w:hAnsi="Times New Roman" w:cs="Times New Roman"/>
                <w:color w:val="000000" w:themeColor="text1"/>
              </w:rPr>
              <w:t>煤粉</w:t>
            </w:r>
            <w:r>
              <w:rPr>
                <w:rFonts w:ascii="Times New Roman" w:hAnsi="Times New Roman" w:cs="Times New Roman"/>
                <w:color w:val="000000" w:themeColor="text1"/>
              </w:rPr>
              <w:t>收集后作为</w:t>
            </w:r>
            <w:r>
              <w:rPr>
                <w:rFonts w:ascii="Times New Roman" w:hAnsi="Times New Roman" w:cs="Times New Roman"/>
                <w:color w:val="000000" w:themeColor="text1"/>
              </w:rPr>
              <w:t>产品出售。本项目物料平衡表见下表。</w:t>
            </w:r>
          </w:p>
          <w:p w:rsidR="00997F3B" w:rsidP="00052500">
            <w:pPr>
              <w:widowControl/>
              <w:spacing w:before="156" w:beforeLines="50" w:line="240" w:lineRule="auto"/>
              <w:jc w:val="center"/>
              <w:rPr>
                <w:rFonts w:ascii="Times New Roman" w:hAnsi="Times New Roman" w:cs="Times New Roman"/>
                <w:b/>
                <w:bCs/>
                <w:color w:val="000000" w:themeColor="text1"/>
              </w:rPr>
            </w:pPr>
            <w:r>
              <w:rPr>
                <w:rFonts w:ascii="Times New Roman" w:hAnsi="Times New Roman" w:cs="Times New Roman"/>
                <w:b/>
                <w:bCs/>
                <w:color w:val="000000" w:themeColor="text1"/>
              </w:rPr>
              <w:t>表</w:t>
            </w:r>
            <w:r>
              <w:rPr>
                <w:rFonts w:ascii="Times New Roman" w:hAnsi="Times New Roman" w:cs="Times New Roman"/>
                <w:b/>
                <w:bCs/>
                <w:color w:val="000000" w:themeColor="text1"/>
              </w:rPr>
              <w:t>1-</w:t>
            </w:r>
            <w:r>
              <w:rPr>
                <w:rFonts w:ascii="Times New Roman" w:hAnsi="Times New Roman" w:cs="Times New Roman"/>
                <w:b/>
                <w:bCs/>
                <w:color w:val="000000" w:themeColor="text1"/>
              </w:rPr>
              <w:t>4</w:t>
            </w:r>
            <w:r>
              <w:rPr>
                <w:rFonts w:ascii="Times New Roman" w:hAnsi="Times New Roman" w:cs="Times New Roman"/>
                <w:b/>
                <w:bCs/>
                <w:color w:val="000000" w:themeColor="text1"/>
              </w:rPr>
              <w:t xml:space="preserve">  </w:t>
            </w:r>
            <w:r>
              <w:rPr>
                <w:rFonts w:ascii="Times New Roman" w:hAnsi="Times New Roman" w:cs="Times New Roman"/>
                <w:b/>
                <w:bCs/>
                <w:color w:val="000000" w:themeColor="text1"/>
              </w:rPr>
              <w:t>物料平衡表</w:t>
            </w:r>
          </w:p>
          <w:tbl>
            <w:tblPr>
              <w:tblStyle w:val="TableNormal"/>
              <w:tblW w:w="48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13"/>
              <w:gridCol w:w="3608"/>
              <w:gridCol w:w="2728"/>
            </w:tblGrid>
            <w:tr>
              <w:tblPrEx>
                <w:tblW w:w="48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hRule="exact" w:val="397"/>
                <w:jc w:val="center"/>
              </w:trPr>
              <w:tc>
                <w:tcPr>
                  <w:tcW w:w="2516" w:type="dxa"/>
                  <w:tcBorders>
                    <w:tl2br w:val="nil"/>
                    <w:tr2bl w:val="nil"/>
                  </w:tcBorders>
                  <w:vAlign w:val="center"/>
                </w:tcPr>
                <w:p w:rsidR="00997F3B">
                  <w:pPr>
                    <w:pStyle w:val="NormalIndent"/>
                    <w:tabs>
                      <w:tab w:val="left" w:pos="2265"/>
                    </w:tabs>
                    <w:spacing w:line="240" w:lineRule="auto"/>
                    <w:ind w:firstLine="0" w:firstLineChars="0"/>
                    <w:jc w:val="center"/>
                    <w:rPr>
                      <w:b/>
                      <w:bCs/>
                      <w:color w:val="000000" w:themeColor="text1"/>
                      <w:sz w:val="21"/>
                      <w:szCs w:val="21"/>
                    </w:rPr>
                  </w:pPr>
                  <w:r>
                    <w:rPr>
                      <w:b/>
                      <w:bCs/>
                      <w:color w:val="000000" w:themeColor="text1"/>
                      <w:sz w:val="21"/>
                      <w:szCs w:val="21"/>
                    </w:rPr>
                    <w:t>输入（</w:t>
                  </w:r>
                  <w:r>
                    <w:rPr>
                      <w:b/>
                      <w:color w:val="000000" w:themeColor="text1"/>
                      <w:sz w:val="21"/>
                      <w:szCs w:val="21"/>
                    </w:rPr>
                    <w:t>t</w:t>
                  </w:r>
                  <w:r>
                    <w:rPr>
                      <w:b/>
                      <w:bCs/>
                      <w:color w:val="000000" w:themeColor="text1"/>
                      <w:sz w:val="21"/>
                      <w:szCs w:val="21"/>
                    </w:rPr>
                    <w:t>/a</w:t>
                  </w:r>
                  <w:r>
                    <w:rPr>
                      <w:b/>
                      <w:bCs/>
                      <w:color w:val="000000" w:themeColor="text1"/>
                      <w:sz w:val="21"/>
                      <w:szCs w:val="21"/>
                    </w:rPr>
                    <w:t>）</w:t>
                  </w:r>
                </w:p>
              </w:tc>
              <w:tc>
                <w:tcPr>
                  <w:tcW w:w="6343" w:type="dxa"/>
                  <w:gridSpan w:val="2"/>
                  <w:tcBorders>
                    <w:tl2br w:val="nil"/>
                    <w:tr2bl w:val="nil"/>
                  </w:tcBorders>
                  <w:vAlign w:val="center"/>
                </w:tcPr>
                <w:p w:rsidR="00997F3B">
                  <w:pPr>
                    <w:pStyle w:val="NormalIndent"/>
                    <w:tabs>
                      <w:tab w:val="left" w:pos="2265"/>
                    </w:tabs>
                    <w:spacing w:line="240" w:lineRule="auto"/>
                    <w:ind w:firstLine="0" w:firstLineChars="0"/>
                    <w:jc w:val="center"/>
                    <w:rPr>
                      <w:b/>
                      <w:bCs/>
                      <w:color w:val="000000" w:themeColor="text1"/>
                      <w:sz w:val="21"/>
                      <w:szCs w:val="21"/>
                    </w:rPr>
                  </w:pPr>
                  <w:r>
                    <w:rPr>
                      <w:b/>
                      <w:bCs/>
                      <w:color w:val="000000" w:themeColor="text1"/>
                      <w:sz w:val="21"/>
                      <w:szCs w:val="21"/>
                    </w:rPr>
                    <w:t>输出（</w:t>
                  </w:r>
                  <w:r>
                    <w:rPr>
                      <w:b/>
                      <w:color w:val="000000" w:themeColor="text1"/>
                      <w:sz w:val="21"/>
                      <w:szCs w:val="21"/>
                    </w:rPr>
                    <w:t>t</w:t>
                  </w:r>
                  <w:r>
                    <w:rPr>
                      <w:b/>
                      <w:bCs/>
                      <w:color w:val="000000" w:themeColor="text1"/>
                      <w:sz w:val="21"/>
                      <w:szCs w:val="21"/>
                    </w:rPr>
                    <w:t>/a</w:t>
                  </w:r>
                  <w:r>
                    <w:rPr>
                      <w:b/>
                      <w:bCs/>
                      <w:color w:val="000000" w:themeColor="text1"/>
                      <w:sz w:val="21"/>
                      <w:szCs w:val="21"/>
                    </w:rPr>
                    <w:t>）</w:t>
                  </w:r>
                </w:p>
              </w:tc>
            </w:tr>
            <w:tr>
              <w:tblPrEx>
                <w:tblW w:w="4898" w:type="pct"/>
                <w:jc w:val="center"/>
                <w:tblLayout w:type="fixed"/>
                <w:tblLook w:val="04A0"/>
              </w:tblPrEx>
              <w:trPr>
                <w:trHeight w:hRule="exact" w:val="404"/>
                <w:jc w:val="center"/>
              </w:trPr>
              <w:tc>
                <w:tcPr>
                  <w:tcW w:w="2516" w:type="dxa"/>
                  <w:vMerge w:val="restart"/>
                  <w:tcBorders>
                    <w:tl2br w:val="nil"/>
                    <w:tr2bl w:val="nil"/>
                  </w:tcBorders>
                  <w:vAlign w:val="center"/>
                </w:tcPr>
                <w:p w:rsidR="00997F3B">
                  <w:pPr>
                    <w:pStyle w:val="NormalIndent"/>
                    <w:tabs>
                      <w:tab w:val="left" w:pos="2265"/>
                    </w:tabs>
                    <w:spacing w:line="240" w:lineRule="auto"/>
                    <w:ind w:firstLine="0" w:firstLineChars="0"/>
                    <w:jc w:val="center"/>
                    <w:rPr>
                      <w:color w:val="000000" w:themeColor="text1"/>
                      <w:sz w:val="21"/>
                      <w:szCs w:val="21"/>
                    </w:rPr>
                  </w:pPr>
                  <w:r>
                    <w:rPr>
                      <w:color w:val="000000" w:themeColor="text1"/>
                      <w:sz w:val="21"/>
                      <w:szCs w:val="21"/>
                    </w:rPr>
                    <w:t>废石渣</w:t>
                  </w:r>
                  <w:r>
                    <w:rPr>
                      <w:color w:val="000000" w:themeColor="text1"/>
                      <w:sz w:val="21"/>
                      <w:szCs w:val="21"/>
                    </w:rPr>
                    <w:t>（</w:t>
                  </w:r>
                  <w:r>
                    <w:rPr>
                      <w:color w:val="000000" w:themeColor="text1"/>
                      <w:sz w:val="21"/>
                      <w:szCs w:val="21"/>
                    </w:rPr>
                    <w:t>93.75×10</w:t>
                  </w:r>
                  <w:r>
                    <w:rPr>
                      <w:color w:val="000000" w:themeColor="text1"/>
                      <w:sz w:val="21"/>
                      <w:szCs w:val="21"/>
                      <w:vertAlign w:val="superscript"/>
                    </w:rPr>
                    <w:t>4</w:t>
                  </w:r>
                  <w:r>
                    <w:rPr>
                      <w:color w:val="000000" w:themeColor="text1"/>
                      <w:sz w:val="21"/>
                      <w:szCs w:val="21"/>
                    </w:rPr>
                    <w:t>）</w:t>
                  </w:r>
                </w:p>
              </w:tc>
              <w:tc>
                <w:tcPr>
                  <w:tcW w:w="3612" w:type="dxa"/>
                  <w:tcBorders>
                    <w:tl2br w:val="nil"/>
                    <w:tr2bl w:val="nil"/>
                  </w:tcBorders>
                  <w:vAlign w:val="center"/>
                </w:tcPr>
                <w:p w:rsidR="00997F3B">
                  <w:pPr>
                    <w:pStyle w:val="NormalIndent"/>
                    <w:tabs>
                      <w:tab w:val="left" w:pos="2265"/>
                    </w:tabs>
                    <w:spacing w:line="240" w:lineRule="auto"/>
                    <w:jc w:val="center"/>
                    <w:rPr>
                      <w:color w:val="000000" w:themeColor="text1"/>
                      <w:sz w:val="21"/>
                      <w:szCs w:val="21"/>
                    </w:rPr>
                  </w:pPr>
                  <w:r>
                    <w:rPr>
                      <w:color w:val="000000" w:themeColor="text1"/>
                      <w:sz w:val="21"/>
                      <w:szCs w:val="21"/>
                    </w:rPr>
                    <w:t>建筑碎石</w:t>
                  </w:r>
                </w:p>
              </w:tc>
              <w:tc>
                <w:tcPr>
                  <w:tcW w:w="2731" w:type="dxa"/>
                  <w:tcBorders>
                    <w:tl2br w:val="nil"/>
                    <w:tr2bl w:val="nil"/>
                  </w:tcBorders>
                  <w:vAlign w:val="center"/>
                </w:tcPr>
                <w:p w:rsidR="00997F3B">
                  <w:pPr>
                    <w:pStyle w:val="NormalIndent"/>
                    <w:tabs>
                      <w:tab w:val="left" w:pos="2265"/>
                    </w:tabs>
                    <w:spacing w:line="240" w:lineRule="auto"/>
                    <w:ind w:firstLine="0" w:firstLineChars="0"/>
                    <w:jc w:val="center"/>
                    <w:rPr>
                      <w:color w:val="000000" w:themeColor="text1"/>
                      <w:sz w:val="21"/>
                      <w:szCs w:val="21"/>
                    </w:rPr>
                  </w:pPr>
                  <w:r>
                    <w:rPr>
                      <w:color w:val="000000" w:themeColor="text1"/>
                      <w:sz w:val="21"/>
                      <w:szCs w:val="21"/>
                    </w:rPr>
                    <w:t>75×10</w:t>
                  </w:r>
                  <w:r>
                    <w:rPr>
                      <w:color w:val="000000" w:themeColor="text1"/>
                      <w:sz w:val="21"/>
                      <w:szCs w:val="21"/>
                      <w:vertAlign w:val="superscript"/>
                    </w:rPr>
                    <w:t>4</w:t>
                  </w:r>
                </w:p>
              </w:tc>
            </w:tr>
            <w:tr>
              <w:tblPrEx>
                <w:tblW w:w="4898" w:type="pct"/>
                <w:jc w:val="center"/>
                <w:tblLayout w:type="fixed"/>
                <w:tblLook w:val="04A0"/>
              </w:tblPrEx>
              <w:trPr>
                <w:trHeight w:hRule="exact" w:val="345"/>
                <w:jc w:val="center"/>
              </w:trPr>
              <w:tc>
                <w:tcPr>
                  <w:tcW w:w="2516" w:type="dxa"/>
                  <w:vMerge/>
                  <w:tcBorders>
                    <w:tl2br w:val="nil"/>
                    <w:tr2bl w:val="nil"/>
                  </w:tcBorders>
                  <w:vAlign w:val="center"/>
                </w:tcPr>
                <w:p w:rsidR="00997F3B">
                  <w:pPr>
                    <w:pStyle w:val="NormalIndent"/>
                    <w:tabs>
                      <w:tab w:val="left" w:pos="2265"/>
                    </w:tabs>
                    <w:spacing w:line="240" w:lineRule="auto"/>
                    <w:jc w:val="center"/>
                    <w:rPr>
                      <w:color w:val="000000" w:themeColor="text1"/>
                      <w:sz w:val="21"/>
                      <w:szCs w:val="21"/>
                    </w:rPr>
                  </w:pPr>
                </w:p>
              </w:tc>
              <w:tc>
                <w:tcPr>
                  <w:tcW w:w="3612" w:type="dxa"/>
                  <w:tcBorders>
                    <w:tl2br w:val="nil"/>
                    <w:tr2bl w:val="nil"/>
                  </w:tcBorders>
                  <w:vAlign w:val="center"/>
                </w:tcPr>
                <w:p w:rsidR="00997F3B">
                  <w:pPr>
                    <w:pStyle w:val="NormalIndent"/>
                    <w:tabs>
                      <w:tab w:val="left" w:pos="2265"/>
                    </w:tabs>
                    <w:spacing w:line="240" w:lineRule="auto"/>
                    <w:jc w:val="center"/>
                    <w:rPr>
                      <w:color w:val="000000" w:themeColor="text1"/>
                      <w:sz w:val="21"/>
                      <w:szCs w:val="21"/>
                    </w:rPr>
                  </w:pPr>
                  <w:r>
                    <w:rPr>
                      <w:color w:val="000000" w:themeColor="text1"/>
                      <w:sz w:val="21"/>
                      <w:szCs w:val="21"/>
                    </w:rPr>
                    <w:t>煤粉</w:t>
                  </w:r>
                </w:p>
              </w:tc>
              <w:tc>
                <w:tcPr>
                  <w:tcW w:w="2731" w:type="dxa"/>
                  <w:tcBorders>
                    <w:tl2br w:val="nil"/>
                    <w:tr2bl w:val="nil"/>
                  </w:tcBorders>
                  <w:vAlign w:val="center"/>
                </w:tcPr>
                <w:p w:rsidR="00997F3B">
                  <w:pPr>
                    <w:pStyle w:val="NormalIndent"/>
                    <w:tabs>
                      <w:tab w:val="left" w:pos="2265"/>
                    </w:tabs>
                    <w:spacing w:line="240" w:lineRule="auto"/>
                    <w:ind w:firstLine="0" w:firstLineChars="0"/>
                    <w:jc w:val="center"/>
                    <w:rPr>
                      <w:color w:val="000000" w:themeColor="text1"/>
                      <w:sz w:val="21"/>
                      <w:szCs w:val="21"/>
                    </w:rPr>
                  </w:pPr>
                  <w:r>
                    <w:rPr>
                      <w:rFonts w:hint="eastAsia"/>
                      <w:color w:val="000000" w:themeColor="text1"/>
                      <w:sz w:val="21"/>
                      <w:szCs w:val="21"/>
                    </w:rPr>
                    <w:t>187485.25</w:t>
                  </w:r>
                </w:p>
              </w:tc>
            </w:tr>
            <w:tr>
              <w:tblPrEx>
                <w:tblW w:w="4898" w:type="pct"/>
                <w:jc w:val="center"/>
                <w:tblLayout w:type="fixed"/>
                <w:tblLook w:val="04A0"/>
              </w:tblPrEx>
              <w:trPr>
                <w:trHeight w:hRule="exact" w:val="358"/>
                <w:jc w:val="center"/>
              </w:trPr>
              <w:tc>
                <w:tcPr>
                  <w:tcW w:w="2516" w:type="dxa"/>
                  <w:vMerge/>
                  <w:tcBorders>
                    <w:tl2br w:val="nil"/>
                    <w:tr2bl w:val="nil"/>
                  </w:tcBorders>
                  <w:vAlign w:val="center"/>
                </w:tcPr>
                <w:p w:rsidR="00997F3B">
                  <w:pPr>
                    <w:pStyle w:val="NormalIndent"/>
                    <w:tabs>
                      <w:tab w:val="left" w:pos="2265"/>
                    </w:tabs>
                    <w:spacing w:line="240" w:lineRule="auto"/>
                    <w:jc w:val="center"/>
                    <w:rPr>
                      <w:color w:val="000000" w:themeColor="text1"/>
                      <w:sz w:val="21"/>
                      <w:szCs w:val="21"/>
                    </w:rPr>
                  </w:pPr>
                </w:p>
              </w:tc>
              <w:tc>
                <w:tcPr>
                  <w:tcW w:w="3612" w:type="dxa"/>
                  <w:tcBorders>
                    <w:tl2br w:val="nil"/>
                    <w:tr2bl w:val="nil"/>
                  </w:tcBorders>
                  <w:vAlign w:val="center"/>
                </w:tcPr>
                <w:p w:rsidR="00997F3B">
                  <w:pPr>
                    <w:pStyle w:val="NormalIndent"/>
                    <w:tabs>
                      <w:tab w:val="left" w:pos="2265"/>
                    </w:tabs>
                    <w:spacing w:line="240" w:lineRule="auto"/>
                    <w:jc w:val="center"/>
                    <w:rPr>
                      <w:color w:val="000000" w:themeColor="text1"/>
                      <w:sz w:val="21"/>
                      <w:szCs w:val="21"/>
                    </w:rPr>
                  </w:pPr>
                  <w:r>
                    <w:rPr>
                      <w:color w:val="000000" w:themeColor="text1"/>
                      <w:sz w:val="21"/>
                      <w:szCs w:val="21"/>
                    </w:rPr>
                    <w:t>无组织排放粉尘</w:t>
                  </w:r>
                </w:p>
              </w:tc>
              <w:tc>
                <w:tcPr>
                  <w:tcW w:w="2731" w:type="dxa"/>
                  <w:tcBorders>
                    <w:tl2br w:val="nil"/>
                    <w:tr2bl w:val="nil"/>
                  </w:tcBorders>
                  <w:vAlign w:val="center"/>
                </w:tcPr>
                <w:p w:rsidR="00997F3B">
                  <w:pPr>
                    <w:pStyle w:val="NormalIndent"/>
                    <w:tabs>
                      <w:tab w:val="left" w:pos="2265"/>
                    </w:tabs>
                    <w:spacing w:line="240" w:lineRule="auto"/>
                    <w:ind w:firstLine="0" w:firstLineChars="0"/>
                    <w:jc w:val="center"/>
                    <w:rPr>
                      <w:color w:val="000000" w:themeColor="text1"/>
                      <w:sz w:val="21"/>
                      <w:szCs w:val="21"/>
                    </w:rPr>
                  </w:pPr>
                  <w:r>
                    <w:rPr>
                      <w:rFonts w:hint="eastAsia"/>
                      <w:color w:val="000000" w:themeColor="text1"/>
                      <w:sz w:val="21"/>
                      <w:szCs w:val="21"/>
                    </w:rPr>
                    <w:t>1.881</w:t>
                  </w:r>
                </w:p>
              </w:tc>
            </w:tr>
            <w:tr>
              <w:tblPrEx>
                <w:tblW w:w="4898" w:type="pct"/>
                <w:jc w:val="center"/>
                <w:tblLayout w:type="fixed"/>
                <w:tblLook w:val="04A0"/>
              </w:tblPrEx>
              <w:trPr>
                <w:trHeight w:hRule="exact" w:val="397"/>
                <w:jc w:val="center"/>
              </w:trPr>
              <w:tc>
                <w:tcPr>
                  <w:tcW w:w="2516" w:type="dxa"/>
                  <w:vMerge/>
                  <w:tcBorders>
                    <w:tl2br w:val="nil"/>
                    <w:tr2bl w:val="nil"/>
                  </w:tcBorders>
                  <w:vAlign w:val="center"/>
                </w:tcPr>
                <w:p w:rsidR="00997F3B">
                  <w:pPr>
                    <w:pStyle w:val="NormalIndent"/>
                    <w:tabs>
                      <w:tab w:val="left" w:pos="2265"/>
                    </w:tabs>
                    <w:spacing w:line="240" w:lineRule="auto"/>
                    <w:jc w:val="center"/>
                    <w:rPr>
                      <w:color w:val="000000" w:themeColor="text1"/>
                      <w:sz w:val="21"/>
                      <w:szCs w:val="21"/>
                    </w:rPr>
                  </w:pPr>
                </w:p>
              </w:tc>
              <w:tc>
                <w:tcPr>
                  <w:tcW w:w="3612" w:type="dxa"/>
                  <w:tcBorders>
                    <w:tl2br w:val="nil"/>
                    <w:tr2bl w:val="nil"/>
                  </w:tcBorders>
                  <w:vAlign w:val="center"/>
                </w:tcPr>
                <w:p w:rsidR="00997F3B">
                  <w:pPr>
                    <w:pStyle w:val="NormalIndent"/>
                    <w:tabs>
                      <w:tab w:val="left" w:pos="2265"/>
                    </w:tabs>
                    <w:spacing w:line="240" w:lineRule="auto"/>
                    <w:jc w:val="center"/>
                    <w:rPr>
                      <w:color w:val="000000" w:themeColor="text1"/>
                      <w:sz w:val="21"/>
                      <w:szCs w:val="21"/>
                    </w:rPr>
                  </w:pPr>
                  <w:r>
                    <w:rPr>
                      <w:color w:val="000000" w:themeColor="text1"/>
                      <w:sz w:val="21"/>
                      <w:szCs w:val="21"/>
                    </w:rPr>
                    <w:t>沉降粉尘</w:t>
                  </w:r>
                </w:p>
              </w:tc>
              <w:tc>
                <w:tcPr>
                  <w:tcW w:w="2731" w:type="dxa"/>
                  <w:tcBorders>
                    <w:tl2br w:val="nil"/>
                    <w:tr2bl w:val="nil"/>
                  </w:tcBorders>
                  <w:vAlign w:val="center"/>
                </w:tcPr>
                <w:p w:rsidR="00997F3B">
                  <w:pPr>
                    <w:pStyle w:val="NormalIndent"/>
                    <w:tabs>
                      <w:tab w:val="left" w:pos="2265"/>
                    </w:tabs>
                    <w:spacing w:line="240" w:lineRule="auto"/>
                    <w:ind w:firstLine="0" w:firstLineChars="0"/>
                    <w:jc w:val="center"/>
                    <w:rPr>
                      <w:color w:val="000000" w:themeColor="text1"/>
                      <w:sz w:val="21"/>
                      <w:szCs w:val="21"/>
                    </w:rPr>
                  </w:pPr>
                  <w:r>
                    <w:rPr>
                      <w:rFonts w:hint="eastAsia"/>
                      <w:color w:val="000000" w:themeColor="text1"/>
                      <w:sz w:val="21"/>
                      <w:szCs w:val="21"/>
                    </w:rPr>
                    <w:t>12.869</w:t>
                  </w:r>
                </w:p>
              </w:tc>
            </w:tr>
            <w:tr>
              <w:tblPrEx>
                <w:tblW w:w="4898" w:type="pct"/>
                <w:jc w:val="center"/>
                <w:tblLayout w:type="fixed"/>
                <w:tblLook w:val="04A0"/>
              </w:tblPrEx>
              <w:trPr>
                <w:trHeight w:hRule="exact" w:val="397"/>
                <w:jc w:val="center"/>
              </w:trPr>
              <w:tc>
                <w:tcPr>
                  <w:tcW w:w="2516" w:type="dxa"/>
                  <w:vMerge/>
                  <w:tcBorders>
                    <w:tl2br w:val="nil"/>
                    <w:tr2bl w:val="nil"/>
                  </w:tcBorders>
                  <w:vAlign w:val="center"/>
                </w:tcPr>
                <w:p w:rsidR="00997F3B">
                  <w:pPr>
                    <w:pStyle w:val="NormalIndent"/>
                    <w:tabs>
                      <w:tab w:val="left" w:pos="2265"/>
                    </w:tabs>
                    <w:spacing w:line="240" w:lineRule="auto"/>
                    <w:jc w:val="center"/>
                    <w:rPr>
                      <w:color w:val="000000" w:themeColor="text1"/>
                      <w:sz w:val="21"/>
                      <w:szCs w:val="21"/>
                    </w:rPr>
                  </w:pPr>
                </w:p>
              </w:tc>
              <w:tc>
                <w:tcPr>
                  <w:tcW w:w="3612" w:type="dxa"/>
                  <w:tcBorders>
                    <w:tl2br w:val="nil"/>
                    <w:tr2bl w:val="nil"/>
                  </w:tcBorders>
                  <w:vAlign w:val="center"/>
                </w:tcPr>
                <w:p w:rsidR="00997F3B">
                  <w:pPr>
                    <w:pStyle w:val="NormalIndent"/>
                    <w:tabs>
                      <w:tab w:val="left" w:pos="2265"/>
                    </w:tabs>
                    <w:spacing w:line="240" w:lineRule="auto"/>
                    <w:jc w:val="center"/>
                    <w:rPr>
                      <w:color w:val="000000" w:themeColor="text1"/>
                      <w:sz w:val="21"/>
                      <w:szCs w:val="21"/>
                    </w:rPr>
                  </w:pPr>
                  <w:r>
                    <w:rPr>
                      <w:color w:val="000000" w:themeColor="text1"/>
                      <w:sz w:val="21"/>
                      <w:szCs w:val="21"/>
                    </w:rPr>
                    <w:t>合计</w:t>
                  </w:r>
                </w:p>
              </w:tc>
              <w:tc>
                <w:tcPr>
                  <w:tcW w:w="2731" w:type="dxa"/>
                  <w:tcBorders>
                    <w:tl2br w:val="nil"/>
                    <w:tr2bl w:val="nil"/>
                  </w:tcBorders>
                  <w:vAlign w:val="center"/>
                </w:tcPr>
                <w:p w:rsidR="00997F3B">
                  <w:pPr>
                    <w:pStyle w:val="NormalIndent"/>
                    <w:tabs>
                      <w:tab w:val="left" w:pos="2265"/>
                    </w:tabs>
                    <w:spacing w:line="240" w:lineRule="auto"/>
                    <w:ind w:firstLine="0" w:firstLineChars="0"/>
                    <w:jc w:val="center"/>
                    <w:rPr>
                      <w:color w:val="000000" w:themeColor="text1"/>
                      <w:sz w:val="21"/>
                      <w:szCs w:val="21"/>
                    </w:rPr>
                  </w:pPr>
                  <w:r>
                    <w:rPr>
                      <w:color w:val="000000" w:themeColor="text1"/>
                      <w:sz w:val="21"/>
                      <w:szCs w:val="21"/>
                    </w:rPr>
                    <w:t>93.75×10</w:t>
                  </w:r>
                  <w:r>
                    <w:rPr>
                      <w:color w:val="000000" w:themeColor="text1"/>
                      <w:sz w:val="21"/>
                      <w:szCs w:val="21"/>
                      <w:vertAlign w:val="superscript"/>
                    </w:rPr>
                    <w:t>4</w:t>
                  </w:r>
                </w:p>
              </w:tc>
            </w:tr>
          </w:tbl>
          <w:p w:rsidR="00997F3B">
            <w:pPr>
              <w:numPr>
                <w:ilvl w:val="0"/>
                <w:numId w:val="2"/>
              </w:numPr>
              <w:rPr>
                <w:rFonts w:ascii="Times New Roman" w:hAnsi="Times New Roman" w:cs="Times New Roman"/>
                <w:b/>
                <w:bCs/>
              </w:rPr>
            </w:pPr>
            <w:r>
              <w:rPr>
                <w:rFonts w:ascii="Times New Roman" w:hAnsi="Times New Roman" w:cs="Times New Roman"/>
                <w:b/>
                <w:bCs/>
              </w:rPr>
              <w:t>公用工程</w:t>
            </w:r>
          </w:p>
          <w:p w:rsidR="00997F3B">
            <w:pPr>
              <w:ind w:firstLine="480" w:firstLineChars="20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）给</w:t>
            </w:r>
            <w:r>
              <w:rPr>
                <w:rFonts w:ascii="Times New Roman" w:hAnsi="Times New Roman" w:cs="Times New Roman"/>
              </w:rPr>
              <w:t>排</w:t>
            </w:r>
            <w:r>
              <w:rPr>
                <w:rFonts w:ascii="Times New Roman" w:hAnsi="Times New Roman" w:cs="Times New Roman"/>
              </w:rPr>
              <w:t>水：项目用水由市政给水管网供应。本项目用水主要场区喷淋降尘用水</w:t>
            </w:r>
            <w:r>
              <w:rPr>
                <w:rFonts w:ascii="Times New Roman" w:hAnsi="Times New Roman" w:cs="Times New Roman"/>
              </w:rPr>
              <w:t>、进料喷淋用水</w:t>
            </w:r>
            <w:r>
              <w:rPr>
                <w:rFonts w:ascii="Times New Roman" w:hAnsi="Times New Roman" w:cs="Times New Roman"/>
              </w:rPr>
              <w:t>和生活用水等。</w:t>
            </w:r>
          </w:p>
          <w:p w:rsidR="00997F3B">
            <w:pPr>
              <w:ind w:firstLine="480" w:firstLineChars="200"/>
              <w:rPr>
                <w:rFonts w:ascii="Times New Roman" w:hAnsi="Times New Roman" w:cs="Times New Roman"/>
              </w:rPr>
            </w:pPr>
            <w:r>
              <w:rPr>
                <w:rFonts w:ascii="Times New Roman" w:hAnsi="Times New Roman" w:cs="Times New Roman"/>
              </w:rPr>
              <w:t>①</w:t>
            </w:r>
            <w:r>
              <w:rPr>
                <w:rFonts w:ascii="Times New Roman" w:hAnsi="Times New Roman" w:cs="Times New Roman"/>
              </w:rPr>
              <w:t>场区喷淋降尘用水</w:t>
            </w:r>
          </w:p>
          <w:p w:rsidR="00997F3B">
            <w:pPr>
              <w:ind w:firstLine="480" w:firstLineChars="200"/>
              <w:rPr>
                <w:rFonts w:ascii="Times New Roman" w:hAnsi="Times New Roman" w:cs="Times New Roman"/>
              </w:rPr>
            </w:pPr>
            <w:r>
              <w:rPr>
                <w:rFonts w:ascii="Times New Roman" w:hAnsi="Times New Roman" w:cs="Times New Roman"/>
              </w:rPr>
              <w:t>项目运营期将对生产加工区、堆场等进行雾化喷淋、洒水降尘。在原料堆场、成品堆场、卸料口、破碎机、筛分机及每条输送带跌头安装喷淋头，预计安装</w:t>
            </w:r>
            <w:r>
              <w:rPr>
                <w:rFonts w:ascii="Times New Roman" w:hAnsi="Times New Roman" w:cs="Times New Roman"/>
              </w:rPr>
              <w:t xml:space="preserve"> 20 </w:t>
            </w:r>
            <w:r>
              <w:rPr>
                <w:rFonts w:ascii="Times New Roman" w:hAnsi="Times New Roman" w:cs="Times New Roman"/>
              </w:rPr>
              <w:t>个，每个喷淋头每小时用水量</w:t>
            </w:r>
            <w:r>
              <w:rPr>
                <w:rFonts w:ascii="Times New Roman" w:hAnsi="Times New Roman" w:cs="Times New Roman"/>
              </w:rPr>
              <w:t>0.05t</w:t>
            </w:r>
            <w:r>
              <w:rPr>
                <w:rFonts w:ascii="Times New Roman" w:hAnsi="Times New Roman" w:cs="Times New Roman"/>
              </w:rPr>
              <w:t>，工作时间为</w:t>
            </w:r>
            <w:r>
              <w:rPr>
                <w:rFonts w:ascii="Times New Roman" w:hAnsi="Times New Roman" w:cs="Times New Roman"/>
              </w:rPr>
              <w:t>8h</w:t>
            </w:r>
            <w:r>
              <w:rPr>
                <w:rFonts w:ascii="Times New Roman" w:hAnsi="Times New Roman" w:cs="Times New Roman"/>
              </w:rPr>
              <w:t>，喷淋用水量为</w:t>
            </w:r>
            <w:r>
              <w:rPr>
                <w:rFonts w:ascii="Times New Roman" w:hAnsi="Times New Roman" w:cs="Times New Roman"/>
              </w:rPr>
              <w:t xml:space="preserve"> 8t/d</w:t>
            </w:r>
            <w:r>
              <w:rPr>
                <w:rFonts w:ascii="Times New Roman" w:hAnsi="Times New Roman" w:cs="Times New Roman"/>
              </w:rPr>
              <w:t>，</w:t>
            </w:r>
            <w:r>
              <w:rPr>
                <w:rFonts w:ascii="Times New Roman" w:hAnsi="Times New Roman" w:cs="Times New Roman"/>
              </w:rPr>
              <w:t>2400t/a</w:t>
            </w:r>
            <w:r>
              <w:rPr>
                <w:rFonts w:ascii="Times New Roman" w:hAnsi="Times New Roman" w:cs="Times New Roman"/>
              </w:rPr>
              <w:t>。该部分水全部蒸发损耗或进入产品中，不外排。</w:t>
            </w:r>
            <w:r>
              <w:rPr>
                <w:rFonts w:ascii="Times New Roman" w:hAnsi="Times New Roman" w:cs="Times New Roman"/>
              </w:rPr>
              <w:t>该部分用水均蒸发损耗，无废水外排。</w:t>
            </w:r>
          </w:p>
          <w:p w:rsidR="00997F3B">
            <w:pPr>
              <w:pStyle w:val="TOC1"/>
              <w:ind w:firstLine="480" w:firstLineChars="200"/>
              <w:rPr>
                <w:rFonts w:ascii="Times New Roman" w:hAnsi="Times New Roman" w:cs="Times New Roman"/>
              </w:rPr>
            </w:pPr>
            <w:r>
              <w:rPr>
                <w:rFonts w:ascii="Times New Roman" w:hAnsi="Times New Roman" w:cs="Times New Roman"/>
              </w:rPr>
              <w:t>②</w:t>
            </w:r>
            <w:r>
              <w:rPr>
                <w:rFonts w:ascii="Times New Roman" w:hAnsi="Times New Roman" w:cs="Times New Roman"/>
              </w:rPr>
              <w:t>车辆冲洗用水</w:t>
            </w:r>
            <w:r>
              <w:rPr>
                <w:rFonts w:ascii="Times New Roman" w:hAnsi="Times New Roman" w:cs="Times New Roman"/>
              </w:rPr>
              <w:t xml:space="preserve"> </w:t>
            </w:r>
          </w:p>
          <w:p w:rsidR="00997F3B">
            <w:pPr>
              <w:pStyle w:val="TOC1"/>
              <w:ind w:firstLine="480" w:firstLineChars="200"/>
              <w:rPr>
                <w:rFonts w:ascii="Times New Roman" w:hAnsi="Times New Roman" w:cs="Times New Roman"/>
              </w:rPr>
            </w:pPr>
            <w:r>
              <w:rPr>
                <w:rFonts w:ascii="Times New Roman" w:hAnsi="Times New Roman" w:cs="Times New Roman"/>
              </w:rPr>
              <w:t>本项目年产量</w:t>
            </w:r>
            <w:r>
              <w:rPr>
                <w:rFonts w:ascii="Times New Roman" w:hAnsi="Times New Roman" w:cs="Times New Roman"/>
              </w:rPr>
              <w:t>7</w:t>
            </w:r>
            <w:r>
              <w:rPr>
                <w:rFonts w:ascii="Times New Roman" w:hAnsi="Times New Roman" w:cs="Times New Roman"/>
              </w:rPr>
              <w:t>50000t</w:t>
            </w:r>
            <w:r>
              <w:rPr>
                <w:rFonts w:ascii="Times New Roman" w:hAnsi="Times New Roman" w:cs="Times New Roman"/>
              </w:rPr>
              <w:t>，自卸载重车载重量</w:t>
            </w:r>
            <w:r>
              <w:rPr>
                <w:rFonts w:ascii="Times New Roman" w:hAnsi="Times New Roman" w:cs="Times New Roman"/>
              </w:rPr>
              <w:t>3</w:t>
            </w:r>
            <w:r>
              <w:rPr>
                <w:rFonts w:ascii="Times New Roman" w:hAnsi="Times New Roman" w:cs="Times New Roman"/>
              </w:rPr>
              <w:t>0t/</w:t>
            </w:r>
            <w:r>
              <w:rPr>
                <w:rFonts w:ascii="Times New Roman" w:hAnsi="Times New Roman" w:cs="Times New Roman"/>
              </w:rPr>
              <w:t>辆计算，则原料和成品运输车辆约为</w:t>
            </w:r>
            <w:r>
              <w:rPr>
                <w:rFonts w:ascii="Times New Roman" w:hAnsi="Times New Roman" w:cs="Times New Roman"/>
              </w:rPr>
              <w:t>250</w:t>
            </w:r>
            <w:r>
              <w:rPr>
                <w:rFonts w:ascii="Times New Roman" w:hAnsi="Times New Roman" w:cs="Times New Roman"/>
              </w:rPr>
              <w:t>00</w:t>
            </w:r>
            <w:r>
              <w:rPr>
                <w:rFonts w:ascii="Times New Roman" w:hAnsi="Times New Roman" w:cs="Times New Roman"/>
              </w:rPr>
              <w:t>辆</w:t>
            </w:r>
            <w:r>
              <w:rPr>
                <w:rFonts w:ascii="Times New Roman" w:hAnsi="Times New Roman" w:cs="Times New Roman"/>
              </w:rPr>
              <w:t>/a</w:t>
            </w:r>
            <w:r>
              <w:rPr>
                <w:rFonts w:ascii="Times New Roman" w:hAnsi="Times New Roman" w:cs="Times New Roman"/>
              </w:rPr>
              <w:t>，载重汽车高压水枪冲洗用水量为</w:t>
            </w:r>
            <w:r>
              <w:rPr>
                <w:rFonts w:ascii="Times New Roman" w:hAnsi="Times New Roman" w:cs="Times New Roman"/>
              </w:rPr>
              <w:t>80-120L/</w:t>
            </w:r>
            <w:r>
              <w:rPr>
                <w:rFonts w:ascii="Times New Roman" w:hAnsi="Times New Roman" w:cs="Times New Roman"/>
              </w:rPr>
              <w:t>辆</w:t>
            </w:r>
            <w:r>
              <w:rPr>
                <w:rFonts w:ascii="Times New Roman" w:hAnsi="Times New Roman" w:cs="Times New Roman"/>
              </w:rPr>
              <w:t>.</w:t>
            </w:r>
            <w:r>
              <w:rPr>
                <w:rFonts w:ascii="Times New Roman" w:hAnsi="Times New Roman" w:cs="Times New Roman"/>
              </w:rPr>
              <w:t>次，本次评价取平均值</w:t>
            </w:r>
            <w:r>
              <w:rPr>
                <w:rFonts w:ascii="Times New Roman" w:hAnsi="Times New Roman" w:cs="Times New Roman"/>
              </w:rPr>
              <w:t>100L/</w:t>
            </w:r>
            <w:r>
              <w:rPr>
                <w:rFonts w:ascii="Times New Roman" w:hAnsi="Times New Roman" w:cs="Times New Roman"/>
              </w:rPr>
              <w:t>辆</w:t>
            </w:r>
            <w:r>
              <w:rPr>
                <w:rFonts w:ascii="Times New Roman" w:hAnsi="Times New Roman" w:cs="Times New Roman"/>
              </w:rPr>
              <w:t>.</w:t>
            </w:r>
            <w:r>
              <w:rPr>
                <w:rFonts w:ascii="Times New Roman" w:hAnsi="Times New Roman" w:cs="Times New Roman"/>
              </w:rPr>
              <w:t>次经计算，则用水量为</w:t>
            </w:r>
            <w:r>
              <w:rPr>
                <w:rFonts w:ascii="Times New Roman" w:hAnsi="Times New Roman" w:cs="Times New Roman"/>
              </w:rPr>
              <w:t>2500</w:t>
            </w:r>
            <w:r>
              <w:rPr>
                <w:rFonts w:ascii="Times New Roman" w:hAnsi="Times New Roman" w:cs="Times New Roman"/>
              </w:rPr>
              <w:t>t/a</w:t>
            </w:r>
            <w:r>
              <w:rPr>
                <w:rFonts w:ascii="Times New Roman" w:hAnsi="Times New Roman" w:cs="Times New Roman"/>
              </w:rPr>
              <w:t>。考虑车辆带走损失</w:t>
            </w:r>
            <w:r>
              <w:rPr>
                <w:rFonts w:ascii="Times New Roman" w:hAnsi="Times New Roman" w:cs="Times New Roman"/>
              </w:rPr>
              <w:t>10%</w:t>
            </w:r>
            <w:r>
              <w:rPr>
                <w:rFonts w:ascii="Times New Roman" w:hAnsi="Times New Roman" w:cs="Times New Roman"/>
              </w:rPr>
              <w:t>左</w:t>
            </w:r>
            <w:r>
              <w:rPr>
                <w:rFonts w:ascii="Times New Roman" w:hAnsi="Times New Roman" w:cs="Times New Roman"/>
              </w:rPr>
              <w:t xml:space="preserve"> </w:t>
            </w:r>
            <w:r>
              <w:rPr>
                <w:rFonts w:ascii="Times New Roman" w:hAnsi="Times New Roman" w:cs="Times New Roman"/>
              </w:rPr>
              <w:t>右，则循环用水量为</w:t>
            </w:r>
            <w:r>
              <w:rPr>
                <w:rFonts w:ascii="Times New Roman" w:hAnsi="Times New Roman" w:cs="Times New Roman"/>
              </w:rPr>
              <w:t>2250</w:t>
            </w:r>
            <w:r>
              <w:rPr>
                <w:rFonts w:ascii="Times New Roman" w:hAnsi="Times New Roman" w:cs="Times New Roman"/>
              </w:rPr>
              <w:t>t/a</w:t>
            </w:r>
            <w:r>
              <w:rPr>
                <w:rFonts w:ascii="Times New Roman" w:hAnsi="Times New Roman" w:cs="Times New Roman"/>
              </w:rPr>
              <w:t>。车辆清洗废水经沉淀池沉淀后回用，不外排。</w:t>
            </w:r>
          </w:p>
          <w:p w:rsidR="00997F3B">
            <w:pPr>
              <w:ind w:firstLine="480" w:firstLineChars="200"/>
              <w:rPr>
                <w:rFonts w:ascii="Times New Roman" w:hAnsi="Times New Roman" w:cs="Times New Roman"/>
              </w:rPr>
            </w:pPr>
            <w:r>
              <w:rPr>
                <w:rFonts w:ascii="Times New Roman" w:hAnsi="Times New Roman" w:cs="Times New Roman"/>
              </w:rPr>
              <w:t>③</w:t>
            </w:r>
            <w:r>
              <w:rPr>
                <w:rFonts w:ascii="Times New Roman" w:hAnsi="Times New Roman" w:cs="Times New Roman"/>
              </w:rPr>
              <w:t>初期雨水</w:t>
            </w:r>
          </w:p>
          <w:p w:rsidR="00997F3B">
            <w:pPr>
              <w:ind w:firstLine="480" w:firstLineChars="200"/>
              <w:rPr>
                <w:rFonts w:ascii="Times New Roman" w:hAnsi="Times New Roman" w:cs="Times New Roman"/>
              </w:rPr>
            </w:pPr>
            <w:r>
              <w:rPr>
                <w:rFonts w:ascii="Times New Roman" w:hAnsi="Times New Roman" w:cs="Times New Roman"/>
              </w:rPr>
              <w:t>由于降雨对地面的冲刷作用，场区内的初期雨水中</w:t>
            </w:r>
            <w:r>
              <w:rPr>
                <w:rFonts w:ascii="Times New Roman" w:hAnsi="Times New Roman" w:cs="Times New Roman"/>
              </w:rPr>
              <w:t>SS</w:t>
            </w:r>
            <w:r>
              <w:rPr>
                <w:rFonts w:ascii="Times New Roman" w:hAnsi="Times New Roman" w:cs="Times New Roman"/>
              </w:rPr>
              <w:t>含量较高，通过雨水管道排入沉淀池进行预处理后回用于生产或降尘。</w:t>
            </w:r>
          </w:p>
          <w:p w:rsidR="00997F3B">
            <w:pPr>
              <w:spacing w:after="0"/>
              <w:ind w:firstLine="480" w:firstLineChars="200"/>
              <w:rPr>
                <w:rFonts w:ascii="Times New Roman" w:hAnsi="Times New Roman" w:cs="Times New Roman"/>
              </w:rPr>
            </w:pPr>
            <w:r>
              <w:rPr>
                <w:rFonts w:ascii="Times New Roman" w:hAnsi="Times New Roman" w:cs="Times New Roman"/>
              </w:rPr>
              <w:t>一次降雨所能收集到最大的初期雨水量需根据当地的暴雨强度和设计的雨水收集时间确定。</w:t>
            </w:r>
            <w:r>
              <w:rPr>
                <w:rFonts w:ascii="Times New Roman" w:hAnsi="Times New Roman" w:cs="Times New Roman"/>
              </w:rPr>
              <w:t>根据《给水排水设计手册》（第</w:t>
            </w:r>
            <w:r>
              <w:rPr>
                <w:rFonts w:ascii="Times New Roman" w:hAnsi="Times New Roman" w:cs="Times New Roman"/>
              </w:rPr>
              <w:t>5</w:t>
            </w:r>
            <w:r>
              <w:rPr>
                <w:rFonts w:ascii="Times New Roman" w:hAnsi="Times New Roman" w:cs="Times New Roman"/>
              </w:rPr>
              <w:t>册，第二版），龙岩地区初期雨水量计算</w:t>
            </w:r>
          </w:p>
        </w:tc>
      </w:tr>
    </w:tbl>
    <w:p>
      <w:pPr>
        <w:sectPr>
          <w:footerReference w:type="default" r:id="rId12"/>
          <w:type w:val="nextPage"/>
          <w:pgSz w:w="11906" w:h="16838"/>
          <w:pgMar w:top="1440" w:right="1800" w:bottom="1440" w:left="1800" w:header="851" w:footer="992" w:gutter="0"/>
          <w:pgNumType w:start="8"/>
          <w:cols w:space="425"/>
          <w:titlePg w:val="0"/>
          <w:docGrid w:type="lines" w:linePitch="312"/>
        </w:sectPr>
      </w:pPr>
    </w:p>
    <w:tbl>
      <w:tblPr>
        <w:tblStyle w:val="TableGrid8"/>
        <w:tblW w:w="10010"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751"/>
        <w:gridCol w:w="9259"/>
      </w:tblGrid>
      <w:tr>
        <w:tblPrEx>
          <w:tblW w:w="10010" w:type="dxa"/>
          <w:jc w:val="center"/>
          <w:tblBorders>
            <w:top w:val="single" w:sz="12" w:space="0" w:color="auto"/>
            <w:left w:val="single" w:sz="12" w:space="0" w:color="auto"/>
            <w:bottom w:val="single" w:sz="12" w:space="0" w:color="auto"/>
            <w:right w:val="single" w:sz="12" w:space="0" w:color="auto"/>
          </w:tblBorders>
          <w:tblLayout w:type="fixed"/>
          <w:tblLook w:val="04A0"/>
        </w:tblPrEx>
        <w:trPr>
          <w:jc w:val="center"/>
        </w:trPr>
        <w:tc>
          <w:tcPr>
            <w:tcW w:w="751" w:type="dxa"/>
            <w:vAlign w:val="center"/>
          </w:tcPr>
          <w:p/>
        </w:tc>
        <w:tc>
          <w:tcPr>
            <w:tcW w:w="9259" w:type="dxa"/>
            <w:vAlign w:val="center"/>
          </w:tcPr>
          <w:p w:rsidR="00997F3B">
            <w:pPr>
              <w:spacing w:before="0"/>
              <w:ind w:firstLine="480" w:firstLineChars="200"/>
              <w:rPr>
                <w:rFonts w:ascii="Times New Roman" w:hAnsi="Times New Roman" w:cs="Times New Roman"/>
              </w:rPr>
            </w:pPr>
            <w:r>
              <w:rPr>
                <w:rFonts w:ascii="Times New Roman" w:hAnsi="Times New Roman" w:cs="Times New Roman"/>
              </w:rPr>
              <w:t>如下：</w:t>
            </w:r>
          </w:p>
          <w:p w:rsidR="00997F3B">
            <w:pPr>
              <w:ind w:firstLine="480" w:firstLineChars="200"/>
              <w:jc w:val="center"/>
              <w:rPr>
                <w:rFonts w:ascii="Times New Roman" w:hAnsi="Times New Roman" w:cs="Times New Roman"/>
              </w:rPr>
            </w:pPr>
            <w:r>
              <w:rPr>
                <w:rFonts w:ascii="Times New Roman" w:hAnsi="Times New Roman" w:cs="Times New Roma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49.55pt" o:ole="">
                  <v:imagedata r:id="rId13" o:title=""/>
                </v:shape>
                <o:OLEObject Type="Embed" ProgID="Equations" ShapeID="_x0000_i1025" DrawAspect="Content" ObjectID="_1709623630" r:id="rId14"/>
              </w:object>
            </w:r>
          </w:p>
          <w:p w:rsidR="00997F3B">
            <w:pPr>
              <w:ind w:firstLine="480" w:firstLineChars="200"/>
              <w:rPr>
                <w:rFonts w:ascii="Times New Roman" w:hAnsi="Times New Roman" w:cs="Times New Roman"/>
              </w:rPr>
            </w:pPr>
            <w:r>
              <w:rPr>
                <w:rFonts w:ascii="Times New Roman" w:hAnsi="Times New Roman" w:cs="Times New Roman"/>
              </w:rPr>
              <w:t>式中：</w:t>
            </w:r>
            <w:r>
              <w:rPr>
                <w:rFonts w:ascii="Times New Roman" w:hAnsi="Times New Roman" w:cs="Times New Roman"/>
              </w:rPr>
              <w:t>V—</w:t>
            </w:r>
            <w:r>
              <w:rPr>
                <w:rFonts w:ascii="Times New Roman" w:hAnsi="Times New Roman" w:cs="Times New Roman"/>
              </w:rPr>
              <w:t>初期雨水量，</w:t>
            </w:r>
            <w:r>
              <w:rPr>
                <w:rFonts w:ascii="Times New Roman" w:hAnsi="Times New Roman" w:cs="Times New Roman"/>
              </w:rPr>
              <w:t>m³</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Q—</w:t>
            </w:r>
            <w:r>
              <w:rPr>
                <w:rFonts w:ascii="Times New Roman" w:hAnsi="Times New Roman" w:cs="Times New Roman"/>
              </w:rPr>
              <w:t>设计雨水流量，</w:t>
            </w:r>
            <w:r>
              <w:rPr>
                <w:rFonts w:ascii="Times New Roman" w:hAnsi="Times New Roman" w:cs="Times New Roman"/>
              </w:rPr>
              <w:t>L/s</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T—</w:t>
            </w:r>
            <w:r>
              <w:rPr>
                <w:rFonts w:ascii="Times New Roman" w:hAnsi="Times New Roman" w:cs="Times New Roman"/>
              </w:rPr>
              <w:t>雨水收集时间，</w:t>
            </w:r>
            <w:r>
              <w:rPr>
                <w:rFonts w:ascii="Times New Roman" w:hAnsi="Times New Roman" w:cs="Times New Roman"/>
              </w:rPr>
              <w:t>min</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ψ—</w:t>
            </w:r>
            <w:r>
              <w:rPr>
                <w:rFonts w:ascii="Times New Roman" w:hAnsi="Times New Roman" w:cs="Times New Roman"/>
              </w:rPr>
              <w:t>径流系数；</w:t>
            </w:r>
          </w:p>
          <w:p w:rsidR="00997F3B">
            <w:pPr>
              <w:ind w:firstLine="480" w:firstLineChars="200"/>
              <w:rPr>
                <w:rFonts w:ascii="Times New Roman" w:hAnsi="Times New Roman" w:cs="Times New Roman"/>
              </w:rPr>
            </w:pPr>
            <w:r>
              <w:rPr>
                <w:rFonts w:ascii="Times New Roman" w:hAnsi="Times New Roman" w:cs="Times New Roman"/>
              </w:rPr>
              <w:t>F—</w:t>
            </w:r>
            <w:r>
              <w:rPr>
                <w:rFonts w:ascii="Times New Roman" w:hAnsi="Times New Roman" w:cs="Times New Roman"/>
              </w:rPr>
              <w:t>汇水面积，</w:t>
            </w:r>
            <w:r>
              <w:rPr>
                <w:rFonts w:ascii="Times New Roman" w:hAnsi="Times New Roman" w:cs="Times New Roman"/>
              </w:rPr>
              <w:t>hm²</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q—</w:t>
            </w:r>
            <w:r>
              <w:rPr>
                <w:rFonts w:ascii="Times New Roman" w:hAnsi="Times New Roman" w:cs="Times New Roman"/>
              </w:rPr>
              <w:t>设计降雨强度，</w:t>
            </w:r>
            <w:r>
              <w:rPr>
                <w:rFonts w:ascii="Times New Roman" w:hAnsi="Times New Roman" w:cs="Times New Roman"/>
              </w:rPr>
              <w:t>L/</w:t>
            </w:r>
            <w:r>
              <w:rPr>
                <w:rFonts w:ascii="Times New Roman" w:hAnsi="Times New Roman" w:cs="Times New Roman"/>
              </w:rPr>
              <w:t>s▪ha</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P—</w:t>
            </w:r>
            <w:r>
              <w:rPr>
                <w:rFonts w:ascii="Times New Roman" w:hAnsi="Times New Roman" w:cs="Times New Roman"/>
              </w:rPr>
              <w:t>设计降雨重现期，</w:t>
            </w:r>
            <w:r>
              <w:rPr>
                <w:rFonts w:ascii="Times New Roman" w:hAnsi="Times New Roman" w:cs="Times New Roman"/>
              </w:rPr>
              <w:t>a</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t—</w:t>
            </w:r>
            <w:r>
              <w:rPr>
                <w:rFonts w:ascii="Times New Roman" w:hAnsi="Times New Roman" w:cs="Times New Roman"/>
              </w:rPr>
              <w:t>降雨历时，</w:t>
            </w:r>
            <w:r>
              <w:rPr>
                <w:rFonts w:ascii="Times New Roman" w:hAnsi="Times New Roman" w:cs="Times New Roman"/>
              </w:rPr>
              <w:t>min</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1</w:t>
            </w:r>
            <w:r>
              <w:rPr>
                <w:rFonts w:ascii="Times New Roman" w:hAnsi="Times New Roman" w:cs="Times New Roman"/>
              </w:rPr>
              <w:t>—</w:t>
            </w:r>
            <w:r>
              <w:rPr>
                <w:rFonts w:ascii="Times New Roman" w:hAnsi="Times New Roman" w:cs="Times New Roman"/>
              </w:rPr>
              <w:t>地面集水时间，</w:t>
            </w:r>
            <w:r>
              <w:rPr>
                <w:rFonts w:ascii="Times New Roman" w:hAnsi="Times New Roman" w:cs="Times New Roman"/>
              </w:rPr>
              <w:t>min</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2</w:t>
            </w:r>
            <w:r>
              <w:rPr>
                <w:rFonts w:ascii="Times New Roman" w:hAnsi="Times New Roman" w:cs="Times New Roman"/>
              </w:rPr>
              <w:t>—</w:t>
            </w:r>
            <w:r>
              <w:rPr>
                <w:rFonts w:ascii="Times New Roman" w:hAnsi="Times New Roman" w:cs="Times New Roman"/>
              </w:rPr>
              <w:t>管渠内流行时间，</w:t>
            </w:r>
            <w:r>
              <w:rPr>
                <w:rFonts w:ascii="Times New Roman" w:hAnsi="Times New Roman" w:cs="Times New Roman"/>
              </w:rPr>
              <w:t>min</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m—</w:t>
            </w:r>
            <w:r>
              <w:rPr>
                <w:rFonts w:ascii="Times New Roman" w:hAnsi="Times New Roman" w:cs="Times New Roman"/>
              </w:rPr>
              <w:t>延缓系数，暗管</w:t>
            </w:r>
            <w:r>
              <w:rPr>
                <w:rFonts w:ascii="Times New Roman" w:hAnsi="Times New Roman" w:cs="Times New Roman"/>
              </w:rPr>
              <w:t>m=2</w:t>
            </w:r>
            <w:r>
              <w:rPr>
                <w:rFonts w:ascii="Times New Roman" w:hAnsi="Times New Roman" w:cs="Times New Roman"/>
              </w:rPr>
              <w:t>，明渠</w:t>
            </w:r>
            <w:r>
              <w:rPr>
                <w:rFonts w:ascii="Times New Roman" w:hAnsi="Times New Roman" w:cs="Times New Roman"/>
              </w:rPr>
              <w:t>m=1.2</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项目采用明渠排水，雨水收集时间取</w:t>
            </w:r>
            <w:r>
              <w:rPr>
                <w:rFonts w:ascii="Times New Roman" w:hAnsi="Times New Roman" w:cs="Times New Roman"/>
              </w:rPr>
              <w:t>20min</w:t>
            </w:r>
            <w:r>
              <w:rPr>
                <w:rFonts w:ascii="Times New Roman" w:hAnsi="Times New Roman" w:cs="Times New Roman"/>
              </w:rPr>
              <w:t>；汇水表面为非铺砌土路面，径流系数取</w:t>
            </w:r>
            <w:r>
              <w:rPr>
                <w:rFonts w:ascii="Times New Roman" w:hAnsi="Times New Roman" w:cs="Times New Roman"/>
              </w:rPr>
              <w:t>0.3</w:t>
            </w:r>
            <w:r>
              <w:rPr>
                <w:rFonts w:ascii="Times New Roman" w:hAnsi="Times New Roman" w:cs="Times New Roman"/>
              </w:rPr>
              <w:t>；排水沟所能收集的汇水面积约为</w:t>
            </w:r>
            <w:r>
              <w:rPr>
                <w:rFonts w:ascii="Times New Roman" w:hAnsi="Times New Roman" w:cs="Times New Roman"/>
              </w:rPr>
              <w:t>5000m²</w:t>
            </w:r>
            <w:r>
              <w:rPr>
                <w:rFonts w:ascii="Times New Roman" w:hAnsi="Times New Roman" w:cs="Times New Roman"/>
              </w:rPr>
              <w:t>；龙岩地区设计降雨强度为</w:t>
            </w:r>
            <w:r>
              <w:rPr>
                <w:rFonts w:ascii="Times New Roman" w:hAnsi="Times New Roman" w:cs="Times New Roman"/>
              </w:rPr>
              <w:t>192.358L/s▪ha</w:t>
            </w:r>
            <w:r>
              <w:rPr>
                <w:rFonts w:ascii="Times New Roman" w:hAnsi="Times New Roman" w:cs="Times New Roman"/>
              </w:rPr>
              <w:t>，则一次收集到的初期雨水量为</w:t>
            </w:r>
            <w:r>
              <w:rPr>
                <w:rFonts w:ascii="Times New Roman" w:hAnsi="Times New Roman" w:cs="Times New Roman"/>
              </w:rPr>
              <w:t>10.52m³</w:t>
            </w:r>
            <w:r>
              <w:rPr>
                <w:rFonts w:ascii="Times New Roman" w:hAnsi="Times New Roman" w:cs="Times New Roman"/>
              </w:rPr>
              <w:t>。按年规模降水</w:t>
            </w:r>
            <w:r>
              <w:rPr>
                <w:rFonts w:ascii="Times New Roman" w:hAnsi="Times New Roman" w:cs="Times New Roman"/>
              </w:rPr>
              <w:t>25</w:t>
            </w:r>
            <w:r>
              <w:rPr>
                <w:rFonts w:ascii="Times New Roman" w:hAnsi="Times New Roman" w:cs="Times New Roman"/>
              </w:rPr>
              <w:t>场、每次初期雨水量</w:t>
            </w:r>
            <w:r>
              <w:rPr>
                <w:rFonts w:ascii="Times New Roman" w:hAnsi="Times New Roman" w:cs="Times New Roman"/>
              </w:rPr>
              <w:t>10.52t</w:t>
            </w:r>
            <w:r>
              <w:rPr>
                <w:rFonts w:ascii="Times New Roman" w:hAnsi="Times New Roman" w:cs="Times New Roman"/>
              </w:rPr>
              <w:t>计，则本项目收集到的初期雨水量约为</w:t>
            </w:r>
            <w:r>
              <w:rPr>
                <w:rFonts w:ascii="Times New Roman" w:hAnsi="Times New Roman" w:cs="Times New Roman"/>
              </w:rPr>
              <w:t>657.5t/a</w:t>
            </w:r>
            <w:r>
              <w:rPr>
                <w:rFonts w:ascii="Times New Roman" w:hAnsi="Times New Roman" w:cs="Times New Roman"/>
              </w:rPr>
              <w:t>，主要污染物为</w:t>
            </w:r>
            <w:r>
              <w:rPr>
                <w:rFonts w:ascii="Times New Roman" w:hAnsi="Times New Roman" w:cs="Times New Roman"/>
              </w:rPr>
              <w:t>SS</w:t>
            </w:r>
            <w:r>
              <w:rPr>
                <w:rFonts w:ascii="Times New Roman" w:hAnsi="Times New Roman" w:cs="Times New Roman"/>
              </w:rPr>
              <w:t>，其水质中</w:t>
            </w:r>
            <w:r>
              <w:rPr>
                <w:rFonts w:ascii="Times New Roman" w:hAnsi="Times New Roman" w:cs="Times New Roman"/>
              </w:rPr>
              <w:t>SS</w:t>
            </w:r>
            <w:r>
              <w:rPr>
                <w:rFonts w:ascii="Times New Roman" w:hAnsi="Times New Roman" w:cs="Times New Roman"/>
              </w:rPr>
              <w:t>浓度约</w:t>
            </w:r>
            <w:r>
              <w:rPr>
                <w:rFonts w:ascii="Times New Roman" w:hAnsi="Times New Roman" w:cs="Times New Roman"/>
              </w:rPr>
              <w:t>500mg/L</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⑤</w:t>
            </w:r>
            <w:r>
              <w:rPr>
                <w:rFonts w:ascii="Times New Roman" w:hAnsi="Times New Roman" w:cs="Times New Roman"/>
              </w:rPr>
              <w:t>生活污水</w:t>
            </w:r>
          </w:p>
          <w:p w:rsidR="00997F3B">
            <w:pPr>
              <w:ind w:firstLine="480" w:firstLineChars="200"/>
              <w:rPr>
                <w:rFonts w:ascii="Times New Roman" w:hAnsi="Times New Roman" w:cs="Times New Roman"/>
              </w:rPr>
            </w:pPr>
            <w:r>
              <w:rPr>
                <w:rFonts w:ascii="Times New Roman" w:hAnsi="Times New Roman" w:cs="Times New Roman"/>
              </w:rPr>
              <w:t>项目定员</w:t>
            </w:r>
            <w:r>
              <w:rPr>
                <w:rFonts w:ascii="Times New Roman" w:hAnsi="Times New Roman" w:cs="Times New Roman"/>
              </w:rPr>
              <w:t>6</w:t>
            </w:r>
            <w:r>
              <w:rPr>
                <w:rFonts w:ascii="Times New Roman" w:hAnsi="Times New Roman" w:cs="Times New Roman"/>
              </w:rPr>
              <w:t>人，年工作</w:t>
            </w:r>
            <w:r>
              <w:rPr>
                <w:rFonts w:ascii="Times New Roman" w:hAnsi="Times New Roman" w:cs="Times New Roman"/>
              </w:rPr>
              <w:t xml:space="preserve"> 300</w:t>
            </w:r>
            <w:r>
              <w:rPr>
                <w:rFonts w:ascii="Times New Roman" w:hAnsi="Times New Roman" w:cs="Times New Roman"/>
              </w:rPr>
              <w:t>天，</w:t>
            </w:r>
            <w:r>
              <w:rPr>
                <w:rFonts w:ascii="Times New Roman" w:hAnsi="Times New Roman" w:cs="Times New Roman"/>
              </w:rPr>
              <w:t>均住厂，</w:t>
            </w:r>
            <w:r>
              <w:rPr>
                <w:rFonts w:ascii="Times New Roman" w:hAnsi="Times New Roman" w:cs="Times New Roman"/>
              </w:rPr>
              <w:t>住厂厂员工生活用水使用量按</w:t>
            </w:r>
            <w:r>
              <w:rPr>
                <w:rFonts w:ascii="Times New Roman" w:hAnsi="Times New Roman" w:cs="Times New Roman"/>
              </w:rPr>
              <w:t>1</w:t>
            </w:r>
            <w:r>
              <w:rPr>
                <w:rFonts w:ascii="Times New Roman" w:hAnsi="Times New Roman" w:cs="Times New Roman"/>
              </w:rPr>
              <w:t>50L/</w:t>
            </w:r>
            <w:r>
              <w:rPr>
                <w:rFonts w:ascii="Times New Roman" w:hAnsi="Times New Roman" w:cs="Times New Roman"/>
              </w:rPr>
              <w:t>（</w:t>
            </w:r>
            <w:r>
              <w:rPr>
                <w:rFonts w:ascii="Times New Roman" w:hAnsi="Times New Roman" w:cs="Times New Roman"/>
              </w:rPr>
              <w:t>d·</w:t>
            </w:r>
            <w:r>
              <w:rPr>
                <w:rFonts w:ascii="Times New Roman" w:hAnsi="Times New Roman" w:cs="Times New Roman"/>
              </w:rPr>
              <w:t>人）计，则生活用水量为</w:t>
            </w:r>
            <w:r>
              <w:rPr>
                <w:rFonts w:ascii="Times New Roman" w:hAnsi="Times New Roman" w:cs="Times New Roman"/>
              </w:rPr>
              <w:t>0.9</w:t>
            </w:r>
            <w:r>
              <w:rPr>
                <w:rFonts w:ascii="Times New Roman" w:hAnsi="Times New Roman" w:cs="Times New Roman"/>
              </w:rPr>
              <w:t>t/d</w:t>
            </w:r>
            <w:r>
              <w:rPr>
                <w:rFonts w:ascii="Times New Roman" w:hAnsi="Times New Roman" w:cs="Times New Roman"/>
              </w:rPr>
              <w:t>、</w:t>
            </w:r>
            <w:r>
              <w:rPr>
                <w:rFonts w:ascii="Times New Roman" w:hAnsi="Times New Roman" w:cs="Times New Roman"/>
              </w:rPr>
              <w:t>270</w:t>
            </w:r>
            <w:r>
              <w:rPr>
                <w:rFonts w:ascii="Times New Roman" w:hAnsi="Times New Roman" w:cs="Times New Roman"/>
              </w:rPr>
              <w:t>t/</w:t>
            </w:r>
            <w:r>
              <w:rPr>
                <w:rFonts w:ascii="Times New Roman" w:hAnsi="Times New Roman" w:cs="Times New Roman"/>
              </w:rPr>
              <w:t>a</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本项目无生产废水产生，生活污水经三级化粪池处理后用于周边林灌溉。</w:t>
            </w:r>
          </w:p>
          <w:p w:rsidR="00997F3B">
            <w:pPr>
              <w:ind w:firstLine="480" w:firstLineChars="20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w:t>
            </w:r>
            <w:r>
              <w:rPr>
                <w:rFonts w:ascii="Times New Roman" w:hAnsi="Times New Roman" w:cs="Times New Roman"/>
              </w:rPr>
              <w:t>能源：本项目生产设备使用电能，用电由市政电网接入。</w:t>
            </w:r>
          </w:p>
        </w:tc>
      </w:tr>
    </w:tbl>
    <w:p>
      <w:pPr>
        <w:sectPr>
          <w:footerReference w:type="default" r:id="rId15"/>
          <w:type w:val="nextPage"/>
          <w:pgSz w:w="11906" w:h="16838"/>
          <w:pgMar w:top="1440" w:right="1800" w:bottom="1440" w:left="1800" w:header="851" w:footer="992" w:gutter="0"/>
          <w:pgNumType w:start="9"/>
          <w:cols w:space="425"/>
          <w:titlePg w:val="0"/>
          <w:docGrid w:type="lines" w:linePitch="312"/>
        </w:sectPr>
      </w:pPr>
    </w:p>
    <w:tbl>
      <w:tblPr>
        <w:tblStyle w:val="TableGrid9"/>
        <w:tblW w:w="10010"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751"/>
        <w:gridCol w:w="9259"/>
      </w:tblGrid>
      <w:tr>
        <w:tblPrEx>
          <w:tblW w:w="10010" w:type="dxa"/>
          <w:jc w:val="center"/>
          <w:tblBorders>
            <w:top w:val="single" w:sz="12" w:space="0" w:color="auto"/>
            <w:left w:val="single" w:sz="12" w:space="0" w:color="auto"/>
            <w:bottom w:val="single" w:sz="12" w:space="0" w:color="auto"/>
            <w:right w:val="single" w:sz="12" w:space="0" w:color="auto"/>
          </w:tblBorders>
          <w:tblLayout w:type="fixed"/>
          <w:tblLook w:val="04A0"/>
        </w:tblPrEx>
        <w:trPr>
          <w:jc w:val="center"/>
        </w:trPr>
        <w:tc>
          <w:tcPr>
            <w:tcW w:w="751" w:type="dxa"/>
            <w:vAlign w:val="center"/>
          </w:tcPr>
          <w:p/>
        </w:tc>
        <w:tc>
          <w:tcPr>
            <w:tcW w:w="9259" w:type="dxa"/>
            <w:vAlign w:val="center"/>
          </w:tcPr>
          <w:p w:rsidR="00997F3B">
            <w:pPr>
              <w:rPr>
                <w:rFonts w:ascii="Times New Roman" w:hAnsi="Times New Roman" w:cs="Times New Roman"/>
              </w:rPr>
            </w:pPr>
            <w:r>
              <w:rPr>
                <w:rFonts w:ascii="Times New Roman" w:hAnsi="Times New Roman" w:cs="Times New Roman"/>
              </w:rPr>
              <w:pict>
                <v:group id="_x0000_i1026" editas="canvas" style="width:464.35pt;height:272.85pt;mso-position-horizontal-relative:char;mso-position-vertical-relative:line" coordsize="5897245,1000">
                  <v:shape id="_x0000_s1027" style="width:5897245;height:3465195;position:absolute" coordsize="21600,21600" o:spt="100" adj="0,,0" filled="f" stroked="f">
                    <v:stroke joinstyle="round"/>
                    <v:formulas/>
                    <v:path o:connecttype="segments" textboxrect="0,0,21600,21600"/>
                  </v:shape>
                  <v:shapetype id="_x0000_t202" coordsize="21600,21600" o:spt="202" path="m,l,21600r21600,l21600,xe">
                    <v:stroke joinstyle="miter"/>
                    <v:path gradientshapeok="t" o:connecttype="rect"/>
                  </v:shapetype>
                  <v:shape id="文本框 15" o:spid="_x0000_s1028" type="#_x0000_t202" style="width:826135;height:276225;left:475615;position:absolute;top:1133475" fillcolor="white" strokeweight="0.5pt">
                    <v:stroke joinstyle="round"/>
                    <v:textbox>
                      <w:txbxContent>
                        <w:p w:rsidR="00997F3B">
                          <w:pPr>
                            <w:spacing w:line="240" w:lineRule="auto"/>
                            <w:jc w:val="center"/>
                          </w:pPr>
                          <w:r>
                            <w:rPr>
                              <w:rFonts w:hint="eastAsia"/>
                            </w:rPr>
                            <w:t>新鲜用水</w:t>
                          </w:r>
                        </w:p>
                      </w:txbxContent>
                    </v:textbox>
                  </v:shape>
                  <v:shape id="文本框 16" o:spid="_x0000_s1029" type="#_x0000_t202" style="width:1492250;height:276225;left:2008505;position:absolute;top:436880" fillcolor="white" strokeweight="0.5pt">
                    <v:stroke joinstyle="round"/>
                    <v:textbox>
                      <w:txbxContent>
                        <w:p w:rsidR="00997F3B">
                          <w:pPr>
                            <w:spacing w:line="240" w:lineRule="auto"/>
                            <w:jc w:val="center"/>
                          </w:pPr>
                          <w:r>
                            <w:rPr>
                              <w:rFonts w:hint="eastAsia"/>
                            </w:rPr>
                            <w:t>喷淋降尘用水</w:t>
                          </w:r>
                        </w:p>
                      </w:txbxContent>
                    </v:textbox>
                  </v:shape>
                  <v:shape id="_x0000_s1030" type="#_x0000_t202" style="width:1473835;height:276225;left:1989455;position:absolute;top:1551305" fillcolor="white" strokeweight="0.5pt">
                    <v:stroke joinstyle="round"/>
                    <v:textbox>
                      <w:txbxContent>
                        <w:p w:rsidR="00997F3B">
                          <w:pPr>
                            <w:spacing w:line="240" w:lineRule="auto"/>
                            <w:jc w:val="center"/>
                          </w:pPr>
                          <w:r>
                            <w:rPr>
                              <w:rFonts w:hint="eastAsia"/>
                            </w:rPr>
                            <w:t>车辆清洗用水</w:t>
                          </w:r>
                        </w:p>
                      </w:txbxContent>
                    </v:textbox>
                  </v:shape>
                  <v:shape id="_x0000_s1031" type="#_x0000_t202" style="width:1473835;height:276225;left:1960880;position:absolute;top:2341880" fillcolor="white" strokeweight="0.5pt">
                    <v:stroke joinstyle="round"/>
                    <v:textbox>
                      <w:txbxContent>
                        <w:p w:rsidR="00997F3B">
                          <w:pPr>
                            <w:spacing w:line="240" w:lineRule="auto"/>
                            <w:jc w:val="center"/>
                          </w:pPr>
                          <w:r>
                            <w:rPr>
                              <w:rFonts w:hint="eastAsia"/>
                            </w:rPr>
                            <w:t>生活用水</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32" type="#_x0000_t34" style="width:47625;height:1905000;flip:y;left:1960880;position:absolute;rotation:180;top:575310" adj="129600" strokecolor="black" strokeweight="0.5pt">
                    <v:stroke startarrow="open" endarrow="open"/>
                  </v:shape>
                  <v:shapetype id="_x0000_t32" coordsize="21600,21600" o:spt="32" o:oned="t" path="m,l21600,21600e" filled="f">
                    <v:path arrowok="t" fillok="f" o:connecttype="none"/>
                    <o:lock v:ext="edit" shapetype="t"/>
                  </v:shapetype>
                  <v:shape id="_x0000_s1033" type="#_x0000_t32" style="width:422910;height:0;left:1301750;position:absolute;top:1271905" strokecolor="black" strokeweight="0.5pt">
                    <v:stroke joinstyle="miter" endarrow="open"/>
                  </v:shape>
                  <v:shapetype id="_x0000_t37" coordsize="21600,21600" o:spt="37" o:oned="t" path="m,c10800,,21600,10800,21600,21600e" filled="f">
                    <v:path arrowok="t" fillok="f" o:connecttype="none"/>
                    <o:lock v:ext="edit" shapetype="t"/>
                  </v:shapetype>
                  <v:shape id="_x0000_s1034" type="#_x0000_t37" style="width:92710;height:236855;left:2826385;position:absolute;rotation:-90;top:271780" strokecolor="black" strokeweight="0.5pt">
                    <v:stroke joinstyle="miter" dashstyle="dash" endarrow="open"/>
                  </v:shape>
                  <v:shape id="_x0000_s1035" type="#_x0000_t37" style="width:92710;height:236855;left:2344420;position:absolute;rotation:-90;top:1356360" strokecolor="black" strokeweight="0.5pt">
                    <v:stroke joinstyle="miter" dashstyle="dash" endarrow="open"/>
                  </v:shape>
                  <v:shape id="_x0000_s1036" type="#_x0000_t37" style="width:92710;height:236855;left:2732405;position:absolute;rotation:-90;top:2170430" strokecolor="black" strokeweight="0.5pt">
                    <v:stroke joinstyle="miter" dashstyle="dash" endarrow="open"/>
                  </v:shape>
                  <v:shape id="直接箭头连接符 34" o:spid="_x0000_s1037" type="#_x0000_t32" style="width:280670;height:2540;flip:y;left:3463290;position:absolute;top:1687195" strokecolor="black" strokeweight="0.5pt">
                    <v:stroke joinstyle="miter" endarrow="open"/>
                  </v:shape>
                  <v:shape id="_x0000_s1038" type="#_x0000_t32" style="width:255270;height:635;flip:y;left:1732280;position:absolute;top:1694180" strokecolor="black" strokeweight="0.5pt">
                    <v:stroke joinstyle="miter" endarrow="open"/>
                  </v:shape>
                  <v:shape id="文本框 46" o:spid="_x0000_s1039" type="#_x0000_t202" style="width:1056640;height:276225;left:3827780;position:absolute;top:2351405" fillcolor="white" strokeweight="0.5pt">
                    <v:stroke joinstyle="round"/>
                    <v:textbox>
                      <w:txbxContent>
                        <w:p w:rsidR="00997F3B">
                          <w:pPr>
                            <w:spacing w:line="240" w:lineRule="auto"/>
                            <w:jc w:val="center"/>
                          </w:pPr>
                          <w:r>
                            <w:rPr>
                              <w:rFonts w:hint="eastAsia"/>
                            </w:rPr>
                            <w:t>三级化粪池</w:t>
                          </w:r>
                        </w:p>
                      </w:txbxContent>
                    </v:textbox>
                  </v:shape>
                  <v:shape id="直接箭头连接符 47" o:spid="_x0000_s1040" type="#_x0000_t32" style="width:393065;height:9525;left:3434715;position:absolute;top:2480310" strokecolor="black" strokeweight="0.5pt">
                    <v:stroke joinstyle="miter" endarrow="open"/>
                  </v:shape>
                  <v:shape id="直接箭头连接符 48" o:spid="_x0000_s1041" type="#_x0000_t32" style="width:201930;height:4445;flip:y;left:4904105;position:absolute;top:2489835" strokecolor="black" strokeweight="0.5pt">
                    <v:stroke joinstyle="miter" endarrow="open"/>
                  </v:shape>
                  <v:shape id="_x0000_s1042" type="#_x0000_t202" style="width:551180;height:276225;left:5106035;position:absolute;top:2351405" filled="f" stroked="f" strokeweight="0.5pt">
                    <v:textbox>
                      <w:txbxContent>
                        <w:p w:rsidR="00997F3B">
                          <w:pPr>
                            <w:spacing w:line="240" w:lineRule="auto"/>
                            <w:jc w:val="center"/>
                          </w:pPr>
                          <w:r>
                            <w:rPr>
                              <w:rFonts w:hint="eastAsia"/>
                            </w:rPr>
                            <w:t>浇灌</w:t>
                          </w:r>
                        </w:p>
                      </w:txbxContent>
                    </v:textbox>
                  </v:shape>
                  <v:shape id="_x0000_s1043" type="#_x0000_t202" style="width:911860;height:276225;left:2112645;position:absolute;top:1212850" filled="f" stroked="f" strokeweight="0.5pt">
                    <v:textbox>
                      <w:txbxContent>
                        <w:p w:rsidR="00997F3B">
                          <w:pPr>
                            <w:spacing w:line="240" w:lineRule="auto"/>
                            <w:jc w:val="center"/>
                            <w:rPr>
                              <w:sz w:val="21"/>
                              <w:szCs w:val="21"/>
                            </w:rPr>
                          </w:pPr>
                          <w:r>
                            <w:rPr>
                              <w:rFonts w:hint="eastAsia"/>
                              <w:sz w:val="21"/>
                              <w:szCs w:val="21"/>
                            </w:rPr>
                            <w:t>250</w:t>
                          </w:r>
                        </w:p>
                      </w:txbxContent>
                    </v:textbox>
                  </v:shape>
                  <v:shape id="_x0000_s1044" type="#_x0000_t202" style="width:911860;height:276225;left:1351280;position:absolute;top:1465580" filled="f" stroked="f" strokeweight="0.5pt">
                    <v:textbox>
                      <w:txbxContent>
                        <w:p w:rsidR="00997F3B">
                          <w:pPr>
                            <w:spacing w:line="240" w:lineRule="auto"/>
                            <w:jc w:val="center"/>
                            <w:rPr>
                              <w:sz w:val="21"/>
                              <w:szCs w:val="21"/>
                            </w:rPr>
                          </w:pPr>
                          <w:r>
                            <w:rPr>
                              <w:rFonts w:hint="eastAsia"/>
                              <w:sz w:val="21"/>
                              <w:szCs w:val="21"/>
                            </w:rPr>
                            <w:t>2500</w:t>
                          </w:r>
                        </w:p>
                      </w:txbxContent>
                    </v:textbox>
                  </v:shape>
                  <v:shape id="_x0000_s1045" type="#_x0000_t202" style="width:655320;height:257810;left:2846705;position:absolute;top:170180" filled="f" stroked="f" strokeweight="0.5pt">
                    <v:textbox>
                      <w:txbxContent>
                        <w:p w:rsidR="00997F3B">
                          <w:pPr>
                            <w:spacing w:line="240" w:lineRule="auto"/>
                            <w:jc w:val="center"/>
                            <w:rPr>
                              <w:sz w:val="21"/>
                              <w:szCs w:val="21"/>
                            </w:rPr>
                          </w:pPr>
                          <w:r>
                            <w:rPr>
                              <w:rFonts w:hint="eastAsia"/>
                              <w:sz w:val="21"/>
                              <w:szCs w:val="21"/>
                            </w:rPr>
                            <w:t>2400</w:t>
                          </w:r>
                        </w:p>
                      </w:txbxContent>
                    </v:textbox>
                  </v:shape>
                  <v:shape id="_x0000_s1046" type="#_x0000_t202" style="width:655320;height:257810;left:1408430;position:absolute;top:332105" filled="f" stroked="f" strokeweight="0.5pt">
                    <v:textbox>
                      <w:txbxContent>
                        <w:p w:rsidR="00997F3B">
                          <w:pPr>
                            <w:spacing w:line="240" w:lineRule="auto"/>
                            <w:jc w:val="center"/>
                            <w:rPr>
                              <w:sz w:val="21"/>
                              <w:szCs w:val="21"/>
                            </w:rPr>
                          </w:pPr>
                          <w:r>
                            <w:rPr>
                              <w:rFonts w:hint="eastAsia"/>
                              <w:sz w:val="21"/>
                              <w:szCs w:val="21"/>
                            </w:rPr>
                            <w:t>2400</w:t>
                          </w:r>
                        </w:p>
                      </w:txbxContent>
                    </v:textbox>
                  </v:shape>
                  <v:shape id="_x0000_s1047" type="#_x0000_t202" style="width:655320;height:257810;left:1351280;position:absolute;top:2218055" filled="f" stroked="f" strokeweight="0.5pt">
                    <v:textbox>
                      <w:txbxContent>
                        <w:p w:rsidR="00997F3B">
                          <w:pPr>
                            <w:spacing w:line="240" w:lineRule="auto"/>
                            <w:jc w:val="center"/>
                            <w:rPr>
                              <w:sz w:val="21"/>
                              <w:szCs w:val="21"/>
                            </w:rPr>
                          </w:pPr>
                          <w:r>
                            <w:rPr>
                              <w:rFonts w:hint="eastAsia"/>
                              <w:sz w:val="21"/>
                              <w:szCs w:val="21"/>
                            </w:rPr>
                            <w:t>270</w:t>
                          </w:r>
                        </w:p>
                      </w:txbxContent>
                    </v:textbox>
                  </v:shape>
                  <v:shape id="_x0000_s1048" type="#_x0000_t202" style="width:655320;height:257810;left:2741930;position:absolute;top:2103755" filled="f" stroked="f" strokeweight="0.5pt">
                    <v:textbox>
                      <w:txbxContent>
                        <w:p w:rsidR="00997F3B">
                          <w:pPr>
                            <w:spacing w:line="240" w:lineRule="auto"/>
                            <w:jc w:val="center"/>
                            <w:rPr>
                              <w:sz w:val="21"/>
                              <w:szCs w:val="21"/>
                            </w:rPr>
                          </w:pPr>
                          <w:r>
                            <w:rPr>
                              <w:rFonts w:hint="eastAsia"/>
                              <w:sz w:val="21"/>
                              <w:szCs w:val="21"/>
                            </w:rPr>
                            <w:t>54</w:t>
                          </w:r>
                        </w:p>
                      </w:txbxContent>
                    </v:textbox>
                  </v:shape>
                  <v:shape id="_x0000_s1049" type="#_x0000_t202" style="width:655320;height:257810;left:3294380;position:absolute;top:2218055" filled="f" stroked="f" strokeweight="0.5pt">
                    <v:textbox>
                      <w:txbxContent>
                        <w:p w:rsidR="00997F3B">
                          <w:pPr>
                            <w:spacing w:line="240" w:lineRule="auto"/>
                            <w:jc w:val="center"/>
                            <w:rPr>
                              <w:sz w:val="21"/>
                              <w:szCs w:val="21"/>
                            </w:rPr>
                          </w:pPr>
                          <w:r>
                            <w:rPr>
                              <w:rFonts w:hint="eastAsia"/>
                              <w:sz w:val="21"/>
                              <w:szCs w:val="21"/>
                            </w:rPr>
                            <w:t>216</w:t>
                          </w:r>
                        </w:p>
                      </w:txbxContent>
                    </v:textbox>
                  </v:shape>
                  <v:shape id="_x0000_s1050" type="#_x0000_t202" style="width:876300;height:295275;left:1941195;position:absolute;top:2903855" fillcolor="white" strokeweight="0.5pt">
                    <v:stroke joinstyle="round"/>
                    <v:textbox>
                      <w:txbxContent>
                        <w:p w:rsidR="00997F3B">
                          <w:pPr>
                            <w:spacing w:line="240" w:lineRule="auto"/>
                            <w:jc w:val="center"/>
                          </w:pPr>
                          <w:r>
                            <w:rPr>
                              <w:rFonts w:hint="eastAsia"/>
                            </w:rPr>
                            <w:t>初期雨水</w:t>
                          </w:r>
                        </w:p>
                      </w:txbxContent>
                    </v:textbox>
                  </v:shape>
                  <v:shape id="_x0000_s1051" type="#_x0000_t202" style="width:999490;height:295275;left:513080;position:absolute;top:2903855" fillcolor="white" strokeweight="0.5pt">
                    <v:stroke joinstyle="round"/>
                    <v:textbox>
                      <w:txbxContent>
                        <w:p w:rsidR="00997F3B">
                          <w:pPr>
                            <w:spacing w:line="240" w:lineRule="auto"/>
                            <w:jc w:val="center"/>
                          </w:pPr>
                          <w:r>
                            <w:rPr>
                              <w:rFonts w:hint="eastAsia"/>
                            </w:rPr>
                            <w:t>雨水沉淀池</w:t>
                          </w:r>
                        </w:p>
                      </w:txbxContent>
                    </v:textbox>
                  </v:shape>
                  <v:shape id="_x0000_s1052" type="#_x0000_t32" style="width:428625;height:0;flip:x;left:1512570;position:absolute;top:3051810" strokecolor="black" strokeweight="0.5pt">
                    <v:stroke joinstyle="miter" endarrow="open"/>
                  </v:shape>
                  <v:shape id="_x0000_s1053" type="#_x0000_t32" style="width:0;height:1470025;flip:y;left:1012825;position:absolute;top:1433830" strokecolor="black" strokeweight="0.5pt">
                    <v:stroke joinstyle="miter" endarrow="open"/>
                  </v:shape>
                  <v:shape id="_x0000_s1054" type="#_x0000_t202" style="width:655320;height:257810;left:1389380;position:absolute;top:2799080" filled="f" stroked="f" strokeweight="0.5pt">
                    <v:textbox>
                      <w:txbxContent>
                        <w:p w:rsidR="00997F3B">
                          <w:pPr>
                            <w:spacing w:line="240" w:lineRule="auto"/>
                            <w:jc w:val="center"/>
                            <w:rPr>
                              <w:sz w:val="21"/>
                              <w:szCs w:val="21"/>
                            </w:rPr>
                          </w:pPr>
                          <w:r>
                            <w:rPr>
                              <w:rFonts w:hint="eastAsia"/>
                              <w:sz w:val="21"/>
                              <w:szCs w:val="21"/>
                            </w:rPr>
                            <w:t>657.5</w:t>
                          </w:r>
                        </w:p>
                      </w:txbxContent>
                    </v:textbox>
                  </v:shape>
                  <v:shape id="_x0000_s1055" type="#_x0000_t202" style="width:655320;height:257810;left:474980;position:absolute;top:1865630" filled="f" stroked="f" strokeweight="0.5pt">
                    <v:textbox>
                      <w:txbxContent>
                        <w:p w:rsidR="00997F3B">
                          <w:pPr>
                            <w:spacing w:line="240" w:lineRule="auto"/>
                            <w:jc w:val="center"/>
                            <w:rPr>
                              <w:sz w:val="21"/>
                              <w:szCs w:val="21"/>
                            </w:rPr>
                          </w:pPr>
                          <w:r>
                            <w:rPr>
                              <w:rFonts w:hint="eastAsia"/>
                              <w:sz w:val="21"/>
                              <w:szCs w:val="21"/>
                            </w:rPr>
                            <w:t>675.5</w:t>
                          </w:r>
                        </w:p>
                      </w:txbxContent>
                    </v:textbox>
                  </v:shape>
                  <v:shape id="文本框 46" o:spid="_x0000_s1056" type="#_x0000_t202" style="width:1056640;height:276225;left:3727450;position:absolute;top:1560830" fillcolor="white" strokeweight="0.5pt">
                    <v:stroke joinstyle="round"/>
                    <v:textbox>
                      <w:txbxContent>
                        <w:p w:rsidR="00997F3B">
                          <w:pPr>
                            <w:spacing w:line="240" w:lineRule="auto"/>
                            <w:jc w:val="center"/>
                          </w:pPr>
                          <w:r>
                            <w:rPr>
                              <w:rFonts w:hint="eastAsia"/>
                            </w:rPr>
                            <w:t>沉淀池</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_x0000_s1057" type="#_x0000_t35" style="width:2057400;height:147955;flip:x y;left:2726690;position:absolute;top:1551305" adj="-2500,56364" strokecolor="black" strokeweight="0.5pt">
                    <v:stroke endarrow="open"/>
                  </v:shape>
                  <v:shape id="_x0000_s1058" type="#_x0000_t202" style="width:911860;height:276225;left:3846830;position:absolute;top:977265" filled="f" stroked="f" strokeweight="0.5pt">
                    <v:textbox>
                      <w:txbxContent>
                        <w:p w:rsidR="00997F3B">
                          <w:pPr>
                            <w:spacing w:line="240" w:lineRule="auto"/>
                            <w:jc w:val="center"/>
                            <w:rPr>
                              <w:sz w:val="21"/>
                              <w:szCs w:val="21"/>
                            </w:rPr>
                          </w:pPr>
                          <w:r>
                            <w:rPr>
                              <w:rFonts w:hint="eastAsia"/>
                              <w:sz w:val="21"/>
                              <w:szCs w:val="21"/>
                            </w:rPr>
                            <w:t>250</w:t>
                          </w:r>
                        </w:p>
                      </w:txbxContent>
                    </v:textbox>
                  </v:shape>
                  <v:shape id="_x0000_s1059" type="#_x0000_t202" style="width:655320;height:257810;left:1179830;position:absolute;top:941705" filled="f" stroked="f" strokeweight="0.5pt">
                    <v:textbox>
                      <w:txbxContent>
                        <w:p w:rsidR="00997F3B">
                          <w:pPr>
                            <w:spacing w:line="240" w:lineRule="auto"/>
                            <w:jc w:val="center"/>
                            <w:rPr>
                              <w:sz w:val="21"/>
                              <w:szCs w:val="21"/>
                            </w:rPr>
                          </w:pPr>
                          <w:r>
                            <w:rPr>
                              <w:rFonts w:hint="eastAsia"/>
                              <w:sz w:val="21"/>
                              <w:szCs w:val="21"/>
                            </w:rPr>
                            <w:t>5170</w:t>
                          </w:r>
                        </w:p>
                      </w:txbxContent>
                    </v:textbox>
                  </v:shape>
                  <w10:wrap type="none"/>
                  <w10:anchorlock/>
                </v:group>
              </w:pict>
            </w:r>
          </w:p>
          <w:p w:rsidR="00997F3B">
            <w:pPr>
              <w:jc w:val="center"/>
              <w:rPr>
                <w:rFonts w:ascii="Times New Roman" w:hAnsi="Times New Roman" w:cs="Times New Roman"/>
                <w:b/>
                <w:bCs/>
              </w:rPr>
            </w:pPr>
            <w:r>
              <w:rPr>
                <w:rFonts w:ascii="Times New Roman" w:hAnsi="Times New Roman" w:cs="Times New Roman"/>
                <w:b/>
                <w:bCs/>
              </w:rPr>
              <w:t>图</w:t>
            </w:r>
            <w:r>
              <w:rPr>
                <w:rFonts w:ascii="Times New Roman" w:hAnsi="Times New Roman" w:cs="Times New Roman"/>
                <w:b/>
                <w:bCs/>
              </w:rPr>
              <w:t>2</w:t>
            </w:r>
            <w:r>
              <w:rPr>
                <w:rFonts w:ascii="Times New Roman" w:hAnsi="Times New Roman" w:cs="Times New Roman"/>
                <w:b/>
                <w:bCs/>
              </w:rPr>
              <w:t>-1</w:t>
            </w:r>
            <w:r>
              <w:rPr>
                <w:rFonts w:ascii="Times New Roman" w:hAnsi="Times New Roman" w:cs="Times New Roman"/>
                <w:b/>
                <w:bCs/>
              </w:rPr>
              <w:t xml:space="preserve"> </w:t>
            </w:r>
            <w:r>
              <w:rPr>
                <w:rFonts w:ascii="Times New Roman" w:hAnsi="Times New Roman" w:cs="Times New Roman"/>
                <w:b/>
                <w:bCs/>
              </w:rPr>
              <w:t>项目水平衡图（</w:t>
            </w:r>
            <w:r>
              <w:rPr>
                <w:rFonts w:ascii="Times New Roman" w:hAnsi="Times New Roman" w:cs="Times New Roman"/>
                <w:b/>
                <w:bCs/>
              </w:rPr>
              <w:t>t/a</w:t>
            </w:r>
            <w:r>
              <w:rPr>
                <w:rFonts w:ascii="Times New Roman" w:hAnsi="Times New Roman" w:cs="Times New Roman"/>
                <w:b/>
                <w:bCs/>
              </w:rPr>
              <w:t>）</w:t>
            </w:r>
          </w:p>
          <w:p w:rsidR="00997F3B">
            <w:pPr>
              <w:pStyle w:val="BodyText"/>
              <w:rPr>
                <w:rFonts w:ascii="Times New Roman" w:hAnsi="Times New Roman" w:eastAsiaTheme="minorEastAsia" w:cs="Times New Roman"/>
                <w:b/>
                <w:bCs/>
              </w:rPr>
            </w:pPr>
            <w:r>
              <w:rPr>
                <w:rFonts w:ascii="Times New Roman" w:hAnsi="Times New Roman" w:eastAsiaTheme="minorEastAsia" w:cs="Times New Roman"/>
                <w:b/>
                <w:bCs/>
              </w:rPr>
              <w:t>7</w:t>
            </w:r>
            <w:r>
              <w:rPr>
                <w:rFonts w:ascii="Times New Roman" w:hAnsi="Times New Roman" w:eastAsiaTheme="minorEastAsia" w:cs="Times New Roman"/>
                <w:b/>
                <w:bCs/>
              </w:rPr>
              <w:t>、劳动定员</w:t>
            </w:r>
          </w:p>
          <w:p w:rsidR="00997F3B">
            <w:pPr>
              <w:pStyle w:val="BodyText"/>
              <w:spacing w:after="0"/>
              <w:ind w:firstLine="480" w:firstLineChars="200"/>
              <w:rPr>
                <w:rFonts w:ascii="Times New Roman" w:hAnsi="Times New Roman" w:eastAsiaTheme="minorEastAsia" w:cs="Times New Roman"/>
                <w:color w:val="FF0000"/>
              </w:rPr>
            </w:pPr>
            <w:r>
              <w:rPr>
                <w:rFonts w:ascii="Times New Roman" w:hAnsi="Times New Roman" w:eastAsiaTheme="minorEastAsia" w:cs="Times New Roman"/>
              </w:rPr>
              <w:t>项目劳务定员</w:t>
            </w:r>
            <w:r>
              <w:rPr>
                <w:rFonts w:ascii="Times New Roman" w:hAnsi="Times New Roman" w:eastAsiaTheme="minorEastAsia" w:cs="Times New Roman"/>
              </w:rPr>
              <w:t>6</w:t>
            </w:r>
            <w:r>
              <w:rPr>
                <w:rFonts w:ascii="Times New Roman" w:hAnsi="Times New Roman" w:eastAsiaTheme="minorEastAsia" w:cs="Times New Roman"/>
              </w:rPr>
              <w:t>人，年工作</w:t>
            </w:r>
            <w:r>
              <w:rPr>
                <w:rFonts w:ascii="Times New Roman" w:hAnsi="Times New Roman" w:eastAsiaTheme="minorEastAsia" w:cs="Times New Roman"/>
              </w:rPr>
              <w:t>300</w:t>
            </w:r>
            <w:r>
              <w:rPr>
                <w:rFonts w:ascii="Times New Roman" w:hAnsi="Times New Roman" w:eastAsiaTheme="minorEastAsia" w:cs="Times New Roman"/>
              </w:rPr>
              <w:t>天，一班制，每班</w:t>
            </w:r>
            <w:r>
              <w:rPr>
                <w:rFonts w:ascii="Times New Roman" w:hAnsi="Times New Roman" w:eastAsiaTheme="minorEastAsia" w:cs="Times New Roman"/>
              </w:rPr>
              <w:t xml:space="preserve"> 8 </w:t>
            </w:r>
            <w:r>
              <w:rPr>
                <w:rFonts w:ascii="Times New Roman" w:hAnsi="Times New Roman" w:eastAsiaTheme="minorEastAsia" w:cs="Times New Roman"/>
              </w:rPr>
              <w:t>小时，</w:t>
            </w:r>
            <w:r>
              <w:rPr>
                <w:rFonts w:ascii="Times New Roman" w:hAnsi="Times New Roman" w:eastAsiaTheme="minorEastAsia" w:cs="Times New Roman"/>
              </w:rPr>
              <w:t>夜间不生产，均住厂</w:t>
            </w:r>
            <w:r>
              <w:rPr>
                <w:rFonts w:ascii="Times New Roman" w:hAnsi="Times New Roman" w:eastAsiaTheme="minorEastAsia" w:cs="Times New Roman"/>
              </w:rPr>
              <w:t>。</w:t>
            </w:r>
          </w:p>
          <w:p w:rsidR="00997F3B">
            <w:pPr>
              <w:pStyle w:val="BodyText"/>
              <w:spacing w:after="0"/>
              <w:rPr>
                <w:rFonts w:ascii="Times New Roman" w:hAnsi="Times New Roman" w:eastAsiaTheme="minorEastAsia" w:cs="Times New Roman"/>
                <w:b/>
                <w:bCs/>
              </w:rPr>
            </w:pPr>
            <w:r>
              <w:rPr>
                <w:rFonts w:ascii="Times New Roman" w:hAnsi="Times New Roman" w:eastAsiaTheme="minorEastAsia" w:cs="Times New Roman"/>
                <w:b/>
                <w:bCs/>
              </w:rPr>
              <w:t>8</w:t>
            </w:r>
            <w:r>
              <w:rPr>
                <w:rFonts w:ascii="Times New Roman" w:hAnsi="Times New Roman" w:eastAsiaTheme="minorEastAsia" w:cs="Times New Roman"/>
                <w:b/>
                <w:bCs/>
              </w:rPr>
              <w:t>、总平面布置</w:t>
            </w:r>
          </w:p>
          <w:p w:rsidR="00997F3B">
            <w:pPr>
              <w:pStyle w:val="BodyText"/>
              <w:spacing w:after="0"/>
              <w:ind w:firstLine="480" w:firstLineChars="200"/>
              <w:rPr>
                <w:rFonts w:ascii="Times New Roman" w:hAnsi="Times New Roman" w:eastAsiaTheme="minorEastAsia" w:cs="Times New Roman"/>
              </w:rPr>
            </w:pPr>
            <w:r>
              <w:rPr>
                <w:rFonts w:ascii="Times New Roman" w:hAnsi="Times New Roman" w:eastAsiaTheme="minorEastAsia" w:cs="Times New Roman"/>
              </w:rPr>
              <w:t>根据项目平面布置图可知，项目依据管理方便，节约用地、生产工艺流畅要求，将厂区按照功能区划分为原料堆场、加工区、成品区。</w:t>
            </w:r>
            <w:r>
              <w:rPr>
                <w:rFonts w:ascii="Times New Roman" w:hAnsi="Times New Roman" w:eastAsiaTheme="minorEastAsia" w:cs="Times New Roman"/>
              </w:rPr>
              <w:t>原料堆场位于厂区</w:t>
            </w:r>
            <w:r>
              <w:rPr>
                <w:rFonts w:ascii="Times New Roman" w:hAnsi="Times New Roman" w:eastAsiaTheme="minorEastAsia" w:cs="Times New Roman"/>
              </w:rPr>
              <w:t>东</w:t>
            </w:r>
            <w:r>
              <w:rPr>
                <w:rFonts w:ascii="Times New Roman" w:hAnsi="Times New Roman" w:eastAsiaTheme="minorEastAsia" w:cs="Times New Roman"/>
              </w:rPr>
              <w:t>北</w:t>
            </w:r>
            <w:r>
              <w:rPr>
                <w:rFonts w:ascii="Times New Roman" w:hAnsi="Times New Roman" w:eastAsiaTheme="minorEastAsia" w:cs="Times New Roman"/>
              </w:rPr>
              <w:t>侧；加工区位于厂区</w:t>
            </w:r>
            <w:r>
              <w:rPr>
                <w:rFonts w:ascii="Times New Roman" w:hAnsi="Times New Roman" w:eastAsiaTheme="minorEastAsia" w:cs="Times New Roman"/>
              </w:rPr>
              <w:t>西南</w:t>
            </w:r>
            <w:r>
              <w:rPr>
                <w:rFonts w:ascii="Times New Roman" w:hAnsi="Times New Roman" w:eastAsiaTheme="minorEastAsia" w:cs="Times New Roman"/>
              </w:rPr>
              <w:t>侧</w:t>
            </w:r>
            <w:r>
              <w:rPr>
                <w:rFonts w:ascii="Times New Roman" w:hAnsi="Times New Roman" w:eastAsiaTheme="minorEastAsia" w:cs="Times New Roman"/>
              </w:rPr>
              <w:t>，主要进行</w:t>
            </w:r>
            <w:r>
              <w:rPr>
                <w:rFonts w:ascii="Times New Roman" w:hAnsi="Times New Roman" w:eastAsiaTheme="minorEastAsia" w:cs="Times New Roman"/>
              </w:rPr>
              <w:t>破碎、</w:t>
            </w:r>
            <w:r>
              <w:rPr>
                <w:rFonts w:ascii="Times New Roman" w:hAnsi="Times New Roman" w:eastAsiaTheme="minorEastAsia" w:cs="Times New Roman"/>
              </w:rPr>
              <w:t>筛选工序等；成品区位于厂区</w:t>
            </w:r>
            <w:r>
              <w:rPr>
                <w:rFonts w:ascii="Times New Roman" w:hAnsi="Times New Roman" w:eastAsiaTheme="minorEastAsia" w:cs="Times New Roman"/>
              </w:rPr>
              <w:t>东</w:t>
            </w:r>
            <w:r>
              <w:rPr>
                <w:rFonts w:ascii="Times New Roman" w:hAnsi="Times New Roman" w:eastAsiaTheme="minorEastAsia" w:cs="Times New Roman"/>
              </w:rPr>
              <w:t>南侧场区设有进出口，位于项目</w:t>
            </w:r>
            <w:r>
              <w:rPr>
                <w:rFonts w:ascii="Times New Roman" w:hAnsi="Times New Roman" w:eastAsiaTheme="minorEastAsia" w:cs="Times New Roman"/>
              </w:rPr>
              <w:t>东</w:t>
            </w:r>
            <w:r>
              <w:rPr>
                <w:rFonts w:ascii="Times New Roman" w:hAnsi="Times New Roman" w:eastAsiaTheme="minorEastAsia" w:cs="Times New Roman"/>
              </w:rPr>
              <w:t>侧，与进厂道路相连。各设备按照工艺流程进行布置，使生产过程更加顺畅，节约时间，提高效率。因此，本项目总平面布置合理。</w:t>
            </w:r>
          </w:p>
        </w:tc>
      </w:tr>
    </w:tbl>
    <w:p>
      <w:pPr>
        <w:sectPr>
          <w:footerReference w:type="default" r:id="rId16"/>
          <w:type w:val="nextPage"/>
          <w:pgSz w:w="11906" w:h="16838"/>
          <w:pgMar w:top="1440" w:right="1800" w:bottom="1440" w:left="1800" w:header="851" w:footer="992" w:gutter="0"/>
          <w:pgNumType w:start="10"/>
          <w:cols w:space="425"/>
          <w:titlePg w:val="0"/>
          <w:docGrid w:type="lines" w:linePitch="312"/>
        </w:sectPr>
      </w:pPr>
    </w:p>
    <w:tbl>
      <w:tblPr>
        <w:tblStyle w:val="TableGrid10"/>
        <w:tblW w:w="10010"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751"/>
        <w:gridCol w:w="9259"/>
      </w:tblGrid>
      <w:tr>
        <w:tblPrEx>
          <w:tblW w:w="10010" w:type="dxa"/>
          <w:jc w:val="center"/>
          <w:tblBorders>
            <w:top w:val="single" w:sz="12" w:space="0" w:color="auto"/>
            <w:left w:val="single" w:sz="12" w:space="0" w:color="auto"/>
            <w:bottom w:val="single" w:sz="12" w:space="0" w:color="auto"/>
            <w:right w:val="single" w:sz="12" w:space="0" w:color="auto"/>
          </w:tblBorders>
          <w:tblLayout w:type="fixed"/>
          <w:tblLook w:val="04A0"/>
        </w:tblPrEx>
        <w:trPr>
          <w:jc w:val="center"/>
        </w:trPr>
        <w:tc>
          <w:tcPr>
            <w:tcW w:w="751"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工艺流程和产污环节</w:t>
            </w:r>
          </w:p>
        </w:tc>
        <w:tc>
          <w:tcPr>
            <w:tcW w:w="9259" w:type="dxa"/>
            <w:vAlign w:val="center"/>
          </w:tcPr>
          <w:p w:rsidR="00997F3B">
            <w:pPr>
              <w:numPr>
                <w:ilvl w:val="0"/>
                <w:numId w:val="3"/>
              </w:numPr>
              <w:ind w:firstLine="480" w:firstLineChars="200"/>
              <w:rPr>
                <w:rFonts w:ascii="Times New Roman" w:hAnsi="Times New Roman" w:eastAsiaTheme="minorEastAsia" w:cs="Times New Roman"/>
                <w:lang w:val="x-none"/>
              </w:rPr>
            </w:pPr>
            <w:r>
              <w:rPr>
                <w:rFonts w:ascii="Times New Roman" w:hAnsi="Times New Roman" w:eastAsiaTheme="minorEastAsia" w:cs="Times New Roman"/>
                <w:lang w:val="x-none"/>
              </w:rPr>
              <w:t>生产工艺流程</w:t>
            </w:r>
          </w:p>
          <w:p w:rsidR="00997F3B">
            <w:pPr>
              <w:ind w:left="480" w:leftChars="200"/>
              <w:rPr>
                <w:rFonts w:ascii="Times New Roman" w:hAnsi="Times New Roman" w:eastAsiaTheme="minorEastAsia" w:cs="Times New Roman"/>
                <w:lang w:val="x-none"/>
              </w:rPr>
            </w:pPr>
            <w:r>
              <w:rPr>
                <w:rFonts w:ascii="Times New Roman" w:hAnsi="Times New Roman" w:eastAsiaTheme="minorEastAsia" w:cs="Times New Roman"/>
                <w:lang w:val="x-none"/>
              </w:rPr>
              <w:t>本项目主要从事</w:t>
            </w:r>
            <w:r>
              <w:rPr>
                <w:rFonts w:ascii="Times New Roman" w:hAnsi="Times New Roman" w:eastAsiaTheme="minorEastAsia" w:cs="Times New Roman"/>
                <w:lang w:val="x-none"/>
              </w:rPr>
              <w:t>碎石的生产</w:t>
            </w:r>
            <w:r>
              <w:rPr>
                <w:rFonts w:ascii="Times New Roman" w:hAnsi="Times New Roman" w:eastAsiaTheme="minorEastAsia" w:cs="Times New Roman"/>
                <w:lang w:val="x-none"/>
              </w:rPr>
              <w:t>，详见图</w:t>
            </w:r>
            <w:r>
              <w:rPr>
                <w:rFonts w:ascii="Times New Roman" w:hAnsi="Times New Roman" w:eastAsiaTheme="minorEastAsia" w:cs="Times New Roman"/>
                <w:lang w:val="x-none"/>
              </w:rPr>
              <w:t>2-2</w:t>
            </w:r>
            <w:r>
              <w:rPr>
                <w:rFonts w:ascii="Times New Roman" w:hAnsi="Times New Roman" w:eastAsiaTheme="minorEastAsia" w:cs="Times New Roman"/>
                <w:lang w:val="x-none"/>
              </w:rPr>
              <w:t>。</w:t>
            </w:r>
          </w:p>
        </w:tc>
      </w:tr>
    </w:tbl>
    <w:p>
      <w:pPr>
        <w:sectPr>
          <w:footerReference w:type="default" r:id="rId17"/>
          <w:type w:val="nextPage"/>
          <w:pgSz w:w="11906" w:h="16838"/>
          <w:pgMar w:top="1440" w:right="1800" w:bottom="1440" w:left="1800" w:header="851" w:footer="992" w:gutter="0"/>
          <w:pgNumType w:start="11"/>
          <w:cols w:space="425"/>
          <w:titlePg w:val="0"/>
          <w:docGrid w:type="lines" w:linePitch="312"/>
        </w:sectPr>
      </w:pPr>
    </w:p>
    <w:tbl>
      <w:tblPr>
        <w:tblStyle w:val="TableGrid11"/>
        <w:tblW w:w="10010"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751"/>
        <w:gridCol w:w="9259"/>
      </w:tblGrid>
      <w:tr>
        <w:tblPrEx>
          <w:tblW w:w="10010" w:type="dxa"/>
          <w:jc w:val="center"/>
          <w:tblBorders>
            <w:top w:val="single" w:sz="12" w:space="0" w:color="auto"/>
            <w:left w:val="single" w:sz="12" w:space="0" w:color="auto"/>
            <w:bottom w:val="single" w:sz="12" w:space="0" w:color="auto"/>
            <w:right w:val="single" w:sz="12" w:space="0" w:color="auto"/>
          </w:tblBorders>
          <w:tblLayout w:type="fixed"/>
          <w:tblLook w:val="04A0"/>
        </w:tblPrEx>
        <w:trPr>
          <w:jc w:val="center"/>
        </w:trPr>
        <w:tc>
          <w:tcPr>
            <w:tcW w:w="751" w:type="dxa"/>
            <w:vAlign w:val="center"/>
          </w:tcPr>
          <w:p/>
        </w:tc>
        <w:tc>
          <w:tcPr>
            <w:tcW w:w="9259" w:type="dxa"/>
            <w:vAlign w:val="center"/>
          </w:tcPr>
          <w:p w:rsidR="00997F3B">
            <w:pPr>
              <w:rPr>
                <w:rFonts w:ascii="Times New Roman" w:hAnsi="Times New Roman" w:eastAsiaTheme="minorEastAsia" w:cs="Times New Roman"/>
                <w:bCs/>
              </w:rPr>
            </w:pPr>
            <w:r>
              <w:rPr>
                <w:rFonts w:ascii="Times New Roman" w:hAnsi="Times New Roman" w:eastAsiaTheme="minorEastAsia" w:cs="Times New Roman"/>
                <w:bCs/>
              </w:rPr>
              <w:t>·</w:t>
            </w:r>
            <w:r>
              <w:rPr>
                <w:rFonts w:ascii="Times New Roman" w:hAnsi="Times New Roman" w:cs="Times New Roman"/>
              </w:rPr>
              <w:pict>
                <v:group id="_x0000_i1060" editas="canvas" style="width:443.9pt;height:314.65pt;mso-position-horizontal-relative:char;mso-position-vertical-relative:line" coordsize="5637530,1000">
                  <v:shape id="_x0000_s1061" style="width:5637530;height:3996055;position:absolute" coordsize="21600,21600" o:spt="100" adj="0,,0" filled="f" stroked="f">
                    <v:stroke joinstyle="round"/>
                    <v:formulas/>
                    <v:path o:connecttype="segments" textboxrect="0,0,21600,21600"/>
                  </v:shape>
                  <v:shape id="文本框 2" o:spid="_x0000_s1062" type="#_x0000_t202" style="width:794385;height:323850;left:467995;position:absolute;top:766445" fillcolor="white" strokeweight="0.5pt">
                    <v:stroke joinstyle="round"/>
                    <v:textbox>
                      <w:txbxContent>
                        <w:p w:rsidR="00997F3B">
                          <w:pPr>
                            <w:spacing w:line="240" w:lineRule="auto"/>
                            <w:jc w:val="center"/>
                          </w:pPr>
                          <w:r>
                            <w:rPr>
                              <w:rFonts w:hint="eastAsia"/>
                            </w:rPr>
                            <w:t>煤矸石</w:t>
                          </w:r>
                        </w:p>
                      </w:txbxContent>
                    </v:textbox>
                  </v:shape>
                  <v:shape id="文本框 3" o:spid="_x0000_s1063" type="#_x0000_t202" style="width:794385;height:323850;left:1607820;position:absolute;top:756285" fillcolor="white" strokeweight="0.5pt">
                    <v:stroke joinstyle="round"/>
                    <v:textbox>
                      <w:txbxContent>
                        <w:p w:rsidR="00997F3B">
                          <w:pPr>
                            <w:spacing w:line="240" w:lineRule="auto"/>
                            <w:jc w:val="center"/>
                          </w:pPr>
                          <w:r>
                            <w:rPr>
                              <w:rFonts w:hint="eastAsia"/>
                            </w:rPr>
                            <w:t>下料</w:t>
                          </w:r>
                        </w:p>
                      </w:txbxContent>
                    </v:textbox>
                  </v:shape>
                  <v:shape id="文本框 4" o:spid="_x0000_s1064" type="#_x0000_t202" style="width:931545;height:323850;left:2864485;position:absolute;top:723265" fillcolor="white" strokeweight="0.5pt">
                    <v:stroke joinstyle="round"/>
                    <v:textbox>
                      <w:txbxContent>
                        <w:p w:rsidR="00997F3B">
                          <w:pPr>
                            <w:spacing w:line="240" w:lineRule="auto"/>
                            <w:jc w:val="center"/>
                          </w:pPr>
                          <w:r>
                            <w:rPr>
                              <w:rFonts w:hint="eastAsia"/>
                            </w:rPr>
                            <w:t>一次破碎</w:t>
                          </w:r>
                        </w:p>
                      </w:txbxContent>
                    </v:textbox>
                  </v:shape>
                  <v:shape id="文本框 5" o:spid="_x0000_s1065" type="#_x0000_t202" style="width:931545;height:323850;left:2838450;position:absolute;top:1337310" fillcolor="white" strokeweight="0.5pt">
                    <v:stroke joinstyle="round"/>
                    <v:textbox>
                      <w:txbxContent>
                        <w:p w:rsidR="00997F3B">
                          <w:pPr>
                            <w:spacing w:line="240" w:lineRule="auto"/>
                            <w:jc w:val="center"/>
                          </w:pPr>
                          <w:r>
                            <w:rPr>
                              <w:rFonts w:hint="eastAsia"/>
                            </w:rPr>
                            <w:t>二次破碎</w:t>
                          </w:r>
                        </w:p>
                      </w:txbxContent>
                    </v:textbox>
                  </v:shape>
                  <v:shape id="文本框 6" o:spid="_x0000_s1066" type="#_x0000_t202" style="width:931545;height:323850;left:2835910;position:absolute;top:1900555" fillcolor="white" strokeweight="0.5pt">
                    <v:stroke joinstyle="round"/>
                    <v:textbox>
                      <w:txbxContent>
                        <w:p w:rsidR="00997F3B">
                          <w:pPr>
                            <w:spacing w:line="240" w:lineRule="auto"/>
                            <w:jc w:val="center"/>
                          </w:pPr>
                          <w:r>
                            <w:rPr>
                              <w:rFonts w:hint="eastAsia"/>
                            </w:rPr>
                            <w:t>振动筛</w:t>
                          </w:r>
                        </w:p>
                      </w:txbxContent>
                    </v:textbox>
                  </v:shape>
                  <v:shape id="文本框 7" o:spid="_x0000_s1067" type="#_x0000_t202" style="width:735330;height:470535;left:2064385;position:absolute;top:2821305" fillcolor="white" strokeweight="0.5pt">
                    <v:stroke joinstyle="round"/>
                    <v:textbox>
                      <w:txbxContent>
                        <w:p w:rsidR="00997F3B">
                          <w:pPr>
                            <w:spacing w:line="240" w:lineRule="auto"/>
                            <w:jc w:val="center"/>
                          </w:pPr>
                          <w:r>
                            <w:rPr>
                              <w:rFonts w:hint="eastAsia"/>
                            </w:rPr>
                            <w:t>12mm</w:t>
                          </w:r>
                          <w:r>
                            <w:rPr>
                              <w:rFonts w:hint="eastAsia"/>
                            </w:rPr>
                            <w:t>石子</w:t>
                          </w:r>
                        </w:p>
                      </w:txbxContent>
                    </v:textbox>
                  </v:shape>
                  <v:shape id="文本框 8" o:spid="_x0000_s1068" type="#_x0000_t202" style="width:804545;height:480695;left:4383405;position:absolute;top:2851150" fillcolor="white" strokeweight="0.5pt">
                    <v:stroke joinstyle="round"/>
                    <v:textbox>
                      <w:txbxContent>
                        <w:p w:rsidR="00997F3B">
                          <w:pPr>
                            <w:spacing w:line="240" w:lineRule="auto"/>
                            <w:jc w:val="center"/>
                          </w:pPr>
                          <w:r>
                            <w:rPr>
                              <w:rFonts w:hint="eastAsia"/>
                            </w:rPr>
                            <w:t>10-12mm</w:t>
                          </w:r>
                          <w:r>
                            <w:rPr>
                              <w:rFonts w:hint="eastAsia"/>
                            </w:rPr>
                            <w:t>石子</w:t>
                          </w:r>
                        </w:p>
                      </w:txbxContent>
                    </v:textbox>
                  </v:shape>
                  <v:shape id="文本框 8" o:spid="_x0000_s1069" type="#_x0000_t202" style="width:794385;height:480695;left:3225800;position:absolute;top:2826385" fillcolor="white" strokeweight="0.5pt">
                    <v:stroke joinstyle="round"/>
                    <v:textbox>
                      <w:txbxContent>
                        <w:p w:rsidR="00997F3B">
                          <w:pPr>
                            <w:spacing w:line="240" w:lineRule="auto"/>
                            <w:jc w:val="center"/>
                          </w:pPr>
                          <w:r>
                            <w:rPr>
                              <w:rFonts w:hint="eastAsia"/>
                            </w:rPr>
                            <w:t>5-10mm</w:t>
                          </w:r>
                          <w:r>
                            <w:rPr>
                              <w:rFonts w:hint="eastAsia"/>
                            </w:rPr>
                            <w:t>石子</w:t>
                          </w:r>
                        </w:p>
                      </w:txbxContent>
                    </v:textbox>
                  </v:shape>
                  <v:shape id="文本框 8" o:spid="_x0000_s1070" type="#_x0000_t202" style="width:765810;height:274320;left:918845;position:absolute;top:2835910" fillcolor="white" strokeweight="0.5pt">
                    <v:stroke joinstyle="round"/>
                    <v:textbox>
                      <w:txbxContent>
                        <w:p w:rsidR="00997F3B">
                          <w:pPr>
                            <w:spacing w:line="240" w:lineRule="auto"/>
                            <w:jc w:val="center"/>
                          </w:pPr>
                          <w:r>
                            <w:rPr>
                              <w:rFonts w:hint="eastAsia"/>
                            </w:rPr>
                            <w:t>煤粉</w:t>
                          </w:r>
                        </w:p>
                      </w:txbxContent>
                    </v:textbox>
                  </v:shape>
                  <v:shape id="直接箭头连接符 18" o:spid="_x0000_s1071" type="#_x0000_t32" style="width:357505;height:9525;flip:y;left:1250950;position:absolute;top:918845" strokecolor="black" strokeweight="0.5pt">
                    <v:stroke joinstyle="miter" endarrow="open"/>
                  </v:shape>
                  <v:shape id="直接箭头连接符 19" o:spid="_x0000_s1072" type="#_x0000_t32" style="width:500380;height:5080;flip:y;left:2375535;position:absolute;top:884555" strokecolor="black" strokeweight="0.5pt">
                    <v:stroke joinstyle="miter" endarrow="open"/>
                  </v:shape>
                  <v:shape id="直接箭头连接符 20" o:spid="_x0000_s1073" type="#_x0000_t32" style="width:9525;height:300990;left:3274060;position:absolute;top:1049020" strokecolor="black" strokeweight="0.5pt">
                    <v:stroke joinstyle="miter" endarrow="open"/>
                  </v:shape>
                  <v:shape id="直接箭头连接符 21" o:spid="_x0000_s1074" type="#_x0000_t32" style="width:2540;height:287020;flip:x;left:3265170;position:absolute;top:1663065" strokecolor="black" strokeweight="0.5pt">
                    <v:stroke joinstyle="miter" endarrow="open"/>
                  </v:shape>
                  <v:shape id="直接箭头连接符 23" o:spid="_x0000_s1075" type="#_x0000_t32" style="width:6985;height:237490;flip:x;left:2390775;position:absolute;top:2573020" strokecolor="black" strokeweight="0.5pt">
                    <v:stroke joinstyle="miter" endarrow="open"/>
                  </v:shape>
                  <v:shape id="直接箭头连接符 24" o:spid="_x0000_s1076" type="#_x0000_t32" style="width:5715;height:375920;left:3302000;position:absolute;top:2224405" strokecolor="black" strokeweight="0.5pt">
                    <v:stroke joinstyle="miter" endarrow="open"/>
                  </v:shape>
                  <v:shape id="_x0000_s1077" type="#_x0000_t32" style="width:6350;height:337185;flip:y;left:2331720;position:absolute;top:203835" strokecolor="black" strokeweight="0.5pt">
                    <v:stroke joinstyle="miter" dashstyle="dash" endarrow="open"/>
                  </v:shape>
                  <v:shape id="文本框 6" o:spid="_x0000_s1078" type="#_x0000_t202" style="width:931545;height:323850;left:1941830;position:absolute;top:36195" filled="f" stroked="f" strokeweight="0.5pt">
                    <v:textbox>
                      <w:txbxContent>
                        <w:p w:rsidR="00997F3B">
                          <w:pPr>
                            <w:spacing w:line="240" w:lineRule="auto"/>
                            <w:jc w:val="center"/>
                            <w:rPr>
                              <w:sz w:val="21"/>
                              <w:szCs w:val="21"/>
                            </w:rPr>
                          </w:pPr>
                          <w:r>
                            <w:rPr>
                              <w:rFonts w:hint="eastAsia"/>
                              <w:sz w:val="21"/>
                              <w:szCs w:val="21"/>
                            </w:rPr>
                            <w:t>粉尘、噪声</w:t>
                          </w:r>
                        </w:p>
                      </w:txbxContent>
                    </v:textbox>
                  </v:shape>
                  <v:shape id="_x0000_s1079" type="#_x0000_t34" style="width:15240;height:3484245;flip:x;left:2940685;position:absolute;rotation:90;top:1095375" adj="-337950" strokecolor="black" strokeweight="0.5pt">
                    <v:stroke startarrow="open" endarrow="open"/>
                  </v:shape>
                  <v:shape id="直接箭头连接符 23" o:spid="_x0000_s1080" type="#_x0000_t32" style="width:6985;height:237490;flip:x;left:3620135;position:absolute;top:2596515" strokecolor="black" strokeweight="0.5pt">
                    <v:stroke joinstyle="miter" endarrow="open"/>
                  </v:shape>
                  <v:rect id="_x0000_s1081" style="width:2714625;height:1845310;left:1440815;position:absolute;top:555625;v-text-anchor:middle" filled="f" strokecolor="black" strokeweight="1pt">
                    <v:stroke dashstyle="dash"/>
                  </v:rect>
                  <v:shape id="_x0000_s1082" type="#_x0000_t34" style="width:3175;height:563245;flip:y;left:3767455;position:absolute;top:1499235" adj="2046600" strokecolor="black" strokeweight="0.5pt">
                    <v:stroke endarrow="open"/>
                  </v:shape>
                  <v:shape id="文本框 6" o:spid="_x0000_s1083" type="#_x0000_t202" style="width:1241425;height:323850;left:3501390;position:absolute;top:1584325" filled="f" stroked="f" strokeweight="0.5pt">
                    <v:textbox>
                      <w:txbxContent>
                        <w:p w:rsidR="00997F3B">
                          <w:pPr>
                            <w:spacing w:line="240" w:lineRule="auto"/>
                            <w:jc w:val="center"/>
                            <w:rPr>
                              <w:sz w:val="21"/>
                              <w:szCs w:val="21"/>
                            </w:rPr>
                          </w:pPr>
                          <w:r>
                            <w:rPr>
                              <w:rFonts w:hint="eastAsia"/>
                              <w:sz w:val="21"/>
                              <w:szCs w:val="21"/>
                            </w:rPr>
                            <w:t>≥</w:t>
                          </w:r>
                          <w:r>
                            <w:rPr>
                              <w:rFonts w:hint="eastAsia"/>
                              <w:sz w:val="21"/>
                              <w:szCs w:val="21"/>
                            </w:rPr>
                            <w:t>35mm</w:t>
                          </w:r>
                        </w:p>
                      </w:txbxContent>
                    </v:textbox>
                  </v:shape>
                  <w10:wrap type="none"/>
                  <w10:anchorlock/>
                </v:group>
              </w:pict>
            </w:r>
          </w:p>
          <w:p w:rsidR="00997F3B">
            <w:pPr>
              <w:jc w:val="center"/>
              <w:rPr>
                <w:rFonts w:ascii="Times New Roman" w:hAnsi="Times New Roman" w:eastAsiaTheme="minorEastAsia" w:cs="Times New Roman"/>
                <w:b/>
                <w:lang w:val="x-none"/>
              </w:rPr>
            </w:pPr>
            <w:r>
              <w:rPr>
                <w:rFonts w:ascii="Times New Roman" w:hAnsi="Times New Roman" w:eastAsiaTheme="minorEastAsia" w:cs="Times New Roman"/>
                <w:b/>
                <w:lang w:val="x-none"/>
              </w:rPr>
              <w:t>图</w:t>
            </w:r>
            <w:r>
              <w:rPr>
                <w:rFonts w:ascii="Times New Roman" w:hAnsi="Times New Roman" w:eastAsiaTheme="minorEastAsia" w:cs="Times New Roman"/>
                <w:b/>
                <w:lang w:val="x-none"/>
              </w:rPr>
              <w:t>2-</w:t>
            </w:r>
            <w:r>
              <w:rPr>
                <w:rFonts w:ascii="Times New Roman" w:hAnsi="Times New Roman" w:eastAsiaTheme="minorEastAsia" w:cs="Times New Roman"/>
                <w:b/>
                <w:lang w:val="x-none"/>
              </w:rPr>
              <w:t>2</w:t>
            </w:r>
            <w:r>
              <w:rPr>
                <w:rFonts w:ascii="Times New Roman" w:hAnsi="Times New Roman" w:eastAsiaTheme="minorEastAsia" w:cs="Times New Roman"/>
                <w:b/>
                <w:lang w:val="x-none"/>
              </w:rPr>
              <w:t xml:space="preserve"> </w:t>
            </w:r>
            <w:r>
              <w:rPr>
                <w:rFonts w:ascii="Times New Roman" w:hAnsi="Times New Roman" w:eastAsiaTheme="minorEastAsia" w:cs="Times New Roman"/>
                <w:b/>
                <w:lang w:val="x-none"/>
              </w:rPr>
              <w:t>项目工艺流程及产污环节示意图</w:t>
            </w:r>
          </w:p>
          <w:p w:rsidR="00997F3B">
            <w:pPr>
              <w:rPr>
                <w:rFonts w:ascii="Times New Roman" w:hAnsi="Times New Roman" w:eastAsiaTheme="minorEastAsia" w:cs="Times New Roman"/>
                <w:b/>
              </w:rPr>
            </w:pPr>
            <w:r>
              <w:rPr>
                <w:rFonts w:ascii="Times New Roman" w:hAnsi="Times New Roman" w:eastAsiaTheme="minorEastAsia" w:cs="Times New Roman"/>
                <w:b/>
                <w:lang w:val="x-none"/>
              </w:rPr>
              <w:t>工艺简述：</w:t>
            </w:r>
          </w:p>
          <w:p w:rsidR="00997F3B">
            <w:pPr>
              <w:ind w:firstLine="480" w:firstLineChars="200"/>
              <w:rPr>
                <w:rFonts w:ascii="Times New Roman" w:hAnsi="Times New Roman" w:eastAsiaTheme="minorEastAsia" w:cs="Times New Roman"/>
                <w:lang w:val="x-none"/>
              </w:rPr>
            </w:pPr>
            <w:r>
              <w:rPr>
                <w:rFonts w:ascii="Times New Roman" w:hAnsi="Times New Roman" w:eastAsiaTheme="minorEastAsia" w:cs="Times New Roman"/>
                <w:lang w:val="x-none"/>
              </w:rPr>
              <w:t>本项目为碎石生产加工项目，生产工艺流程详见图</w:t>
            </w:r>
            <w:r>
              <w:rPr>
                <w:rFonts w:ascii="Times New Roman" w:hAnsi="Times New Roman" w:eastAsiaTheme="minorEastAsia" w:cs="Times New Roman"/>
                <w:lang w:val="x-none"/>
              </w:rPr>
              <w:t xml:space="preserve"> 2-3</w:t>
            </w:r>
            <w:r>
              <w:rPr>
                <w:rFonts w:ascii="Times New Roman" w:hAnsi="Times New Roman" w:eastAsiaTheme="minorEastAsia" w:cs="Times New Roman"/>
                <w:lang w:val="x-none"/>
              </w:rPr>
              <w:t>。具体工艺流程说明如下：</w:t>
            </w:r>
          </w:p>
          <w:p w:rsidR="00997F3B">
            <w:pPr>
              <w:ind w:firstLine="480" w:firstLineChars="200"/>
              <w:rPr>
                <w:rFonts w:ascii="Times New Roman" w:hAnsi="Times New Roman" w:eastAsiaTheme="minorEastAsia" w:cs="Times New Roman"/>
              </w:rPr>
            </w:pPr>
            <w:r>
              <w:rPr>
                <w:rFonts w:ascii="Times New Roman" w:hAnsi="Times New Roman" w:cs="Times New Roman"/>
              </w:rPr>
              <w:t>本项目将堆场中的原料石经喂料机下料至颚式破碎机进行一次破碎，一次破碎后</w:t>
            </w:r>
            <w:r>
              <w:rPr>
                <w:rFonts w:ascii="Times New Roman" w:hAnsi="Times New Roman" w:cs="Times New Roman"/>
              </w:rPr>
              <w:t xml:space="preserve"> </w:t>
            </w:r>
            <w:r>
              <w:rPr>
                <w:rFonts w:ascii="Times New Roman" w:hAnsi="Times New Roman" w:cs="Times New Roman"/>
              </w:rPr>
              <w:t>的石料经输送带再送至圆锥式破碎机进行二次破碎，经二次破碎后的石料经输送带送进</w:t>
            </w:r>
            <w:r>
              <w:rPr>
                <w:rFonts w:ascii="Times New Roman" w:hAnsi="Times New Roman" w:cs="Times New Roman"/>
              </w:rPr>
              <w:t xml:space="preserve"> </w:t>
            </w:r>
            <w:r>
              <w:rPr>
                <w:rFonts w:ascii="Times New Roman" w:hAnsi="Times New Roman" w:cs="Times New Roman"/>
              </w:rPr>
              <w:t>振动筛进行筛分，满足粒径要求由输送带送往成品堆场，经筛选分级后不符合规格的石料经输送带再送至颚式破碎机进行再次破碎。在原料下料、两次破碎、输送带运输、振</w:t>
            </w:r>
            <w:r>
              <w:rPr>
                <w:rFonts w:ascii="Times New Roman" w:hAnsi="Times New Roman" w:cs="Times New Roman"/>
              </w:rPr>
              <w:t xml:space="preserve"> </w:t>
            </w:r>
            <w:r>
              <w:rPr>
                <w:rFonts w:ascii="Times New Roman" w:hAnsi="Times New Roman" w:cs="Times New Roman"/>
              </w:rPr>
              <w:t>动筛分等工序会产生粉尘和噪声。</w:t>
            </w:r>
            <w:r>
              <w:rPr>
                <w:rFonts w:ascii="Times New Roman" w:hAnsi="Times New Roman" w:cs="Times New Roman"/>
              </w:rPr>
              <w:t xml:space="preserve"> </w:t>
            </w:r>
          </w:p>
        </w:tc>
      </w:tr>
    </w:tbl>
    <w:p>
      <w:pPr>
        <w:sectPr>
          <w:footerReference w:type="default" r:id="rId18"/>
          <w:type w:val="nextPage"/>
          <w:pgSz w:w="11906" w:h="16838"/>
          <w:pgMar w:top="1440" w:right="1800" w:bottom="1440" w:left="1800" w:header="851" w:footer="992" w:gutter="0"/>
          <w:pgNumType w:start="12"/>
          <w:cols w:space="425"/>
          <w:titlePg w:val="0"/>
          <w:docGrid w:type="lines" w:linePitch="312"/>
        </w:sectPr>
      </w:pPr>
    </w:p>
    <w:tbl>
      <w:tblPr>
        <w:tblStyle w:val="TableGrid12"/>
        <w:tblW w:w="10010"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751"/>
        <w:gridCol w:w="9259"/>
      </w:tblGrid>
      <w:tr>
        <w:tblPrEx>
          <w:tblW w:w="10010" w:type="dxa"/>
          <w:jc w:val="center"/>
          <w:tblBorders>
            <w:top w:val="single" w:sz="12" w:space="0" w:color="auto"/>
            <w:left w:val="single" w:sz="12" w:space="0" w:color="auto"/>
            <w:bottom w:val="single" w:sz="12" w:space="0" w:color="auto"/>
            <w:right w:val="single" w:sz="12" w:space="0" w:color="auto"/>
          </w:tblBorders>
          <w:tblLayout w:type="fixed"/>
          <w:tblLook w:val="04A0"/>
        </w:tblPrEx>
        <w:trPr>
          <w:trHeight w:val="90"/>
          <w:jc w:val="center"/>
        </w:trPr>
        <w:tc>
          <w:tcPr>
            <w:tcW w:w="751"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与项目有关的原有环境污染问题</w:t>
            </w:r>
          </w:p>
        </w:tc>
        <w:tc>
          <w:tcPr>
            <w:tcW w:w="9259" w:type="dxa"/>
            <w:vAlign w:val="center"/>
          </w:tcPr>
          <w:p w:rsidR="00997F3B">
            <w:pPr>
              <w:jc w:val="left"/>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本项目为新建项目，</w:t>
            </w:r>
            <w:r>
              <w:rPr>
                <w:rFonts w:ascii="Times New Roman" w:hAnsi="Times New Roman" w:cs="Times New Roman"/>
              </w:rPr>
              <w:t>租用龙岩市永定区华兴机砖厂闲置厂房进行建设，项目四周均为山地</w:t>
            </w:r>
            <w:r>
              <w:rPr>
                <w:rFonts w:ascii="Times New Roman" w:hAnsi="Times New Roman" w:cs="Times New Roman"/>
              </w:rPr>
              <w:t>，未发现与本项目有关的原有污染及环境问题。</w:t>
            </w:r>
          </w:p>
          <w:p w:rsidR="00997F3B">
            <w:pPr>
              <w:jc w:val="center"/>
              <w:rPr>
                <w:rFonts w:ascii="Times New Roman" w:hAnsi="Times New Roman" w:cs="Times New Roman"/>
              </w:rPr>
            </w:pPr>
          </w:p>
          <w:p w:rsidR="00997F3B">
            <w:pPr>
              <w:jc w:val="center"/>
              <w:rPr>
                <w:rFonts w:ascii="Times New Roman" w:hAnsi="Times New Roman" w:cs="Times New Roman"/>
              </w:rPr>
            </w:pPr>
          </w:p>
          <w:p w:rsidR="00997F3B">
            <w:pPr>
              <w:pStyle w:val="BodyText"/>
              <w:rPr>
                <w:rFonts w:ascii="Times New Roman" w:hAnsi="Times New Roman" w:eastAsiaTheme="minorEastAsia" w:cs="Times New Roman"/>
              </w:rPr>
            </w:pPr>
          </w:p>
        </w:tc>
      </w:tr>
    </w:tbl>
    <w:p>
      <w:pPr>
        <w:sectPr>
          <w:footerReference w:type="default" r:id="rId19"/>
          <w:type w:val="nextPage"/>
          <w:pgSz w:w="11906" w:h="16838"/>
          <w:pgMar w:top="1440" w:right="1800" w:bottom="1440" w:left="1800" w:header="851" w:footer="992" w:gutter="0"/>
          <w:pgNumType w:start="13"/>
          <w:cols w:space="425"/>
          <w:titlePg w:val="0"/>
          <w:docGrid w:type="lines" w:linePitch="312"/>
        </w:sectPr>
      </w:pPr>
    </w:p>
    <w:p w:rsidR="00997F3B">
      <w:pPr>
        <w:pStyle w:val="Heading1"/>
        <w:rPr>
          <w:rFonts w:ascii="Times New Roman" w:hAnsi="Times New Roman" w:cs="Times New Roman"/>
          <w:sz w:val="24"/>
          <w:szCs w:val="24"/>
          <w:lang w:eastAsia="zh-CN"/>
        </w:rPr>
      </w:pPr>
      <w:r>
        <w:rPr>
          <w:rFonts w:ascii="Times New Roman" w:hAnsi="Times New Roman" w:cs="Times New Roman"/>
          <w:sz w:val="24"/>
          <w:szCs w:val="24"/>
          <w:lang w:eastAsia="zh-CN"/>
        </w:rPr>
        <w:t>三、区域环境质量现状、环境保护目标及评价标准</w:t>
      </w:r>
    </w:p>
    <w:tbl>
      <w:tblPr>
        <w:tblStyle w:val="TableGrid13"/>
        <w:tblW w:w="9929" w:type="dxa"/>
        <w:tblBorders>
          <w:top w:val="single" w:sz="12" w:space="0" w:color="auto"/>
          <w:left w:val="single" w:sz="12" w:space="0" w:color="auto"/>
          <w:bottom w:val="single" w:sz="12" w:space="0" w:color="auto"/>
          <w:right w:val="single" w:sz="12" w:space="0" w:color="auto"/>
        </w:tblBorders>
        <w:tblLook w:val="04A0"/>
      </w:tblPr>
      <w:tblGrid>
        <w:gridCol w:w="456"/>
        <w:gridCol w:w="9473"/>
      </w:tblGrid>
      <w:tr>
        <w:tblPrEx>
          <w:tblW w:w="9929" w:type="dxa"/>
          <w:tblBorders>
            <w:top w:val="single" w:sz="12" w:space="0" w:color="auto"/>
            <w:left w:val="single" w:sz="12" w:space="0" w:color="auto"/>
            <w:bottom w:val="single" w:sz="12" w:space="0" w:color="auto"/>
            <w:right w:val="single" w:sz="12" w:space="0" w:color="auto"/>
          </w:tblBorders>
          <w:tblLook w:val="04A0"/>
        </w:tblPrEx>
        <w:tc>
          <w:tcPr>
            <w:tcW w:w="456"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区域环境质量现状</w:t>
            </w:r>
          </w:p>
        </w:tc>
        <w:tc>
          <w:tcPr>
            <w:tcW w:w="9473" w:type="dxa"/>
            <w:vAlign w:val="center"/>
          </w:tcPr>
          <w:p w:rsidR="00997F3B">
            <w:pPr>
              <w:jc w:val="left"/>
              <w:rPr>
                <w:rFonts w:ascii="Times New Roman" w:hAnsi="Times New Roman" w:eastAsiaTheme="minorEastAsia" w:cs="Times New Roman"/>
                <w:b/>
                <w:bCs/>
              </w:rPr>
            </w:pPr>
            <w:r>
              <w:rPr>
                <w:rFonts w:ascii="Times New Roman" w:hAnsi="Times New Roman" w:eastAsiaTheme="minorEastAsia" w:cs="Times New Roman"/>
                <w:b/>
                <w:bCs/>
              </w:rPr>
              <w:t>1</w:t>
            </w:r>
            <w:r>
              <w:rPr>
                <w:rFonts w:ascii="Times New Roman" w:hAnsi="Times New Roman" w:eastAsiaTheme="minorEastAsia" w:cs="Times New Roman"/>
                <w:b/>
                <w:bCs/>
              </w:rPr>
              <w:t>、环境空气质量现状</w:t>
            </w:r>
          </w:p>
          <w:p w:rsidR="00997F3B">
            <w:pPr>
              <w:ind w:firstLine="480" w:firstLineChars="200"/>
              <w:jc w:val="left"/>
              <w:rPr>
                <w:rFonts w:ascii="Times New Roman" w:hAnsi="Times New Roman" w:cs="Times New Roman"/>
              </w:rPr>
            </w:pPr>
            <w:r>
              <w:rPr>
                <w:rFonts w:ascii="Times New Roman" w:hAnsi="Times New Roman" w:cs="Times New Roman"/>
              </w:rPr>
              <w:t>根据《永定区</w:t>
            </w:r>
            <w:r>
              <w:rPr>
                <w:rFonts w:ascii="Times New Roman" w:hAnsi="Times New Roman" w:cs="Times New Roman"/>
              </w:rPr>
              <w:t xml:space="preserve"> 2021 </w:t>
            </w:r>
            <w:r>
              <w:rPr>
                <w:rFonts w:ascii="Times New Roman" w:hAnsi="Times New Roman" w:cs="Times New Roman"/>
              </w:rPr>
              <w:t>年</w:t>
            </w:r>
            <w:r>
              <w:rPr>
                <w:rFonts w:ascii="Times New Roman" w:hAnsi="Times New Roman" w:cs="Times New Roman"/>
              </w:rPr>
              <w:t xml:space="preserve"> 2 </w:t>
            </w:r>
            <w:r>
              <w:rPr>
                <w:rFonts w:ascii="Times New Roman" w:hAnsi="Times New Roman" w:cs="Times New Roman"/>
              </w:rPr>
              <w:t>月份城区环境空气质量》，永定区</w:t>
            </w:r>
            <w:r>
              <w:rPr>
                <w:rFonts w:ascii="Times New Roman" w:hAnsi="Times New Roman" w:cs="Times New Roman"/>
              </w:rPr>
              <w:t xml:space="preserve"> 2 </w:t>
            </w:r>
            <w:r>
              <w:rPr>
                <w:rFonts w:ascii="Times New Roman" w:hAnsi="Times New Roman" w:cs="Times New Roman"/>
              </w:rPr>
              <w:t>月份城区环</w:t>
            </w:r>
            <w:r>
              <w:rPr>
                <w:rFonts w:ascii="Times New Roman" w:hAnsi="Times New Roman" w:cs="Times New Roman"/>
              </w:rPr>
              <w:t xml:space="preserve"> </w:t>
            </w:r>
            <w:r>
              <w:rPr>
                <w:rFonts w:ascii="Times New Roman" w:hAnsi="Times New Roman" w:cs="Times New Roman"/>
              </w:rPr>
              <w:t>境空气质量综合指数为</w:t>
            </w:r>
            <w:r>
              <w:rPr>
                <w:rFonts w:ascii="Times New Roman" w:hAnsi="Times New Roman" w:cs="Times New Roman"/>
              </w:rPr>
              <w:t xml:space="preserve"> 2.43</w:t>
            </w:r>
            <w:r>
              <w:rPr>
                <w:rFonts w:ascii="Times New Roman" w:hAnsi="Times New Roman" w:cs="Times New Roman"/>
              </w:rPr>
              <w:t>，空气质量</w:t>
            </w:r>
            <w:r>
              <w:rPr>
                <w:rFonts w:ascii="Times New Roman" w:hAnsi="Times New Roman" w:cs="Times New Roman"/>
              </w:rPr>
              <w:t xml:space="preserve"> 2 </w:t>
            </w:r>
            <w:r>
              <w:rPr>
                <w:rFonts w:ascii="Times New Roman" w:hAnsi="Times New Roman" w:cs="Times New Roman"/>
              </w:rPr>
              <w:t>级、良，</w:t>
            </w:r>
            <w:r>
              <w:rPr>
                <w:rFonts w:ascii="Times New Roman" w:hAnsi="Times New Roman" w:cs="Times New Roman"/>
              </w:rPr>
              <w:t>PM10</w:t>
            </w:r>
            <w:r>
              <w:rPr>
                <w:rFonts w:ascii="Times New Roman" w:hAnsi="Times New Roman" w:cs="Times New Roman"/>
              </w:rPr>
              <w:t>月均值为</w:t>
            </w:r>
            <w:r>
              <w:rPr>
                <w:rFonts w:ascii="Times New Roman" w:hAnsi="Times New Roman" w:cs="Times New Roman"/>
              </w:rPr>
              <w:t xml:space="preserve"> 41μg/m3</w:t>
            </w:r>
            <w:r>
              <w:rPr>
                <w:rFonts w:ascii="Times New Roman" w:hAnsi="Times New Roman" w:cs="Times New Roman"/>
              </w:rPr>
              <w:t>、</w:t>
            </w:r>
            <w:r>
              <w:rPr>
                <w:rFonts w:ascii="Times New Roman" w:hAnsi="Times New Roman" w:cs="Times New Roman"/>
              </w:rPr>
              <w:t xml:space="preserve"> PM2.5</w:t>
            </w:r>
            <w:r>
              <w:rPr>
                <w:rFonts w:ascii="Times New Roman" w:hAnsi="Times New Roman" w:cs="Times New Roman"/>
              </w:rPr>
              <w:t>月均值为</w:t>
            </w:r>
            <w:r>
              <w:rPr>
                <w:rFonts w:ascii="Times New Roman" w:hAnsi="Times New Roman" w:cs="Times New Roman"/>
              </w:rPr>
              <w:t xml:space="preserve"> 20μg/m3</w:t>
            </w:r>
            <w:r>
              <w:rPr>
                <w:rFonts w:ascii="Times New Roman" w:hAnsi="Times New Roman" w:cs="Times New Roman"/>
              </w:rPr>
              <w:t>，臭氧（</w:t>
            </w:r>
            <w:r>
              <w:rPr>
                <w:rFonts w:ascii="Times New Roman" w:hAnsi="Times New Roman" w:cs="Times New Roman"/>
              </w:rPr>
              <w:t>O3</w:t>
            </w:r>
            <w:r>
              <w:rPr>
                <w:rFonts w:ascii="Times New Roman" w:hAnsi="Times New Roman" w:cs="Times New Roman"/>
              </w:rPr>
              <w:t>）日最大</w:t>
            </w:r>
            <w:r>
              <w:rPr>
                <w:rFonts w:ascii="Times New Roman" w:hAnsi="Times New Roman" w:cs="Times New Roman"/>
              </w:rPr>
              <w:t xml:space="preserve"> 8 </w:t>
            </w:r>
            <w:r>
              <w:rPr>
                <w:rFonts w:ascii="Times New Roman" w:hAnsi="Times New Roman" w:cs="Times New Roman"/>
              </w:rPr>
              <w:t>小时平均</w:t>
            </w:r>
            <w:r>
              <w:rPr>
                <w:rFonts w:ascii="Times New Roman" w:hAnsi="Times New Roman" w:cs="Times New Roman"/>
              </w:rPr>
              <w:t xml:space="preserve"> 129μg/m3</w:t>
            </w:r>
            <w:r>
              <w:rPr>
                <w:rFonts w:ascii="Times New Roman" w:hAnsi="Times New Roman" w:cs="Times New Roman"/>
              </w:rPr>
              <w:t>。当月城</w:t>
            </w:r>
            <w:r>
              <w:rPr>
                <w:rFonts w:ascii="Times New Roman" w:hAnsi="Times New Roman" w:cs="Times New Roman"/>
              </w:rPr>
              <w:t xml:space="preserve"> </w:t>
            </w:r>
            <w:r>
              <w:rPr>
                <w:rFonts w:ascii="Times New Roman" w:hAnsi="Times New Roman" w:cs="Times New Roman"/>
              </w:rPr>
              <w:t>区环境空气质量优良率为</w:t>
            </w:r>
            <w:r>
              <w:rPr>
                <w:rFonts w:ascii="Times New Roman" w:hAnsi="Times New Roman" w:cs="Times New Roman"/>
              </w:rPr>
              <w:t xml:space="preserve"> 96.4%</w:t>
            </w:r>
            <w:r>
              <w:rPr>
                <w:rFonts w:ascii="Times New Roman" w:hAnsi="Times New Roman" w:cs="Times New Roman"/>
              </w:rPr>
              <w:t>，其中一级达标天数为</w:t>
            </w:r>
            <w:r>
              <w:rPr>
                <w:rFonts w:ascii="Times New Roman" w:hAnsi="Times New Roman" w:cs="Times New Roman"/>
              </w:rPr>
              <w:t xml:space="preserve"> 16 </w:t>
            </w:r>
            <w:r>
              <w:rPr>
                <w:rFonts w:ascii="Times New Roman" w:hAnsi="Times New Roman" w:cs="Times New Roman"/>
              </w:rPr>
              <w:t>天、二级达标天数</w:t>
            </w:r>
            <w:r>
              <w:rPr>
                <w:rFonts w:ascii="Times New Roman" w:hAnsi="Times New Roman" w:cs="Times New Roman"/>
              </w:rPr>
              <w:t xml:space="preserve"> 11 </w:t>
            </w:r>
            <w:r>
              <w:rPr>
                <w:rFonts w:ascii="Times New Roman" w:hAnsi="Times New Roman" w:cs="Times New Roman"/>
              </w:rPr>
              <w:t>天，主要污染物为臭氧。</w:t>
            </w:r>
            <w:r>
              <w:rPr>
                <w:rFonts w:ascii="Times New Roman" w:hAnsi="Times New Roman" w:cs="Times New Roman"/>
              </w:rPr>
              <w:t xml:space="preserve">1-2 </w:t>
            </w:r>
            <w:r>
              <w:rPr>
                <w:rFonts w:ascii="Times New Roman" w:hAnsi="Times New Roman" w:cs="Times New Roman"/>
              </w:rPr>
              <w:t>月城区环境空气质量综合指数为</w:t>
            </w:r>
            <w:r>
              <w:rPr>
                <w:rFonts w:ascii="Times New Roman" w:hAnsi="Times New Roman" w:cs="Times New Roman"/>
              </w:rPr>
              <w:t xml:space="preserve"> </w:t>
            </w:r>
            <w:r>
              <w:rPr>
                <w:rFonts w:ascii="Times New Roman" w:hAnsi="Times New Roman" w:cs="Times New Roman"/>
              </w:rPr>
              <w:t>2.63</w:t>
            </w:r>
            <w:r>
              <w:rPr>
                <w:rFonts w:ascii="Times New Roman" w:hAnsi="Times New Roman" w:cs="Times New Roman"/>
              </w:rPr>
              <w:t>，空气</w:t>
            </w:r>
            <w:r>
              <w:rPr>
                <w:rFonts w:ascii="Times New Roman" w:hAnsi="Times New Roman" w:cs="Times New Roman"/>
              </w:rPr>
              <w:t xml:space="preserve"> </w:t>
            </w:r>
            <w:r>
              <w:rPr>
                <w:rFonts w:ascii="Times New Roman" w:hAnsi="Times New Roman" w:cs="Times New Roman"/>
              </w:rPr>
              <w:t>质量</w:t>
            </w:r>
            <w:r>
              <w:rPr>
                <w:rFonts w:ascii="Times New Roman" w:hAnsi="Times New Roman" w:cs="Times New Roman"/>
              </w:rPr>
              <w:t xml:space="preserve"> 2 </w:t>
            </w:r>
            <w:r>
              <w:rPr>
                <w:rFonts w:ascii="Times New Roman" w:hAnsi="Times New Roman" w:cs="Times New Roman"/>
              </w:rPr>
              <w:t>级、良，</w:t>
            </w:r>
            <w:r>
              <w:rPr>
                <w:rFonts w:ascii="Times New Roman" w:hAnsi="Times New Roman" w:cs="Times New Roman"/>
              </w:rPr>
              <w:t>PM10</w:t>
            </w:r>
            <w:r>
              <w:rPr>
                <w:rFonts w:ascii="Times New Roman" w:hAnsi="Times New Roman" w:cs="Times New Roman"/>
              </w:rPr>
              <w:t>均值为</w:t>
            </w:r>
            <w:r>
              <w:rPr>
                <w:rFonts w:ascii="Times New Roman" w:hAnsi="Times New Roman" w:cs="Times New Roman"/>
              </w:rPr>
              <w:t xml:space="preserve"> 48μg/m3</w:t>
            </w:r>
            <w:r>
              <w:rPr>
                <w:rFonts w:ascii="Times New Roman" w:hAnsi="Times New Roman" w:cs="Times New Roman"/>
              </w:rPr>
              <w:t>、</w:t>
            </w:r>
            <w:r>
              <w:rPr>
                <w:rFonts w:ascii="Times New Roman" w:hAnsi="Times New Roman" w:cs="Times New Roman"/>
              </w:rPr>
              <w:t>PM2.5</w:t>
            </w:r>
            <w:r>
              <w:rPr>
                <w:rFonts w:ascii="Times New Roman" w:hAnsi="Times New Roman" w:cs="Times New Roman"/>
              </w:rPr>
              <w:t>均值为</w:t>
            </w:r>
            <w:r>
              <w:rPr>
                <w:rFonts w:ascii="Times New Roman" w:hAnsi="Times New Roman" w:cs="Times New Roman"/>
              </w:rPr>
              <w:t xml:space="preserve"> 21μg/</w:t>
            </w:r>
            <w:r>
              <w:rPr>
                <w:rFonts w:ascii="Times New Roman" w:hAnsi="Times New Roman" w:cs="Times New Roman" w:hint="eastAsia"/>
              </w:rPr>
              <w:t>m</w:t>
            </w:r>
            <w:r>
              <w:rPr>
                <w:rFonts w:ascii="Times New Roman" w:hAnsi="Times New Roman" w:cs="Times New Roman" w:hint="eastAsia"/>
              </w:rPr>
              <w:t>³</w:t>
            </w:r>
            <w:r>
              <w:rPr>
                <w:rFonts w:ascii="Times New Roman" w:hAnsi="Times New Roman" w:cs="Times New Roman"/>
              </w:rPr>
              <w:t>。</w:t>
            </w:r>
            <w:r>
              <w:rPr>
                <w:rFonts w:ascii="Times New Roman" w:hAnsi="Times New Roman" w:cs="Times New Roman"/>
              </w:rPr>
              <w:t xml:space="preserve">1-2 </w:t>
            </w:r>
            <w:r>
              <w:rPr>
                <w:rFonts w:ascii="Times New Roman" w:hAnsi="Times New Roman" w:cs="Times New Roman"/>
              </w:rPr>
              <w:t>月城区环</w:t>
            </w:r>
            <w:r>
              <w:rPr>
                <w:rFonts w:ascii="Times New Roman" w:hAnsi="Times New Roman" w:cs="Times New Roman"/>
              </w:rPr>
              <w:t xml:space="preserve"> </w:t>
            </w:r>
            <w:r>
              <w:rPr>
                <w:rFonts w:ascii="Times New Roman" w:hAnsi="Times New Roman" w:cs="Times New Roman"/>
              </w:rPr>
              <w:t>境空气质量优良率为</w:t>
            </w:r>
            <w:r>
              <w:rPr>
                <w:rFonts w:ascii="Times New Roman" w:hAnsi="Times New Roman" w:cs="Times New Roman"/>
              </w:rPr>
              <w:t xml:space="preserve"> 98.2%</w:t>
            </w:r>
            <w:r>
              <w:rPr>
                <w:rFonts w:ascii="Times New Roman" w:hAnsi="Times New Roman" w:cs="Times New Roman"/>
              </w:rPr>
              <w:t>，其中一级达标天数为</w:t>
            </w:r>
            <w:r>
              <w:rPr>
                <w:rFonts w:ascii="Times New Roman" w:hAnsi="Times New Roman" w:cs="Times New Roman"/>
              </w:rPr>
              <w:t xml:space="preserve"> 29 </w:t>
            </w:r>
            <w:r>
              <w:rPr>
                <w:rFonts w:ascii="Times New Roman" w:hAnsi="Times New Roman" w:cs="Times New Roman"/>
              </w:rPr>
              <w:t>天、二级达标天数</w:t>
            </w:r>
            <w:r>
              <w:rPr>
                <w:rFonts w:ascii="Times New Roman" w:hAnsi="Times New Roman" w:cs="Times New Roman"/>
              </w:rPr>
              <w:t xml:space="preserve"> 29 </w:t>
            </w:r>
            <w:r>
              <w:rPr>
                <w:rFonts w:ascii="Times New Roman" w:hAnsi="Times New Roman" w:cs="Times New Roman"/>
              </w:rPr>
              <w:t>天，主要污染物为臭氧。</w:t>
            </w:r>
            <w:r>
              <w:rPr>
                <w:rFonts w:ascii="Times New Roman" w:hAnsi="Times New Roman" w:cs="Times New Roman"/>
              </w:rPr>
              <w:t xml:space="preserve"> </w:t>
            </w:r>
            <w:r>
              <w:rPr>
                <w:rFonts w:ascii="Times New Roman" w:hAnsi="Times New Roman" w:cs="Times New Roman"/>
              </w:rPr>
              <w:t>本项目位于抚市镇溪联村，无明显工业污染源，环境空气优于城区，区域大气环境质量可以达到《环境空气质量标准》（</w:t>
            </w:r>
            <w:r>
              <w:rPr>
                <w:rFonts w:ascii="Times New Roman" w:hAnsi="Times New Roman" w:cs="Times New Roman"/>
              </w:rPr>
              <w:t>GB3095-2012</w:t>
            </w:r>
            <w:r>
              <w:rPr>
                <w:rFonts w:ascii="Times New Roman" w:hAnsi="Times New Roman" w:cs="Times New Roman"/>
              </w:rPr>
              <w:t>）中的二级标准，符合环境功能区划的要求。</w:t>
            </w:r>
          </w:p>
          <w:p w:rsidR="00997F3B">
            <w:pPr>
              <w:ind w:firstLine="480" w:firstLineChars="200"/>
              <w:jc w:val="left"/>
              <w:rPr>
                <w:rFonts w:ascii="Times New Roman" w:hAnsi="Times New Roman" w:eastAsiaTheme="minorEastAsia" w:cs="Times New Roman"/>
                <w:b/>
                <w:bCs/>
              </w:rPr>
            </w:pPr>
            <w:r>
              <w:rPr>
                <w:rFonts w:ascii="Times New Roman" w:hAnsi="Times New Roman" w:eastAsiaTheme="minorEastAsia" w:cs="Times New Roman"/>
                <w:b/>
                <w:bCs/>
              </w:rPr>
              <w:t>2</w:t>
            </w:r>
            <w:r>
              <w:rPr>
                <w:rFonts w:ascii="Times New Roman" w:hAnsi="Times New Roman" w:eastAsiaTheme="minorEastAsia" w:cs="Times New Roman"/>
                <w:b/>
                <w:bCs/>
              </w:rPr>
              <w:t>、地表水环境质量现状</w:t>
            </w:r>
          </w:p>
          <w:p w:rsidR="00997F3B">
            <w:pPr>
              <w:ind w:firstLine="480" w:firstLineChars="200"/>
              <w:jc w:val="left"/>
              <w:rPr>
                <w:rFonts w:ascii="Times New Roman" w:hAnsi="Times New Roman" w:cs="Times New Roman"/>
              </w:rPr>
            </w:pPr>
            <w:r>
              <w:rPr>
                <w:rFonts w:ascii="Times New Roman" w:hAnsi="Times New Roman" w:cs="Times New Roman"/>
              </w:rPr>
              <w:t>项目附近主要水体为基安溪，属抚市溪支流，根据</w:t>
            </w:r>
            <w:r>
              <w:rPr>
                <w:rFonts w:ascii="Times New Roman" w:hAnsi="Times New Roman" w:cs="Times New Roman"/>
              </w:rPr>
              <w:t xml:space="preserve"> 2007 </w:t>
            </w:r>
            <w:r>
              <w:rPr>
                <w:rFonts w:ascii="Times New Roman" w:hAnsi="Times New Roman" w:cs="Times New Roman"/>
              </w:rPr>
              <w:t>年福建省人民政</w:t>
            </w:r>
            <w:r>
              <w:rPr>
                <w:rFonts w:ascii="Times New Roman" w:hAnsi="Times New Roman" w:cs="Times New Roman"/>
              </w:rPr>
              <w:t xml:space="preserve"> </w:t>
            </w:r>
            <w:r>
              <w:rPr>
                <w:rFonts w:ascii="Times New Roman" w:hAnsi="Times New Roman" w:cs="Times New Roman"/>
              </w:rPr>
              <w:t>府批准的《龙岩市地表水</w:t>
            </w:r>
            <w:r>
              <w:rPr>
                <w:rFonts w:ascii="Times New Roman" w:hAnsi="Times New Roman" w:cs="Times New Roman"/>
              </w:rPr>
              <w:t>环境功能区划定方案》，抚市溪全河段水域功能为</w:t>
            </w:r>
            <w:r>
              <w:rPr>
                <w:rFonts w:ascii="Times New Roman" w:hAnsi="Times New Roman" w:cs="Times New Roman"/>
              </w:rPr>
              <w:t xml:space="preserve"> </w:t>
            </w:r>
            <w:r>
              <w:rPr>
                <w:rFonts w:ascii="Times New Roman" w:hAnsi="Times New Roman" w:cs="Times New Roman"/>
              </w:rPr>
              <w:t>渔业用水、农业用水，执行《地表水环境质量标准》（</w:t>
            </w:r>
            <w:r>
              <w:rPr>
                <w:rFonts w:ascii="Times New Roman" w:hAnsi="Times New Roman" w:cs="Times New Roman"/>
              </w:rPr>
              <w:t>GB3838-2002</w:t>
            </w:r>
            <w:r>
              <w:rPr>
                <w:rFonts w:ascii="Times New Roman" w:hAnsi="Times New Roman" w:cs="Times New Roman"/>
              </w:rPr>
              <w:t>）中</w:t>
            </w:r>
            <w:r>
              <w:rPr>
                <w:rFonts w:ascii="Times New Roman" w:hAnsi="Times New Roman" w:cs="Times New Roman"/>
              </w:rPr>
              <w:t>Ⅲ</w:t>
            </w:r>
            <w:r>
              <w:rPr>
                <w:rFonts w:ascii="Times New Roman" w:hAnsi="Times New Roman" w:cs="Times New Roman"/>
              </w:rPr>
              <w:t>类</w:t>
            </w:r>
            <w:r>
              <w:rPr>
                <w:rFonts w:ascii="Times New Roman" w:hAnsi="Times New Roman" w:cs="Times New Roman"/>
              </w:rPr>
              <w:t xml:space="preserve"> </w:t>
            </w:r>
            <w:r>
              <w:rPr>
                <w:rFonts w:ascii="Times New Roman" w:hAnsi="Times New Roman" w:cs="Times New Roman"/>
              </w:rPr>
              <w:t>标准。</w:t>
            </w:r>
            <w:r>
              <w:rPr>
                <w:rFonts w:ascii="Times New Roman" w:hAnsi="Times New Roman" w:cs="Times New Roman"/>
              </w:rPr>
              <w:t xml:space="preserve"> </w:t>
            </w:r>
            <w:r>
              <w:rPr>
                <w:rFonts w:ascii="Times New Roman" w:hAnsi="Times New Roman" w:cs="Times New Roman"/>
              </w:rPr>
              <w:t>根据龙岩市生态环境局发布的《</w:t>
            </w:r>
            <w:r>
              <w:rPr>
                <w:rFonts w:ascii="Times New Roman" w:hAnsi="Times New Roman" w:cs="Times New Roman"/>
              </w:rPr>
              <w:t xml:space="preserve">2020 </w:t>
            </w:r>
            <w:r>
              <w:rPr>
                <w:rFonts w:ascii="Times New Roman" w:hAnsi="Times New Roman" w:cs="Times New Roman"/>
              </w:rPr>
              <w:t>年</w:t>
            </w:r>
            <w:r>
              <w:rPr>
                <w:rFonts w:ascii="Times New Roman" w:hAnsi="Times New Roman" w:cs="Times New Roman"/>
              </w:rPr>
              <w:t xml:space="preserve"> 7 </w:t>
            </w:r>
            <w:r>
              <w:rPr>
                <w:rFonts w:ascii="Times New Roman" w:hAnsi="Times New Roman" w:cs="Times New Roman"/>
              </w:rPr>
              <w:t>月龙岩市主要流域水质状况》</w:t>
            </w:r>
            <w:r>
              <w:rPr>
                <w:rFonts w:ascii="Times New Roman" w:hAnsi="Times New Roman" w:cs="Times New Roman"/>
              </w:rPr>
              <w:t xml:space="preserve"> </w:t>
            </w:r>
            <w:r>
              <w:rPr>
                <w:rFonts w:ascii="Times New Roman" w:hAnsi="Times New Roman" w:cs="Times New Roman"/>
              </w:rPr>
              <w:t>可知，</w:t>
            </w:r>
            <w:r>
              <w:rPr>
                <w:rFonts w:ascii="Times New Roman" w:hAnsi="Times New Roman" w:cs="Times New Roman"/>
              </w:rPr>
              <w:t xml:space="preserve">2020 </w:t>
            </w:r>
            <w:r>
              <w:rPr>
                <w:rFonts w:ascii="Times New Roman" w:hAnsi="Times New Roman" w:cs="Times New Roman"/>
              </w:rPr>
              <w:t>年</w:t>
            </w:r>
            <w:r>
              <w:rPr>
                <w:rFonts w:ascii="Times New Roman" w:hAnsi="Times New Roman" w:cs="Times New Roman"/>
              </w:rPr>
              <w:t xml:space="preserve"> 7 </w:t>
            </w:r>
            <w:r>
              <w:rPr>
                <w:rFonts w:ascii="Times New Roman" w:hAnsi="Times New Roman" w:cs="Times New Roman"/>
              </w:rPr>
              <w:t>月龙岩市主要河流总体水质良好，</w:t>
            </w:r>
            <w:r>
              <w:rPr>
                <w:rFonts w:ascii="Times New Roman" w:hAnsi="Times New Roman" w:cs="Times New Roman"/>
              </w:rPr>
              <w:t xml:space="preserve">22 </w:t>
            </w:r>
            <w:r>
              <w:rPr>
                <w:rFonts w:ascii="Times New Roman" w:hAnsi="Times New Roman" w:cs="Times New Roman"/>
              </w:rPr>
              <w:t>个水质评价断面中</w:t>
            </w:r>
            <w:r>
              <w:rPr>
                <w:rFonts w:ascii="Times New Roman" w:hAnsi="Times New Roman" w:cs="Times New Roman"/>
              </w:rPr>
              <w:t xml:space="preserve"> I~III </w:t>
            </w:r>
            <w:r>
              <w:rPr>
                <w:rFonts w:ascii="Times New Roman" w:hAnsi="Times New Roman" w:cs="Times New Roman"/>
              </w:rPr>
              <w:t>类水质占比为</w:t>
            </w:r>
            <w:r>
              <w:rPr>
                <w:rFonts w:ascii="Times New Roman" w:hAnsi="Times New Roman" w:cs="Times New Roman"/>
              </w:rPr>
              <w:t xml:space="preserve"> 100%</w:t>
            </w:r>
            <w:r>
              <w:rPr>
                <w:rFonts w:ascii="Times New Roman" w:hAnsi="Times New Roman" w:cs="Times New Roman"/>
              </w:rPr>
              <w:t>。本项目所在区域纳污河流抚市溪（基安溪）水质为</w:t>
            </w:r>
            <w:r>
              <w:rPr>
                <w:rFonts w:ascii="Times New Roman" w:hAnsi="Times New Roman" w:cs="Times New Roman"/>
              </w:rPr>
              <w:t xml:space="preserve"> III </w:t>
            </w:r>
            <w:r>
              <w:rPr>
                <w:rFonts w:ascii="Times New Roman" w:hAnsi="Times New Roman" w:cs="Times New Roman"/>
              </w:rPr>
              <w:t>类，说明区域水环境质量良好，水环境功能达标。</w:t>
            </w:r>
          </w:p>
          <w:p w:rsidR="00997F3B">
            <w:pPr>
              <w:ind w:firstLine="480" w:firstLineChars="200"/>
              <w:jc w:val="left"/>
              <w:rPr>
                <w:rFonts w:ascii="Times New Roman" w:hAnsi="Times New Roman" w:eastAsiaTheme="minorEastAsia" w:cs="Times New Roman"/>
                <w:b/>
                <w:bCs/>
              </w:rPr>
            </w:pPr>
            <w:r>
              <w:rPr>
                <w:rFonts w:ascii="Times New Roman" w:hAnsi="Times New Roman" w:eastAsiaTheme="minorEastAsia" w:cs="Times New Roman"/>
                <w:b/>
                <w:bCs/>
              </w:rPr>
              <w:t>3</w:t>
            </w:r>
            <w:r>
              <w:rPr>
                <w:rFonts w:ascii="Times New Roman" w:hAnsi="Times New Roman" w:eastAsiaTheme="minorEastAsia" w:cs="Times New Roman"/>
                <w:b/>
                <w:bCs/>
              </w:rPr>
              <w:t>、声环境质量现状</w:t>
            </w:r>
          </w:p>
          <w:p w:rsidR="00997F3B">
            <w:pPr>
              <w:jc w:val="left"/>
              <w:rPr>
                <w:rFonts w:ascii="Times New Roman" w:hAnsi="Times New Roman" w:eastAsiaTheme="minorEastAsia" w:cs="Times New Roman"/>
              </w:rPr>
            </w:pPr>
            <w:r>
              <w:rPr>
                <w:rFonts w:ascii="Times New Roman" w:hAnsi="Times New Roman" w:eastAsiaTheme="minorEastAsia" w:cs="Times New Roman"/>
              </w:rPr>
              <w:t xml:space="preserve">  </w:t>
            </w:r>
            <w:r>
              <w:rPr>
                <w:rFonts w:ascii="Times New Roman" w:hAnsi="Times New Roman" w:eastAsiaTheme="minorEastAsia" w:cs="Times New Roman"/>
              </w:rPr>
              <w:t>本项目位于龙岩市</w:t>
            </w:r>
            <w:r>
              <w:rPr>
                <w:rFonts w:ascii="Times New Roman" w:hAnsi="Times New Roman" w:eastAsiaTheme="minorEastAsia" w:cs="Times New Roman"/>
              </w:rPr>
              <w:t>永定区抚市镇溪联村</w:t>
            </w:r>
            <w:r>
              <w:rPr>
                <w:rFonts w:ascii="Times New Roman" w:hAnsi="Times New Roman" w:eastAsiaTheme="minorEastAsia" w:cs="Times New Roman"/>
              </w:rPr>
              <w:t>，为更好了解项目区域声环境质量，</w:t>
            </w:r>
            <w:r>
              <w:rPr>
                <w:rFonts w:ascii="Times New Roman" w:hAnsi="Times New Roman" w:eastAsiaTheme="minorEastAsia" w:cs="Times New Roman"/>
              </w:rPr>
              <w:t>本环评单位现场踏勘时对项目四周厂界进行噪声现状进行监测，监测仪器为</w:t>
            </w:r>
            <w:r>
              <w:rPr>
                <w:rFonts w:ascii="Times New Roman" w:hAnsi="Times New Roman" w:eastAsiaTheme="minorEastAsia" w:cs="Times New Roman"/>
              </w:rPr>
              <w:t>AWA5680</w:t>
            </w:r>
            <w:r>
              <w:rPr>
                <w:rFonts w:ascii="Times New Roman" w:hAnsi="Times New Roman" w:eastAsiaTheme="minorEastAsia" w:cs="Times New Roman"/>
              </w:rPr>
              <w:t>型多功能声级计，监测结果及分析详见表</w:t>
            </w:r>
            <w:r>
              <w:rPr>
                <w:rFonts w:ascii="Times New Roman" w:hAnsi="Times New Roman" w:eastAsiaTheme="minorEastAsia" w:cs="Times New Roman"/>
              </w:rPr>
              <w:t>3-1</w:t>
            </w:r>
            <w:r>
              <w:rPr>
                <w:rFonts w:ascii="Times New Roman" w:hAnsi="Times New Roman" w:eastAsiaTheme="minorEastAsia" w:cs="Times New Roman"/>
              </w:rPr>
              <w:t>。</w:t>
            </w:r>
          </w:p>
          <w:p w:rsidR="00997F3B">
            <w:pPr>
              <w:jc w:val="center"/>
              <w:rPr>
                <w:rFonts w:ascii="Times New Roman" w:hAnsi="Times New Roman" w:eastAsiaTheme="minorEastAsia" w:cs="Times New Roman"/>
                <w:b/>
                <w:bCs/>
              </w:rPr>
            </w:pPr>
            <w:r>
              <w:rPr>
                <w:rFonts w:ascii="Times New Roman" w:hAnsi="Times New Roman" w:eastAsiaTheme="minorEastAsia" w:cs="Times New Roman"/>
                <w:b/>
                <w:bCs/>
              </w:rPr>
              <w:t>表</w:t>
            </w:r>
            <w:r>
              <w:rPr>
                <w:rFonts w:ascii="Times New Roman" w:hAnsi="Times New Roman" w:eastAsiaTheme="minorEastAsia" w:cs="Times New Roman"/>
                <w:b/>
                <w:bCs/>
              </w:rPr>
              <w:t xml:space="preserve">3-1 </w:t>
            </w:r>
            <w:r>
              <w:rPr>
                <w:rFonts w:ascii="Times New Roman" w:hAnsi="Times New Roman" w:eastAsiaTheme="minorEastAsia" w:cs="Times New Roman"/>
                <w:b/>
                <w:bCs/>
              </w:rPr>
              <w:t>声环境质量现状监测结果及分析</w:t>
            </w:r>
            <w:r>
              <w:rPr>
                <w:rFonts w:ascii="Times New Roman" w:hAnsi="Times New Roman" w:eastAsiaTheme="minorEastAsia" w:cs="Times New Roman"/>
                <w:b/>
                <w:bCs/>
              </w:rPr>
              <w:t xml:space="preserve">   </w:t>
            </w:r>
            <w:r>
              <w:rPr>
                <w:rFonts w:ascii="Times New Roman" w:hAnsi="Times New Roman" w:eastAsiaTheme="minorEastAsia" w:cs="Times New Roman"/>
                <w:b/>
                <w:bCs/>
              </w:rPr>
              <w:t>单位：</w:t>
            </w:r>
            <w:r>
              <w:rPr>
                <w:rFonts w:ascii="Times New Roman" w:hAnsi="Times New Roman" w:eastAsiaTheme="minorEastAsia" w:cs="Times New Roman"/>
                <w:b/>
                <w:bCs/>
              </w:rPr>
              <w:t>dB(A)</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2"/>
              <w:gridCol w:w="1251"/>
              <w:gridCol w:w="1152"/>
              <w:gridCol w:w="1505"/>
              <w:gridCol w:w="970"/>
              <w:gridCol w:w="153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618"/>
                <w:jc w:val="center"/>
              </w:trPr>
              <w:tc>
                <w:tcPr>
                  <w:tcW w:w="942"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编号</w:t>
                  </w:r>
                </w:p>
              </w:tc>
              <w:tc>
                <w:tcPr>
                  <w:tcW w:w="2403" w:type="dxa"/>
                  <w:gridSpan w:val="2"/>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监测点位</w:t>
                  </w:r>
                </w:p>
              </w:tc>
              <w:tc>
                <w:tcPr>
                  <w:tcW w:w="1505"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监测值</w:t>
                  </w:r>
                </w:p>
              </w:tc>
              <w:tc>
                <w:tcPr>
                  <w:tcW w:w="970"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标准值</w:t>
                  </w:r>
                </w:p>
              </w:tc>
              <w:tc>
                <w:tcPr>
                  <w:tcW w:w="1537"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是否达标</w:t>
                  </w:r>
                </w:p>
              </w:tc>
            </w:tr>
            <w:tr>
              <w:tblPrEx>
                <w:tblW w:w="0" w:type="auto"/>
                <w:jc w:val="center"/>
                <w:tblLook w:val="04A0"/>
              </w:tblPrEx>
              <w:trPr>
                <w:trHeight w:val="314"/>
                <w:jc w:val="center"/>
              </w:trPr>
              <w:tc>
                <w:tcPr>
                  <w:tcW w:w="942" w:type="dxa"/>
                  <w:vMerge w:val="restart"/>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1#</w:t>
                  </w:r>
                </w:p>
              </w:tc>
              <w:tc>
                <w:tcPr>
                  <w:tcW w:w="1251" w:type="dxa"/>
                  <w:vMerge w:val="restart"/>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厂界北侧</w:t>
                  </w:r>
                </w:p>
              </w:tc>
              <w:tc>
                <w:tcPr>
                  <w:tcW w:w="1152"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昼间</w:t>
                  </w:r>
                </w:p>
              </w:tc>
              <w:tc>
                <w:tcPr>
                  <w:tcW w:w="1505"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5</w:t>
                  </w:r>
                  <w:r>
                    <w:rPr>
                      <w:rFonts w:ascii="Times New Roman" w:hAnsi="Times New Roman" w:eastAsiaTheme="minorEastAsia" w:cs="Times New Roman"/>
                      <w:sz w:val="21"/>
                      <w:szCs w:val="21"/>
                    </w:rPr>
                    <w:t>2</w:t>
                  </w:r>
                </w:p>
              </w:tc>
              <w:tc>
                <w:tcPr>
                  <w:tcW w:w="970"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60</w:t>
                  </w:r>
                </w:p>
              </w:tc>
              <w:tc>
                <w:tcPr>
                  <w:tcW w:w="1537"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达标</w:t>
                  </w:r>
                </w:p>
              </w:tc>
            </w:tr>
            <w:tr>
              <w:tblPrEx>
                <w:tblW w:w="0" w:type="auto"/>
                <w:jc w:val="center"/>
                <w:tblLook w:val="04A0"/>
              </w:tblPrEx>
              <w:trPr>
                <w:trHeight w:val="314"/>
                <w:jc w:val="center"/>
              </w:trPr>
              <w:tc>
                <w:tcPr>
                  <w:tcW w:w="942" w:type="dxa"/>
                  <w:vMerge/>
                  <w:vAlign w:val="center"/>
                </w:tcPr>
                <w:p w:rsidR="00997F3B">
                  <w:pPr>
                    <w:spacing w:line="240" w:lineRule="auto"/>
                    <w:jc w:val="center"/>
                    <w:rPr>
                      <w:rFonts w:ascii="Times New Roman" w:hAnsi="Times New Roman" w:eastAsiaTheme="minorEastAsia" w:cs="Times New Roman"/>
                      <w:sz w:val="21"/>
                      <w:szCs w:val="21"/>
                    </w:rPr>
                  </w:pPr>
                </w:p>
              </w:tc>
              <w:tc>
                <w:tcPr>
                  <w:tcW w:w="1251" w:type="dxa"/>
                  <w:vMerge/>
                  <w:vAlign w:val="center"/>
                </w:tcPr>
                <w:p w:rsidR="00997F3B">
                  <w:pPr>
                    <w:spacing w:line="240" w:lineRule="auto"/>
                    <w:jc w:val="center"/>
                    <w:rPr>
                      <w:rFonts w:ascii="Times New Roman" w:hAnsi="Times New Roman" w:eastAsiaTheme="minorEastAsia" w:cs="Times New Roman"/>
                      <w:sz w:val="21"/>
                      <w:szCs w:val="21"/>
                    </w:rPr>
                  </w:pPr>
                </w:p>
              </w:tc>
              <w:tc>
                <w:tcPr>
                  <w:tcW w:w="1152"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夜间</w:t>
                  </w:r>
                </w:p>
              </w:tc>
              <w:tc>
                <w:tcPr>
                  <w:tcW w:w="1505"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4</w:t>
                  </w:r>
                  <w:r>
                    <w:rPr>
                      <w:rFonts w:ascii="Times New Roman" w:hAnsi="Times New Roman" w:eastAsiaTheme="minorEastAsia" w:cs="Times New Roman"/>
                      <w:sz w:val="21"/>
                      <w:szCs w:val="21"/>
                    </w:rPr>
                    <w:t>3</w:t>
                  </w:r>
                </w:p>
              </w:tc>
              <w:tc>
                <w:tcPr>
                  <w:tcW w:w="970"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50</w:t>
                  </w:r>
                </w:p>
              </w:tc>
              <w:tc>
                <w:tcPr>
                  <w:tcW w:w="1537"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达标</w:t>
                  </w:r>
                </w:p>
              </w:tc>
            </w:tr>
            <w:tr>
              <w:tblPrEx>
                <w:tblW w:w="0" w:type="auto"/>
                <w:jc w:val="center"/>
                <w:tblLook w:val="04A0"/>
              </w:tblPrEx>
              <w:trPr>
                <w:trHeight w:val="314"/>
                <w:jc w:val="center"/>
              </w:trPr>
              <w:tc>
                <w:tcPr>
                  <w:tcW w:w="942" w:type="dxa"/>
                  <w:vMerge w:val="restart"/>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2#</w:t>
                  </w:r>
                </w:p>
              </w:tc>
              <w:tc>
                <w:tcPr>
                  <w:tcW w:w="1251" w:type="dxa"/>
                  <w:vMerge w:val="restart"/>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厂界东侧</w:t>
                  </w:r>
                </w:p>
              </w:tc>
              <w:tc>
                <w:tcPr>
                  <w:tcW w:w="1152"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昼间</w:t>
                  </w:r>
                </w:p>
              </w:tc>
              <w:tc>
                <w:tcPr>
                  <w:tcW w:w="1505"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5</w:t>
                  </w:r>
                  <w:r>
                    <w:rPr>
                      <w:rFonts w:ascii="Times New Roman" w:hAnsi="Times New Roman" w:eastAsiaTheme="minorEastAsia" w:cs="Times New Roman"/>
                      <w:sz w:val="21"/>
                      <w:szCs w:val="21"/>
                    </w:rPr>
                    <w:t>1</w:t>
                  </w:r>
                </w:p>
              </w:tc>
              <w:tc>
                <w:tcPr>
                  <w:tcW w:w="970"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60</w:t>
                  </w:r>
                </w:p>
              </w:tc>
              <w:tc>
                <w:tcPr>
                  <w:tcW w:w="1537"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达标</w:t>
                  </w:r>
                </w:p>
              </w:tc>
            </w:tr>
            <w:tr>
              <w:tblPrEx>
                <w:tblW w:w="0" w:type="auto"/>
                <w:jc w:val="center"/>
                <w:tblLook w:val="04A0"/>
              </w:tblPrEx>
              <w:trPr>
                <w:trHeight w:val="314"/>
                <w:jc w:val="center"/>
              </w:trPr>
              <w:tc>
                <w:tcPr>
                  <w:tcW w:w="942" w:type="dxa"/>
                  <w:vMerge/>
                  <w:vAlign w:val="center"/>
                </w:tcPr>
                <w:p w:rsidR="00997F3B">
                  <w:pPr>
                    <w:spacing w:line="240" w:lineRule="auto"/>
                    <w:jc w:val="center"/>
                    <w:rPr>
                      <w:rFonts w:ascii="Times New Roman" w:hAnsi="Times New Roman" w:eastAsiaTheme="minorEastAsia" w:cs="Times New Roman"/>
                      <w:sz w:val="21"/>
                      <w:szCs w:val="21"/>
                    </w:rPr>
                  </w:pPr>
                </w:p>
              </w:tc>
              <w:tc>
                <w:tcPr>
                  <w:tcW w:w="1251" w:type="dxa"/>
                  <w:vMerge/>
                  <w:vAlign w:val="center"/>
                </w:tcPr>
                <w:p w:rsidR="00997F3B">
                  <w:pPr>
                    <w:spacing w:line="240" w:lineRule="auto"/>
                    <w:jc w:val="center"/>
                    <w:rPr>
                      <w:rFonts w:ascii="Times New Roman" w:hAnsi="Times New Roman" w:eastAsiaTheme="minorEastAsia" w:cs="Times New Roman"/>
                      <w:sz w:val="21"/>
                      <w:szCs w:val="21"/>
                    </w:rPr>
                  </w:pPr>
                </w:p>
              </w:tc>
              <w:tc>
                <w:tcPr>
                  <w:tcW w:w="1152"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夜间</w:t>
                  </w:r>
                </w:p>
              </w:tc>
              <w:tc>
                <w:tcPr>
                  <w:tcW w:w="1505"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4</w:t>
                  </w:r>
                  <w:r>
                    <w:rPr>
                      <w:rFonts w:ascii="Times New Roman" w:hAnsi="Times New Roman" w:eastAsiaTheme="minorEastAsia" w:cs="Times New Roman"/>
                      <w:sz w:val="21"/>
                      <w:szCs w:val="21"/>
                    </w:rPr>
                    <w:t>2</w:t>
                  </w:r>
                </w:p>
              </w:tc>
              <w:tc>
                <w:tcPr>
                  <w:tcW w:w="970"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50</w:t>
                  </w:r>
                </w:p>
              </w:tc>
              <w:tc>
                <w:tcPr>
                  <w:tcW w:w="1537"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达标</w:t>
                  </w:r>
                </w:p>
              </w:tc>
            </w:tr>
            <w:tr>
              <w:tblPrEx>
                <w:tblW w:w="0" w:type="auto"/>
                <w:jc w:val="center"/>
                <w:tblLook w:val="04A0"/>
              </w:tblPrEx>
              <w:trPr>
                <w:trHeight w:val="314"/>
                <w:jc w:val="center"/>
              </w:trPr>
              <w:tc>
                <w:tcPr>
                  <w:tcW w:w="942" w:type="dxa"/>
                  <w:vMerge w:val="restart"/>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3#</w:t>
                  </w:r>
                </w:p>
              </w:tc>
              <w:tc>
                <w:tcPr>
                  <w:tcW w:w="1251" w:type="dxa"/>
                  <w:vMerge w:val="restart"/>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厂界南侧</w:t>
                  </w:r>
                </w:p>
              </w:tc>
              <w:tc>
                <w:tcPr>
                  <w:tcW w:w="1152"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昼间</w:t>
                  </w:r>
                </w:p>
              </w:tc>
              <w:tc>
                <w:tcPr>
                  <w:tcW w:w="1505"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5</w:t>
                  </w:r>
                  <w:r>
                    <w:rPr>
                      <w:rFonts w:ascii="Times New Roman" w:hAnsi="Times New Roman" w:eastAsiaTheme="minorEastAsia" w:cs="Times New Roman"/>
                      <w:sz w:val="21"/>
                      <w:szCs w:val="21"/>
                    </w:rPr>
                    <w:t>0</w:t>
                  </w:r>
                </w:p>
              </w:tc>
              <w:tc>
                <w:tcPr>
                  <w:tcW w:w="970"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60</w:t>
                  </w:r>
                </w:p>
              </w:tc>
              <w:tc>
                <w:tcPr>
                  <w:tcW w:w="1537"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达标</w:t>
                  </w:r>
                </w:p>
              </w:tc>
            </w:tr>
            <w:tr>
              <w:tblPrEx>
                <w:tblW w:w="0" w:type="auto"/>
                <w:jc w:val="center"/>
                <w:tblLook w:val="04A0"/>
              </w:tblPrEx>
              <w:trPr>
                <w:trHeight w:val="314"/>
                <w:jc w:val="center"/>
              </w:trPr>
              <w:tc>
                <w:tcPr>
                  <w:tcW w:w="942" w:type="dxa"/>
                  <w:vMerge/>
                  <w:vAlign w:val="center"/>
                </w:tcPr>
                <w:p w:rsidR="00997F3B">
                  <w:pPr>
                    <w:spacing w:line="240" w:lineRule="auto"/>
                    <w:jc w:val="center"/>
                    <w:rPr>
                      <w:rFonts w:ascii="Times New Roman" w:hAnsi="Times New Roman" w:eastAsiaTheme="minorEastAsia" w:cs="Times New Roman"/>
                      <w:sz w:val="21"/>
                      <w:szCs w:val="21"/>
                    </w:rPr>
                  </w:pPr>
                </w:p>
              </w:tc>
              <w:tc>
                <w:tcPr>
                  <w:tcW w:w="1251" w:type="dxa"/>
                  <w:vMerge/>
                  <w:vAlign w:val="center"/>
                </w:tcPr>
                <w:p w:rsidR="00997F3B">
                  <w:pPr>
                    <w:spacing w:line="240" w:lineRule="auto"/>
                    <w:jc w:val="center"/>
                    <w:rPr>
                      <w:rFonts w:ascii="Times New Roman" w:hAnsi="Times New Roman" w:eastAsiaTheme="minorEastAsia" w:cs="Times New Roman"/>
                      <w:sz w:val="21"/>
                      <w:szCs w:val="21"/>
                    </w:rPr>
                  </w:pPr>
                </w:p>
              </w:tc>
              <w:tc>
                <w:tcPr>
                  <w:tcW w:w="1152"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夜间</w:t>
                  </w:r>
                </w:p>
              </w:tc>
              <w:tc>
                <w:tcPr>
                  <w:tcW w:w="1505"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4</w:t>
                  </w:r>
                  <w:r>
                    <w:rPr>
                      <w:rFonts w:ascii="Times New Roman" w:hAnsi="Times New Roman" w:eastAsiaTheme="minorEastAsia" w:cs="Times New Roman"/>
                      <w:sz w:val="21"/>
                      <w:szCs w:val="21"/>
                    </w:rPr>
                    <w:t>1</w:t>
                  </w:r>
                </w:p>
              </w:tc>
              <w:tc>
                <w:tcPr>
                  <w:tcW w:w="970"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50</w:t>
                  </w:r>
                </w:p>
              </w:tc>
              <w:tc>
                <w:tcPr>
                  <w:tcW w:w="1537"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达标</w:t>
                  </w:r>
                </w:p>
              </w:tc>
            </w:tr>
            <w:tr>
              <w:tblPrEx>
                <w:tblW w:w="0" w:type="auto"/>
                <w:jc w:val="center"/>
                <w:tblLook w:val="04A0"/>
              </w:tblPrEx>
              <w:trPr>
                <w:trHeight w:val="314"/>
                <w:jc w:val="center"/>
              </w:trPr>
              <w:tc>
                <w:tcPr>
                  <w:tcW w:w="942"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4#</w:t>
                  </w:r>
                </w:p>
              </w:tc>
              <w:tc>
                <w:tcPr>
                  <w:tcW w:w="1251"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厂界西侧</w:t>
                  </w:r>
                </w:p>
              </w:tc>
              <w:tc>
                <w:tcPr>
                  <w:tcW w:w="1152"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昼间</w:t>
                  </w:r>
                </w:p>
              </w:tc>
              <w:tc>
                <w:tcPr>
                  <w:tcW w:w="1505"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5</w:t>
                  </w:r>
                  <w:r>
                    <w:rPr>
                      <w:rFonts w:ascii="Times New Roman" w:hAnsi="Times New Roman" w:eastAsiaTheme="minorEastAsia" w:cs="Times New Roman"/>
                      <w:sz w:val="21"/>
                      <w:szCs w:val="21"/>
                    </w:rPr>
                    <w:t>3</w:t>
                  </w:r>
                </w:p>
              </w:tc>
              <w:tc>
                <w:tcPr>
                  <w:tcW w:w="970"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60</w:t>
                  </w:r>
                </w:p>
              </w:tc>
              <w:tc>
                <w:tcPr>
                  <w:tcW w:w="1537"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达标</w:t>
                  </w:r>
                </w:p>
              </w:tc>
            </w:tr>
          </w:tbl>
          <w:p/>
        </w:tc>
      </w:tr>
    </w:tbl>
    <w:p>
      <w:pPr>
        <w:sectPr>
          <w:footerReference w:type="default" r:id="rId20"/>
          <w:type w:val="nextPage"/>
          <w:pgSz w:w="11906" w:h="16838"/>
          <w:pgMar w:top="1440" w:right="1800" w:bottom="1440" w:left="1800" w:header="851" w:footer="992" w:gutter="0"/>
          <w:pgNumType w:start="14"/>
          <w:cols w:space="425"/>
          <w:titlePg w:val="0"/>
          <w:docGrid w:type="lines" w:linePitch="312"/>
        </w:sectPr>
      </w:pPr>
    </w:p>
    <w:tbl>
      <w:tblPr>
        <w:tblStyle w:val="TableGrid14"/>
        <w:tblW w:w="9929" w:type="dxa"/>
        <w:tblBorders>
          <w:top w:val="single" w:sz="12" w:space="0" w:color="auto"/>
          <w:left w:val="single" w:sz="12" w:space="0" w:color="auto"/>
          <w:bottom w:val="single" w:sz="12" w:space="0" w:color="auto"/>
          <w:right w:val="single" w:sz="12" w:space="0" w:color="auto"/>
        </w:tblBorders>
        <w:tblLook w:val="04A0"/>
      </w:tblPr>
      <w:tblGrid>
        <w:gridCol w:w="456"/>
        <w:gridCol w:w="9473"/>
      </w:tblGrid>
      <w:tr>
        <w:tblPrEx>
          <w:tblW w:w="9929" w:type="dxa"/>
          <w:tblBorders>
            <w:top w:val="single" w:sz="12" w:space="0" w:color="auto"/>
            <w:left w:val="single" w:sz="12" w:space="0" w:color="auto"/>
            <w:bottom w:val="single" w:sz="12" w:space="0" w:color="auto"/>
            <w:right w:val="single" w:sz="12" w:space="0" w:color="auto"/>
          </w:tblBorders>
          <w:tblLook w:val="04A0"/>
        </w:tblPrEx>
        <w:tc>
          <w:tcPr>
            <w:tcW w:w="456" w:type="dxa"/>
            <w:vAlign w:val="center"/>
          </w:tcPr>
          <w:p/>
        </w:tc>
        <w:tc>
          <w:tcPr>
            <w:tcW w:w="9473" w:type="dxa"/>
            <w:vAlign w:val="center"/>
          </w:tcPr>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2"/>
              <w:gridCol w:w="1251"/>
              <w:gridCol w:w="1152"/>
              <w:gridCol w:w="1505"/>
              <w:gridCol w:w="970"/>
              <w:gridCol w:w="153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324"/>
                <w:jc w:val="center"/>
              </w:trPr>
              <w:tc>
                <w:tcPr>
                  <w:tcW w:w="942" w:type="dxa"/>
                  <w:vAlign w:val="center"/>
                </w:tcPr>
                <w:p w:rsidR="00997F3B">
                  <w:pPr>
                    <w:spacing w:line="240" w:lineRule="auto"/>
                    <w:jc w:val="center"/>
                    <w:rPr>
                      <w:rFonts w:ascii="Times New Roman" w:hAnsi="Times New Roman" w:eastAsiaTheme="minorEastAsia" w:cs="Times New Roman"/>
                      <w:sz w:val="21"/>
                      <w:szCs w:val="21"/>
                    </w:rPr>
                  </w:pPr>
                </w:p>
              </w:tc>
              <w:tc>
                <w:tcPr>
                  <w:tcW w:w="1251" w:type="dxa"/>
                  <w:vAlign w:val="center"/>
                </w:tcPr>
                <w:p w:rsidR="00997F3B">
                  <w:pPr>
                    <w:spacing w:line="240" w:lineRule="auto"/>
                    <w:jc w:val="center"/>
                    <w:rPr>
                      <w:rFonts w:ascii="Times New Roman" w:hAnsi="Times New Roman" w:eastAsiaTheme="minorEastAsia" w:cs="Times New Roman"/>
                      <w:sz w:val="21"/>
                      <w:szCs w:val="21"/>
                    </w:rPr>
                  </w:pPr>
                </w:p>
              </w:tc>
              <w:tc>
                <w:tcPr>
                  <w:tcW w:w="1152"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夜间</w:t>
                  </w:r>
                </w:p>
              </w:tc>
              <w:tc>
                <w:tcPr>
                  <w:tcW w:w="1505"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4</w:t>
                  </w:r>
                  <w:r>
                    <w:rPr>
                      <w:rFonts w:ascii="Times New Roman" w:hAnsi="Times New Roman" w:eastAsiaTheme="minorEastAsia" w:cs="Times New Roman"/>
                      <w:sz w:val="21"/>
                      <w:szCs w:val="21"/>
                    </w:rPr>
                    <w:t>5</w:t>
                  </w:r>
                </w:p>
              </w:tc>
              <w:tc>
                <w:tcPr>
                  <w:tcW w:w="970"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50</w:t>
                  </w:r>
                </w:p>
              </w:tc>
              <w:tc>
                <w:tcPr>
                  <w:tcW w:w="1537"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达标</w:t>
                  </w:r>
                </w:p>
              </w:tc>
            </w:tr>
          </w:tbl>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由表</w:t>
            </w:r>
            <w:r>
              <w:rPr>
                <w:rFonts w:ascii="Times New Roman" w:hAnsi="Times New Roman" w:eastAsiaTheme="minorEastAsia" w:cs="Times New Roman"/>
              </w:rPr>
              <w:t>3-1</w:t>
            </w:r>
            <w:r>
              <w:rPr>
                <w:rFonts w:ascii="Times New Roman" w:hAnsi="Times New Roman" w:eastAsiaTheme="minorEastAsia" w:cs="Times New Roman"/>
              </w:rPr>
              <w:t>可知，项目厂界四周区域昼夜间环境噪声能满足《声环境质量标准》</w:t>
            </w:r>
            <w:r>
              <w:rPr>
                <w:rFonts w:ascii="Times New Roman" w:hAnsi="Times New Roman" w:eastAsiaTheme="minorEastAsia" w:cs="Times New Roman"/>
              </w:rPr>
              <w:t>(GB3096-2008)</w:t>
            </w:r>
            <w:r>
              <w:rPr>
                <w:rFonts w:ascii="Times New Roman" w:hAnsi="Times New Roman" w:eastAsiaTheme="minorEastAsia" w:cs="Times New Roman"/>
              </w:rPr>
              <w:t>中的</w:t>
            </w:r>
            <w:r>
              <w:rPr>
                <w:rFonts w:ascii="Times New Roman" w:hAnsi="Times New Roman" w:eastAsiaTheme="minorEastAsia" w:cs="Times New Roman"/>
              </w:rPr>
              <w:t>2</w:t>
            </w:r>
            <w:r>
              <w:rPr>
                <w:rFonts w:ascii="Times New Roman" w:hAnsi="Times New Roman" w:eastAsiaTheme="minorEastAsia" w:cs="Times New Roman"/>
              </w:rPr>
              <w:t>类标准，即昼间</w:t>
            </w:r>
            <w:r>
              <w:rPr>
                <w:rFonts w:ascii="Times New Roman" w:hAnsi="Times New Roman" w:eastAsiaTheme="minorEastAsia" w:cs="Times New Roman"/>
              </w:rPr>
              <w:t>≤60dB</w:t>
            </w:r>
            <w:r>
              <w:rPr>
                <w:rFonts w:ascii="Times New Roman" w:hAnsi="Times New Roman" w:eastAsiaTheme="minorEastAsia" w:cs="Times New Roman"/>
              </w:rPr>
              <w:t>（</w:t>
            </w:r>
            <w:r>
              <w:rPr>
                <w:rFonts w:ascii="Times New Roman" w:hAnsi="Times New Roman" w:eastAsiaTheme="minorEastAsia" w:cs="Times New Roman"/>
              </w:rPr>
              <w:t>A</w:t>
            </w:r>
            <w:r>
              <w:rPr>
                <w:rFonts w:ascii="Times New Roman" w:hAnsi="Times New Roman" w:eastAsiaTheme="minorEastAsia" w:cs="Times New Roman"/>
              </w:rPr>
              <w:t>），夜间</w:t>
            </w:r>
            <w:r>
              <w:rPr>
                <w:rFonts w:ascii="Times New Roman" w:hAnsi="Times New Roman" w:eastAsiaTheme="minorEastAsia" w:cs="Times New Roman"/>
              </w:rPr>
              <w:t>≤50dB</w:t>
            </w:r>
            <w:r>
              <w:rPr>
                <w:rFonts w:ascii="Times New Roman" w:hAnsi="Times New Roman" w:eastAsiaTheme="minorEastAsia" w:cs="Times New Roman"/>
              </w:rPr>
              <w:t>（</w:t>
            </w:r>
            <w:r>
              <w:rPr>
                <w:rFonts w:ascii="Times New Roman" w:hAnsi="Times New Roman" w:eastAsiaTheme="minorEastAsia" w:cs="Times New Roman"/>
              </w:rPr>
              <w:t>A</w:t>
            </w:r>
            <w:r>
              <w:rPr>
                <w:rFonts w:ascii="Times New Roman" w:hAnsi="Times New Roman" w:eastAsiaTheme="minorEastAsia" w:cs="Times New Roman"/>
              </w:rPr>
              <w:t>）</w:t>
            </w:r>
            <w:r>
              <w:rPr>
                <w:rFonts w:ascii="Times New Roman" w:hAnsi="Times New Roman" w:eastAsiaTheme="minorEastAsia" w:cs="Times New Roman"/>
              </w:rPr>
              <w:t>.</w:t>
            </w:r>
          </w:p>
        </w:tc>
      </w:tr>
      <w:tr>
        <w:tblPrEx>
          <w:tblW w:w="9929" w:type="dxa"/>
          <w:tblLook w:val="04A0"/>
        </w:tblPrEx>
        <w:tc>
          <w:tcPr>
            <w:tcW w:w="456"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环境保护目标</w:t>
            </w:r>
          </w:p>
        </w:tc>
        <w:tc>
          <w:tcPr>
            <w:tcW w:w="9473" w:type="dxa"/>
            <w:vAlign w:val="center"/>
          </w:tcPr>
          <w:p w:rsidR="00997F3B">
            <w:pPr>
              <w:numPr>
                <w:ilvl w:val="0"/>
                <w:numId w:val="4"/>
              </w:numPr>
              <w:jc w:val="left"/>
              <w:rPr>
                <w:rFonts w:ascii="Times New Roman" w:hAnsi="Times New Roman" w:eastAsiaTheme="minorEastAsia" w:cs="Times New Roman"/>
                <w:b/>
                <w:bCs/>
              </w:rPr>
            </w:pPr>
            <w:r>
              <w:rPr>
                <w:rFonts w:ascii="Times New Roman" w:hAnsi="Times New Roman" w:eastAsiaTheme="minorEastAsia" w:cs="Times New Roman"/>
                <w:b/>
                <w:bCs/>
              </w:rPr>
              <w:t>大气环境</w:t>
            </w:r>
          </w:p>
          <w:p w:rsidR="00997F3B">
            <w:pPr>
              <w:ind w:firstLine="480" w:firstLineChars="200"/>
            </w:pPr>
            <w:r>
              <w:rPr>
                <w:rFonts w:hint="eastAsia"/>
              </w:rPr>
              <w:t>项目</w:t>
            </w:r>
            <w:r>
              <w:rPr>
                <w:rFonts w:hint="eastAsia"/>
              </w:rPr>
              <w:t>500m</w:t>
            </w:r>
            <w:r>
              <w:rPr>
                <w:rFonts w:hint="eastAsia"/>
              </w:rPr>
              <w:t>范围内无自然保护区、风景名胜区、居住区、文化区和农村地区中人群较集中的区域。</w:t>
            </w:r>
          </w:p>
          <w:p w:rsidR="00997F3B">
            <w:pPr>
              <w:rPr>
                <w:rFonts w:ascii="Times New Roman" w:hAnsi="Times New Roman" w:eastAsiaTheme="minorEastAsia" w:cs="Times New Roman"/>
                <w:b/>
                <w:bCs/>
              </w:rPr>
            </w:pPr>
            <w:r>
              <w:rPr>
                <w:rFonts w:ascii="Times New Roman" w:hAnsi="Times New Roman" w:eastAsiaTheme="minorEastAsia" w:cs="Times New Roman"/>
                <w:b/>
                <w:bCs/>
              </w:rPr>
              <w:t>2</w:t>
            </w:r>
            <w:r>
              <w:rPr>
                <w:rFonts w:ascii="Times New Roman" w:hAnsi="Times New Roman" w:eastAsiaTheme="minorEastAsia" w:cs="Times New Roman"/>
                <w:b/>
                <w:bCs/>
              </w:rPr>
              <w:t>、声环境</w:t>
            </w:r>
          </w:p>
          <w:p w:rsidR="00997F3B">
            <w:pPr>
              <w:ind w:firstLine="480" w:firstLineChars="200"/>
              <w:rPr>
                <w:rFonts w:ascii="Times New Roman" w:hAnsi="Times New Roman" w:eastAsiaTheme="minorEastAsia" w:cs="Times New Roman"/>
              </w:rPr>
            </w:pPr>
            <w:r>
              <w:rPr>
                <w:rFonts w:ascii="Times New Roman" w:hAnsi="Times New Roman" w:eastAsiaTheme="minorEastAsia" w:cs="Times New Roman"/>
              </w:rPr>
              <w:t>项目</w:t>
            </w:r>
            <w:r>
              <w:rPr>
                <w:rFonts w:ascii="Times New Roman" w:hAnsi="Times New Roman" w:eastAsiaTheme="minorEastAsia" w:cs="Times New Roman"/>
              </w:rPr>
              <w:t>50m</w:t>
            </w:r>
            <w:r>
              <w:rPr>
                <w:rFonts w:ascii="Times New Roman" w:hAnsi="Times New Roman" w:eastAsiaTheme="minorEastAsia" w:cs="Times New Roman"/>
              </w:rPr>
              <w:t>范围内无声环境保护目标。</w:t>
            </w:r>
          </w:p>
          <w:p w:rsidR="00997F3B">
            <w:pPr>
              <w:numPr>
                <w:ilvl w:val="0"/>
                <w:numId w:val="4"/>
              </w:numPr>
              <w:rPr>
                <w:rFonts w:ascii="Times New Roman" w:hAnsi="Times New Roman" w:eastAsiaTheme="minorEastAsia" w:cs="Times New Roman"/>
                <w:b/>
                <w:bCs/>
              </w:rPr>
            </w:pPr>
            <w:r>
              <w:rPr>
                <w:rFonts w:ascii="Times New Roman" w:hAnsi="Times New Roman" w:eastAsiaTheme="minorEastAsia" w:cs="Times New Roman"/>
                <w:b/>
                <w:bCs/>
              </w:rPr>
              <w:t>地表水环境</w:t>
            </w:r>
          </w:p>
          <w:p w:rsidR="00997F3B">
            <w:pPr>
              <w:ind w:firstLine="480"/>
              <w:rPr>
                <w:rFonts w:ascii="Times New Roman" w:hAnsi="Times New Roman" w:cs="Times New Roman"/>
              </w:rPr>
            </w:pPr>
            <w:r>
              <w:rPr>
                <w:rFonts w:ascii="Times New Roman" w:hAnsi="Times New Roman" w:cs="Times New Roman"/>
              </w:rPr>
              <w:t>项目周边地表水环境见表</w:t>
            </w:r>
            <w:r>
              <w:rPr>
                <w:rFonts w:ascii="Times New Roman" w:hAnsi="Times New Roman" w:cs="Times New Roman"/>
              </w:rPr>
              <w:t>3-</w:t>
            </w:r>
            <w:r>
              <w:rPr>
                <w:rFonts w:ascii="Times New Roman" w:hAnsi="Times New Roman" w:cs="Times New Roman" w:hint="eastAsia"/>
              </w:rPr>
              <w:t>2</w:t>
            </w:r>
            <w:r>
              <w:rPr>
                <w:rFonts w:ascii="Times New Roman" w:hAnsi="Times New Roman" w:cs="Times New Roman"/>
              </w:rPr>
              <w:t>。</w:t>
            </w:r>
          </w:p>
          <w:p w:rsidR="00997F3B">
            <w:pPr>
              <w:jc w:val="center"/>
              <w:rPr>
                <w:rFonts w:ascii="Times New Roman" w:hAnsi="Times New Roman" w:cs="Times New Roman"/>
                <w:b/>
                <w:bCs/>
              </w:rPr>
            </w:pPr>
            <w:r>
              <w:rPr>
                <w:rFonts w:ascii="Times New Roman" w:hAnsi="Times New Roman" w:cs="Times New Roman"/>
                <w:b/>
                <w:bCs/>
              </w:rPr>
              <w:t>表</w:t>
            </w:r>
            <w:r>
              <w:rPr>
                <w:rFonts w:ascii="Times New Roman" w:hAnsi="Times New Roman" w:cs="Times New Roman"/>
                <w:b/>
                <w:bCs/>
              </w:rPr>
              <w:t>3-</w:t>
            </w:r>
            <w:r>
              <w:rPr>
                <w:rFonts w:ascii="Times New Roman" w:hAnsi="Times New Roman" w:cs="Times New Roman" w:hint="eastAsia"/>
                <w:b/>
                <w:bCs/>
              </w:rPr>
              <w:t>2</w:t>
            </w:r>
            <w:r>
              <w:rPr>
                <w:rFonts w:ascii="Times New Roman" w:hAnsi="Times New Roman" w:cs="Times New Roman"/>
                <w:b/>
                <w:bCs/>
              </w:rPr>
              <w:t>地表水环境保护目标</w:t>
            </w:r>
          </w:p>
          <w:tbl>
            <w:tblPr>
              <w:tblStyle w:val="TableGrid14"/>
              <w:tblW w:w="7977" w:type="dxa"/>
              <w:jc w:val="center"/>
              <w:tblLook w:val="04A0"/>
            </w:tblPr>
            <w:tblGrid>
              <w:gridCol w:w="1398"/>
              <w:gridCol w:w="1398"/>
              <w:gridCol w:w="1398"/>
              <w:gridCol w:w="1459"/>
              <w:gridCol w:w="2324"/>
            </w:tblGrid>
            <w:tr>
              <w:tblPrEx>
                <w:tblW w:w="7977" w:type="dxa"/>
                <w:jc w:val="center"/>
                <w:tblLook w:val="04A0"/>
              </w:tblPrEx>
              <w:trPr>
                <w:trHeight w:val="561"/>
                <w:jc w:val="center"/>
              </w:trPr>
              <w:tc>
                <w:tcPr>
                  <w:tcW w:w="1398"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环境要素</w:t>
                  </w:r>
                </w:p>
              </w:tc>
              <w:tc>
                <w:tcPr>
                  <w:tcW w:w="1398"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环境保护目标</w:t>
                  </w:r>
                </w:p>
              </w:tc>
              <w:tc>
                <w:tcPr>
                  <w:tcW w:w="1398"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相对项目方位</w:t>
                  </w:r>
                </w:p>
              </w:tc>
              <w:tc>
                <w:tcPr>
                  <w:tcW w:w="1459"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最近距离</w:t>
                  </w:r>
                </w:p>
              </w:tc>
              <w:tc>
                <w:tcPr>
                  <w:tcW w:w="2324"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环境功能</w:t>
                  </w:r>
                </w:p>
              </w:tc>
            </w:tr>
            <w:tr>
              <w:tblPrEx>
                <w:tblW w:w="7977" w:type="dxa"/>
                <w:jc w:val="center"/>
                <w:tblLook w:val="04A0"/>
              </w:tblPrEx>
              <w:trPr>
                <w:trHeight w:val="927"/>
                <w:jc w:val="center"/>
              </w:trPr>
              <w:tc>
                <w:tcPr>
                  <w:tcW w:w="1398"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水环境</w:t>
                  </w:r>
                </w:p>
              </w:tc>
              <w:tc>
                <w:tcPr>
                  <w:tcW w:w="1398"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基安溪</w:t>
                  </w:r>
                </w:p>
              </w:tc>
              <w:tc>
                <w:tcPr>
                  <w:tcW w:w="1398"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E</w:t>
                  </w:r>
                </w:p>
              </w:tc>
              <w:tc>
                <w:tcPr>
                  <w:tcW w:w="1459"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53</w:t>
                  </w:r>
                  <w:r>
                    <w:rPr>
                      <w:rFonts w:ascii="Times New Roman" w:hAnsi="Times New Roman" w:cs="Times New Roman"/>
                      <w:sz w:val="21"/>
                      <w:szCs w:val="21"/>
                    </w:rPr>
                    <w:t>m</w:t>
                  </w:r>
                </w:p>
              </w:tc>
              <w:tc>
                <w:tcPr>
                  <w:tcW w:w="2324"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《地表水环境质量标准》（</w:t>
                  </w:r>
                  <w:r>
                    <w:rPr>
                      <w:rFonts w:ascii="Times New Roman" w:hAnsi="Times New Roman" w:cs="Times New Roman"/>
                      <w:sz w:val="21"/>
                      <w:szCs w:val="21"/>
                    </w:rPr>
                    <w:t>GB3838-2002</w:t>
                  </w:r>
                  <w:r>
                    <w:rPr>
                      <w:rFonts w:ascii="Times New Roman" w:hAnsi="Times New Roman" w:cs="Times New Roman"/>
                      <w:sz w:val="21"/>
                      <w:szCs w:val="21"/>
                    </w:rPr>
                    <w:t>）</w:t>
                  </w:r>
                  <w:r>
                    <w:rPr>
                      <w:rFonts w:ascii="Times New Roman" w:hAnsi="Times New Roman" w:cs="Times New Roman"/>
                      <w:sz w:val="21"/>
                      <w:szCs w:val="21"/>
                    </w:rPr>
                    <w:t>Ⅲ</w:t>
                  </w:r>
                  <w:r>
                    <w:rPr>
                      <w:rFonts w:ascii="Times New Roman" w:hAnsi="Times New Roman" w:cs="Times New Roman"/>
                      <w:sz w:val="21"/>
                      <w:szCs w:val="21"/>
                    </w:rPr>
                    <w:t>类水域</w:t>
                  </w:r>
                </w:p>
              </w:tc>
            </w:tr>
          </w:tbl>
          <w:p w:rsidR="00997F3B">
            <w:pPr>
              <w:rPr>
                <w:rFonts w:ascii="Times New Roman" w:hAnsi="Times New Roman" w:eastAsiaTheme="minorEastAsia" w:cs="Times New Roman"/>
              </w:rPr>
            </w:pPr>
            <w:r>
              <w:rPr>
                <w:rFonts w:ascii="Times New Roman" w:hAnsi="Times New Roman" w:eastAsiaTheme="minorEastAsia" w:cs="Times New Roman"/>
                <w:b/>
                <w:bCs/>
              </w:rPr>
              <w:t>4</w:t>
            </w:r>
            <w:r>
              <w:rPr>
                <w:rFonts w:ascii="Times New Roman" w:hAnsi="Times New Roman" w:eastAsiaTheme="minorEastAsia" w:cs="Times New Roman"/>
                <w:b/>
                <w:bCs/>
              </w:rPr>
              <w:t>、地下水环境</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本项目厂界外</w:t>
            </w:r>
            <w:r>
              <w:rPr>
                <w:rFonts w:ascii="Times New Roman" w:hAnsi="Times New Roman" w:eastAsiaTheme="minorEastAsia" w:cs="Times New Roman"/>
              </w:rPr>
              <w:t xml:space="preserve"> 500 </w:t>
            </w:r>
            <w:r>
              <w:rPr>
                <w:rFonts w:ascii="Times New Roman" w:hAnsi="Times New Roman" w:eastAsiaTheme="minorEastAsia" w:cs="Times New Roman"/>
              </w:rPr>
              <w:t>米范围内无地下水集中式饮用水水源和热水、矿泉水、温泉等特殊地下水资源。</w:t>
            </w:r>
          </w:p>
        </w:tc>
      </w:tr>
      <w:tr>
        <w:tblPrEx>
          <w:tblW w:w="9929" w:type="dxa"/>
          <w:tblLook w:val="04A0"/>
        </w:tblPrEx>
        <w:tc>
          <w:tcPr>
            <w:tcW w:w="456"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污染物排放控制标准</w:t>
            </w:r>
          </w:p>
        </w:tc>
        <w:tc>
          <w:tcPr>
            <w:tcW w:w="9473" w:type="dxa"/>
            <w:vAlign w:val="center"/>
          </w:tcPr>
          <w:p w:rsidR="00997F3B">
            <w:pPr>
              <w:jc w:val="left"/>
              <w:rPr>
                <w:rFonts w:ascii="Times New Roman" w:hAnsi="Times New Roman" w:eastAsiaTheme="minorEastAsia" w:cs="Times New Roman"/>
                <w:b/>
                <w:bCs/>
              </w:rPr>
            </w:pPr>
            <w:r>
              <w:rPr>
                <w:rFonts w:ascii="Times New Roman" w:hAnsi="Times New Roman" w:eastAsiaTheme="minorEastAsia" w:cs="Times New Roman"/>
                <w:b/>
                <w:bCs/>
              </w:rPr>
              <w:t>1</w:t>
            </w:r>
            <w:r>
              <w:rPr>
                <w:rFonts w:ascii="Times New Roman" w:hAnsi="Times New Roman" w:eastAsiaTheme="minorEastAsia" w:cs="Times New Roman"/>
                <w:b/>
                <w:bCs/>
              </w:rPr>
              <w:t>、废水排放标准</w:t>
            </w:r>
          </w:p>
          <w:p w:rsidR="00997F3B">
            <w:pPr>
              <w:ind w:firstLine="480" w:firstLineChars="200"/>
              <w:rPr>
                <w:rFonts w:ascii="Times New Roman" w:hAnsi="Times New Roman" w:cs="Times New Roman"/>
              </w:rPr>
            </w:pPr>
            <w:r>
              <w:rPr>
                <w:rFonts w:ascii="Times New Roman" w:hAnsi="Times New Roman" w:cs="Times New Roman"/>
              </w:rPr>
              <w:t>本项目运营期生活污水经化粪池预处理后</w:t>
            </w:r>
            <w:r>
              <w:rPr>
                <w:rFonts w:ascii="Times New Roman" w:hAnsi="Times New Roman" w:cs="Times New Roman"/>
              </w:rPr>
              <w:t>用于周边林地灌溉，不外排</w:t>
            </w:r>
            <w:r>
              <w:rPr>
                <w:rFonts w:ascii="Times New Roman" w:hAnsi="Times New Roman" w:cs="Times New Roman"/>
              </w:rPr>
              <w:t>，</w:t>
            </w:r>
            <w:r>
              <w:rPr>
                <w:rFonts w:ascii="Times New Roman" w:hAnsi="Times New Roman" w:cs="Times New Roman"/>
              </w:rPr>
              <w:t>执行《农田灌溉水质标准》（</w:t>
            </w:r>
            <w:r>
              <w:rPr>
                <w:rFonts w:ascii="Times New Roman" w:hAnsi="Times New Roman" w:cs="Times New Roman"/>
              </w:rPr>
              <w:t>GB5084-2021</w:t>
            </w:r>
            <w:r>
              <w:rPr>
                <w:rFonts w:ascii="Times New Roman" w:hAnsi="Times New Roman" w:cs="Times New Roman"/>
              </w:rPr>
              <w:t>）中表</w:t>
            </w:r>
            <w:r>
              <w:rPr>
                <w:rFonts w:ascii="Times New Roman" w:hAnsi="Times New Roman" w:cs="Times New Roman"/>
              </w:rPr>
              <w:t>1</w:t>
            </w:r>
            <w:r>
              <w:rPr>
                <w:rFonts w:ascii="Times New Roman" w:hAnsi="Times New Roman" w:cs="Times New Roman"/>
              </w:rPr>
              <w:t>中旱作灌溉的标准。</w:t>
            </w:r>
          </w:p>
          <w:p w:rsidR="00997F3B">
            <w:pPr>
              <w:jc w:val="center"/>
              <w:rPr>
                <w:rFonts w:ascii="Times New Roman" w:hAnsi="Times New Roman" w:cs="Times New Roman"/>
                <w:b/>
                <w:bCs/>
              </w:rPr>
            </w:pPr>
            <w:r>
              <w:rPr>
                <w:rFonts w:ascii="Times New Roman" w:hAnsi="Times New Roman" w:cs="Times New Roman"/>
                <w:b/>
                <w:bCs/>
              </w:rPr>
              <w:t>表</w:t>
            </w:r>
            <w:r>
              <w:rPr>
                <w:rFonts w:ascii="Times New Roman" w:hAnsi="Times New Roman" w:cs="Times New Roman"/>
                <w:b/>
                <w:bCs/>
              </w:rPr>
              <w:t xml:space="preserve"> </w:t>
            </w:r>
            <w:r>
              <w:rPr>
                <w:rFonts w:ascii="Times New Roman" w:hAnsi="Times New Roman" w:cs="Times New Roman"/>
                <w:b/>
                <w:bCs/>
              </w:rPr>
              <w:t>3-</w:t>
            </w:r>
            <w:r>
              <w:rPr>
                <w:rFonts w:ascii="Times New Roman" w:hAnsi="Times New Roman" w:cs="Times New Roman" w:hint="eastAsia"/>
                <w:b/>
                <w:bCs/>
              </w:rPr>
              <w:t>3</w:t>
            </w:r>
            <w:r>
              <w:rPr>
                <w:rFonts w:ascii="Times New Roman" w:hAnsi="Times New Roman" w:cs="Times New Roman"/>
                <w:b/>
                <w:bCs/>
              </w:rPr>
              <w:t>《农田灌溉水质标准》（摘录）单位：</w:t>
            </w:r>
            <w:r>
              <w:rPr>
                <w:rFonts w:ascii="Times New Roman" w:hAnsi="Times New Roman" w:cs="Times New Roman"/>
                <w:b/>
                <w:bCs/>
              </w:rPr>
              <w:t>mg/</w:t>
            </w:r>
            <w:r>
              <w:rPr>
                <w:rFonts w:ascii="Times New Roman" w:hAnsi="Times New Roman" w:cs="Times New Roman"/>
                <w:b/>
                <w:bCs/>
              </w:rPr>
              <w:t>m³</w:t>
            </w:r>
          </w:p>
          <w:tbl>
            <w:tblPr>
              <w:tblStyle w:val="TableGrid14"/>
              <w:tblW w:w="9247" w:type="dxa"/>
              <w:jc w:val="center"/>
              <w:tblLook w:val="04A0"/>
            </w:tblPr>
            <w:tblGrid>
              <w:gridCol w:w="1930"/>
              <w:gridCol w:w="1213"/>
              <w:gridCol w:w="1112"/>
              <w:gridCol w:w="1117"/>
              <w:gridCol w:w="1292"/>
              <w:gridCol w:w="2583"/>
            </w:tblGrid>
            <w:tr>
              <w:tblPrEx>
                <w:tblW w:w="9247" w:type="dxa"/>
                <w:jc w:val="center"/>
                <w:tblLook w:val="04A0"/>
              </w:tblPrEx>
              <w:trPr>
                <w:trHeight w:val="287"/>
                <w:jc w:val="center"/>
              </w:trPr>
              <w:tc>
                <w:tcPr>
                  <w:tcW w:w="1930"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项目</w:t>
                  </w:r>
                </w:p>
              </w:tc>
              <w:tc>
                <w:tcPr>
                  <w:tcW w:w="1213"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pH</w:t>
                  </w:r>
                </w:p>
              </w:tc>
              <w:tc>
                <w:tcPr>
                  <w:tcW w:w="1112"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悬浮物</w:t>
                  </w:r>
                </w:p>
              </w:tc>
              <w:tc>
                <w:tcPr>
                  <w:tcW w:w="1117"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COD</w:t>
                  </w:r>
                </w:p>
              </w:tc>
              <w:tc>
                <w:tcPr>
                  <w:tcW w:w="1292"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BOD</w:t>
                  </w:r>
                  <w:r>
                    <w:rPr>
                      <w:rFonts w:ascii="Times New Roman" w:hAnsi="Times New Roman" w:cs="Times New Roman"/>
                      <w:sz w:val="21"/>
                      <w:szCs w:val="21"/>
                      <w:vertAlign w:val="subscript"/>
                    </w:rPr>
                    <w:t>5</w:t>
                  </w:r>
                </w:p>
              </w:tc>
              <w:tc>
                <w:tcPr>
                  <w:tcW w:w="2583"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粪大肠杆菌群</w:t>
                  </w:r>
                </w:p>
              </w:tc>
            </w:tr>
            <w:tr>
              <w:tblPrEx>
                <w:tblW w:w="9247" w:type="dxa"/>
                <w:jc w:val="center"/>
                <w:tblLook w:val="04A0"/>
              </w:tblPrEx>
              <w:trPr>
                <w:jc w:val="center"/>
              </w:trPr>
              <w:tc>
                <w:tcPr>
                  <w:tcW w:w="1930"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标准值</w:t>
                  </w:r>
                </w:p>
              </w:tc>
              <w:tc>
                <w:tcPr>
                  <w:tcW w:w="1213"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5.5~8.5</w:t>
                  </w:r>
                </w:p>
              </w:tc>
              <w:tc>
                <w:tcPr>
                  <w:tcW w:w="1112"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100</w:t>
                  </w:r>
                </w:p>
              </w:tc>
              <w:tc>
                <w:tcPr>
                  <w:tcW w:w="1117"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200</w:t>
                  </w:r>
                </w:p>
              </w:tc>
              <w:tc>
                <w:tcPr>
                  <w:tcW w:w="1292"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100</w:t>
                  </w:r>
                </w:p>
              </w:tc>
              <w:tc>
                <w:tcPr>
                  <w:tcW w:w="2583" w:type="dxa"/>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40000</w:t>
                  </w:r>
                  <w:r>
                    <w:rPr>
                      <w:rFonts w:ascii="Times New Roman" w:hAnsi="Times New Roman" w:cs="Times New Roman"/>
                      <w:sz w:val="21"/>
                      <w:szCs w:val="21"/>
                    </w:rPr>
                    <w:t>（</w:t>
                  </w:r>
                  <w:r>
                    <w:rPr>
                      <w:rFonts w:ascii="Times New Roman" w:hAnsi="Times New Roman" w:cs="Times New Roman"/>
                      <w:sz w:val="21"/>
                      <w:szCs w:val="21"/>
                    </w:rPr>
                    <w:t>MPN/L</w:t>
                  </w:r>
                  <w:r>
                    <w:rPr>
                      <w:rFonts w:ascii="Times New Roman" w:hAnsi="Times New Roman" w:cs="Times New Roman"/>
                      <w:sz w:val="21"/>
                      <w:szCs w:val="21"/>
                    </w:rPr>
                    <w:t>）</w:t>
                  </w:r>
                </w:p>
              </w:tc>
            </w:tr>
          </w:tbl>
          <w:p w:rsidR="00997F3B">
            <w:pPr>
              <w:jc w:val="left"/>
              <w:rPr>
                <w:rFonts w:ascii="Times New Roman" w:hAnsi="Times New Roman" w:eastAsiaTheme="minorEastAsia" w:cs="Times New Roman"/>
                <w:b/>
                <w:bCs/>
              </w:rPr>
            </w:pPr>
            <w:r>
              <w:rPr>
                <w:rFonts w:ascii="Times New Roman" w:hAnsi="Times New Roman" w:eastAsiaTheme="minorEastAsia" w:cs="Times New Roman"/>
                <w:b/>
                <w:bCs/>
              </w:rPr>
              <w:t>2</w:t>
            </w:r>
            <w:r>
              <w:rPr>
                <w:rFonts w:ascii="Times New Roman" w:hAnsi="Times New Roman" w:eastAsiaTheme="minorEastAsia" w:cs="Times New Roman"/>
                <w:b/>
                <w:bCs/>
              </w:rPr>
              <w:t>、废气排放标准</w:t>
            </w:r>
          </w:p>
          <w:p w:rsidR="00997F3B">
            <w:pPr>
              <w:ind w:firstLine="480" w:firstLineChars="200"/>
              <w:rPr>
                <w:rFonts w:ascii="Times New Roman" w:hAnsi="Times New Roman" w:cs="Times New Roman"/>
              </w:rPr>
            </w:pPr>
            <w:r>
              <w:rPr>
                <w:rFonts w:ascii="Times New Roman" w:hAnsi="Times New Roman" w:cs="Times New Roman"/>
              </w:rPr>
              <w:t>项目运营期颗粒物执行《大气污染物综合排放标准》（</w:t>
            </w:r>
            <w:r>
              <w:rPr>
                <w:rFonts w:ascii="Times New Roman" w:hAnsi="Times New Roman" w:cs="Times New Roman"/>
              </w:rPr>
              <w:t>GB16297-1996</w:t>
            </w:r>
            <w:r>
              <w:rPr>
                <w:rFonts w:ascii="Times New Roman" w:hAnsi="Times New Roman" w:cs="Times New Roman"/>
              </w:rPr>
              <w:t>）表</w:t>
            </w:r>
            <w:r>
              <w:rPr>
                <w:rFonts w:ascii="Times New Roman" w:hAnsi="Times New Roman" w:cs="Times New Roman"/>
              </w:rPr>
              <w:t>2</w:t>
            </w:r>
            <w:r>
              <w:rPr>
                <w:rFonts w:ascii="Times New Roman" w:hAnsi="Times New Roman" w:cs="Times New Roman"/>
              </w:rPr>
              <w:t>中二级标准，具体详见表</w:t>
            </w:r>
            <w:r>
              <w:rPr>
                <w:rFonts w:ascii="Times New Roman" w:hAnsi="Times New Roman" w:cs="Times New Roman"/>
              </w:rPr>
              <w:t>3-</w:t>
            </w:r>
            <w:r>
              <w:rPr>
                <w:rFonts w:ascii="Times New Roman" w:hAnsi="Times New Roman" w:cs="Times New Roman" w:hint="eastAsia"/>
              </w:rPr>
              <w:t>4</w:t>
            </w:r>
            <w:r>
              <w:rPr>
                <w:rFonts w:ascii="Times New Roman" w:hAnsi="Times New Roman" w:cs="Times New Roman"/>
              </w:rPr>
              <w:t>,</w:t>
            </w:r>
            <w:r>
              <w:rPr>
                <w:rFonts w:ascii="Times New Roman" w:hAnsi="Times New Roman" w:cs="Times New Roman"/>
              </w:rPr>
              <w:t>项目油烟废气排放执行《饮食业油烟排放标准》（试行）（</w:t>
            </w:r>
            <w:r>
              <w:rPr>
                <w:rFonts w:ascii="Times New Roman" w:hAnsi="Times New Roman" w:cs="Times New Roman"/>
              </w:rPr>
              <w:t>GB18483-2001</w:t>
            </w:r>
            <w:r>
              <w:rPr>
                <w:rFonts w:ascii="Times New Roman" w:hAnsi="Times New Roman" w:cs="Times New Roman"/>
              </w:rPr>
              <w:t>）中表</w:t>
            </w:r>
            <w:r>
              <w:rPr>
                <w:rFonts w:ascii="Times New Roman" w:hAnsi="Times New Roman" w:cs="Times New Roman"/>
              </w:rPr>
              <w:t>2“</w:t>
            </w:r>
            <w:r>
              <w:rPr>
                <w:rFonts w:ascii="Times New Roman" w:hAnsi="Times New Roman" w:cs="Times New Roman"/>
              </w:rPr>
              <w:t>油烟废气最高允许排放浓度</w:t>
            </w:r>
            <w:r>
              <w:rPr>
                <w:rFonts w:ascii="Times New Roman" w:hAnsi="Times New Roman" w:cs="Times New Roman"/>
              </w:rPr>
              <w:t>2.0mg/m³</w:t>
            </w:r>
            <w:r>
              <w:rPr>
                <w:rFonts w:ascii="Times New Roman" w:hAnsi="Times New Roman" w:cs="Times New Roman"/>
              </w:rPr>
              <w:t>、净化设施最低去除效率</w:t>
            </w:r>
            <w:r>
              <w:rPr>
                <w:rFonts w:ascii="Times New Roman" w:hAnsi="Times New Roman" w:cs="Times New Roman"/>
              </w:rPr>
              <w:t>60%”</w:t>
            </w:r>
            <w:r>
              <w:rPr>
                <w:rFonts w:ascii="Times New Roman" w:hAnsi="Times New Roman" w:cs="Times New Roman"/>
              </w:rPr>
              <w:t>的排放标准要求，详见表</w:t>
            </w:r>
            <w:r>
              <w:rPr>
                <w:rFonts w:ascii="Times New Roman" w:hAnsi="Times New Roman" w:cs="Times New Roman"/>
              </w:rPr>
              <w:t>3-</w:t>
            </w:r>
            <w:r>
              <w:rPr>
                <w:rFonts w:ascii="Times New Roman" w:hAnsi="Times New Roman" w:cs="Times New Roman" w:hint="eastAsia"/>
              </w:rPr>
              <w:t>5</w:t>
            </w:r>
            <w:r>
              <w:rPr>
                <w:rFonts w:ascii="Times New Roman" w:hAnsi="Times New Roman" w:cs="Times New Roman"/>
              </w:rPr>
              <w:t>；</w:t>
            </w:r>
          </w:p>
          <w:p w:rsidR="00997F3B">
            <w:pPr>
              <w:jc w:val="center"/>
              <w:rPr>
                <w:rFonts w:ascii="Times New Roman" w:hAnsi="Times New Roman" w:cs="Times New Roman"/>
                <w:b/>
                <w:bCs/>
              </w:rPr>
            </w:pPr>
            <w:r>
              <w:rPr>
                <w:rFonts w:ascii="Times New Roman" w:hAnsi="Times New Roman" w:cs="Times New Roman"/>
                <w:b/>
                <w:bCs/>
              </w:rPr>
              <w:t>表</w:t>
            </w:r>
            <w:r>
              <w:rPr>
                <w:rFonts w:ascii="Times New Roman" w:hAnsi="Times New Roman" w:cs="Times New Roman"/>
                <w:b/>
                <w:bCs/>
              </w:rPr>
              <w:t>3</w:t>
            </w:r>
            <w:r>
              <w:rPr>
                <w:rFonts w:ascii="Times New Roman" w:hAnsi="Times New Roman" w:cs="Times New Roman"/>
                <w:b/>
                <w:bCs/>
              </w:rPr>
              <w:t>-</w:t>
            </w:r>
            <w:r>
              <w:rPr>
                <w:rFonts w:ascii="Times New Roman" w:hAnsi="Times New Roman" w:cs="Times New Roman" w:hint="eastAsia"/>
                <w:b/>
                <w:bCs/>
              </w:rPr>
              <w:t>4</w:t>
            </w:r>
            <w:r>
              <w:rPr>
                <w:rFonts w:ascii="Times New Roman" w:hAnsi="Times New Roman" w:cs="Times New Roman"/>
                <w:b/>
                <w:bCs/>
              </w:rPr>
              <w:t xml:space="preserve"> </w:t>
            </w:r>
            <w:r>
              <w:rPr>
                <w:rFonts w:ascii="Times New Roman" w:hAnsi="Times New Roman" w:cs="Times New Roman"/>
                <w:b/>
                <w:bCs/>
              </w:rPr>
              <w:t>《大气污染物综合排放标准》（</w:t>
            </w:r>
            <w:r>
              <w:rPr>
                <w:rFonts w:ascii="Times New Roman" w:hAnsi="Times New Roman" w:cs="Times New Roman"/>
                <w:b/>
                <w:bCs/>
              </w:rPr>
              <w:t>GB16297-1996</w:t>
            </w:r>
            <w:r>
              <w:rPr>
                <w:rFonts w:ascii="Times New Roman" w:hAnsi="Times New Roman" w:cs="Times New Roman"/>
                <w:b/>
                <w:bCs/>
              </w:rPr>
              <w:t>）</w:t>
            </w:r>
            <w:r>
              <w:rPr>
                <w:rFonts w:ascii="Times New Roman" w:hAnsi="Times New Roman" w:cs="Times New Roman"/>
                <w:b/>
                <w:bCs/>
              </w:rPr>
              <w:t>(</w:t>
            </w:r>
            <w:r>
              <w:rPr>
                <w:rFonts w:ascii="Times New Roman" w:hAnsi="Times New Roman" w:cs="Times New Roman"/>
                <w:b/>
                <w:bCs/>
              </w:rPr>
              <w:t>摘录</w:t>
            </w:r>
            <w:r>
              <w:rPr>
                <w:rFonts w:ascii="Times New Roman" w:hAnsi="Times New Roman" w:cs="Times New Roman"/>
                <w:b/>
                <w:bCs/>
              </w:rPr>
              <w:t>)</w:t>
            </w:r>
          </w:p>
          <w:tbl>
            <w:tblPr>
              <w:tblStyle w:val="TableNormal"/>
              <w:tblW w:w="7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614"/>
              <w:gridCol w:w="6265"/>
            </w:tblGrid>
            <w:tr>
              <w:tblPrEx>
                <w:tblW w:w="7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Ex>
              <w:trPr>
                <w:trHeight w:val="473"/>
                <w:jc w:val="center"/>
              </w:trPr>
              <w:tc>
                <w:tcPr>
                  <w:tcW w:w="1614" w:type="dxa"/>
                  <w:tcBorders>
                    <w:top w:val="single" w:sz="4" w:space="0" w:color="auto"/>
                    <w:left w:val="single" w:sz="4" w:space="0" w:color="auto"/>
                    <w:bottom w:val="single" w:sz="4" w:space="0" w:color="auto"/>
                    <w:right w:val="single" w:sz="4"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污染物</w:t>
                  </w:r>
                </w:p>
              </w:tc>
              <w:tc>
                <w:tcPr>
                  <w:tcW w:w="6265" w:type="dxa"/>
                  <w:tcBorders>
                    <w:top w:val="single" w:sz="4" w:space="0" w:color="auto"/>
                    <w:left w:val="nil"/>
                    <w:bottom w:val="single" w:sz="4" w:space="0" w:color="auto"/>
                    <w:right w:val="single" w:sz="4"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无组织排放监控浓度限值</w:t>
                  </w:r>
                </w:p>
              </w:tc>
            </w:tr>
          </w:tbl>
          <w:p/>
        </w:tc>
      </w:tr>
    </w:tbl>
    <w:p>
      <w:pPr>
        <w:sectPr>
          <w:footerReference w:type="default" r:id="rId21"/>
          <w:type w:val="nextPage"/>
          <w:pgSz w:w="11906" w:h="16838"/>
          <w:pgMar w:top="1440" w:right="1800" w:bottom="1440" w:left="1800" w:header="851" w:footer="992" w:gutter="0"/>
          <w:pgNumType w:start="15"/>
          <w:cols w:space="425"/>
          <w:titlePg w:val="0"/>
          <w:docGrid w:type="lines" w:linePitch="312"/>
        </w:sectPr>
      </w:pPr>
    </w:p>
    <w:tbl>
      <w:tblPr>
        <w:tblStyle w:val="TableGrid15"/>
        <w:tblW w:w="9929" w:type="dxa"/>
        <w:tblBorders>
          <w:top w:val="single" w:sz="12" w:space="0" w:color="auto"/>
          <w:left w:val="single" w:sz="12" w:space="0" w:color="auto"/>
          <w:bottom w:val="single" w:sz="12" w:space="0" w:color="auto"/>
          <w:right w:val="single" w:sz="12" w:space="0" w:color="auto"/>
        </w:tblBorders>
        <w:tblLook w:val="04A0"/>
      </w:tblPr>
      <w:tblGrid>
        <w:gridCol w:w="456"/>
        <w:gridCol w:w="9473"/>
      </w:tblGrid>
      <w:tr>
        <w:tblPrEx>
          <w:tblW w:w="9929" w:type="dxa"/>
          <w:tblBorders>
            <w:top w:val="single" w:sz="12" w:space="0" w:color="auto"/>
            <w:left w:val="single" w:sz="12" w:space="0" w:color="auto"/>
            <w:bottom w:val="single" w:sz="12" w:space="0" w:color="auto"/>
            <w:right w:val="single" w:sz="12" w:space="0" w:color="auto"/>
          </w:tblBorders>
          <w:tblLook w:val="04A0"/>
        </w:tblPrEx>
        <w:tc>
          <w:tcPr>
            <w:tcW w:w="456" w:type="dxa"/>
            <w:vAlign w:val="center"/>
          </w:tcPr>
          <w:p/>
        </w:tc>
        <w:tc>
          <w:tcPr>
            <w:tcW w:w="9473" w:type="dxa"/>
            <w:vAlign w:val="center"/>
          </w:tcPr>
          <w:tbl>
            <w:tblPr>
              <w:tblStyle w:val="TableNormal"/>
              <w:tblW w:w="7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614"/>
              <w:gridCol w:w="3989"/>
              <w:gridCol w:w="2276"/>
            </w:tblGrid>
            <w:tr>
              <w:tblPrEx>
                <w:tblW w:w="7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Ex>
              <w:trPr>
                <w:trHeight w:val="379"/>
                <w:jc w:val="center"/>
              </w:trPr>
              <w:tc>
                <w:tcPr>
                  <w:tcW w:w="1614" w:type="dxa"/>
                  <w:tcBorders>
                    <w:top w:val="single" w:sz="4" w:space="0" w:color="auto"/>
                    <w:left w:val="single" w:sz="4" w:space="0" w:color="auto"/>
                    <w:bottom w:val="single" w:sz="4" w:space="0" w:color="auto"/>
                    <w:right w:val="single" w:sz="4" w:space="0" w:color="auto"/>
                  </w:tcBorders>
                  <w:shd w:val="clear" w:color="auto" w:fill="auto"/>
                  <w:vAlign w:val="center"/>
                </w:tcPr>
                <w:p w:rsidR="00997F3B">
                  <w:pPr>
                    <w:spacing w:line="240" w:lineRule="auto"/>
                    <w:jc w:val="center"/>
                    <w:rPr>
                      <w:rFonts w:ascii="Times New Roman" w:hAnsi="Times New Roman" w:cs="Times New Roman"/>
                      <w:sz w:val="21"/>
                      <w:szCs w:val="21"/>
                    </w:rPr>
                  </w:pPr>
                </w:p>
              </w:tc>
              <w:tc>
                <w:tcPr>
                  <w:tcW w:w="3989" w:type="dxa"/>
                  <w:tcBorders>
                    <w:top w:val="single" w:sz="4" w:space="0" w:color="auto"/>
                    <w:left w:val="nil"/>
                    <w:bottom w:val="single" w:sz="4" w:space="0" w:color="auto"/>
                    <w:right w:val="single" w:sz="4"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监控点</w:t>
                  </w:r>
                </w:p>
              </w:tc>
              <w:tc>
                <w:tcPr>
                  <w:tcW w:w="2276" w:type="dxa"/>
                  <w:tcBorders>
                    <w:top w:val="single" w:sz="4" w:space="0" w:color="auto"/>
                    <w:left w:val="nil"/>
                    <w:bottom w:val="single" w:sz="4" w:space="0" w:color="auto"/>
                    <w:right w:val="single" w:sz="4"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浓度（</w:t>
                  </w:r>
                  <w:r>
                    <w:rPr>
                      <w:rFonts w:ascii="Times New Roman" w:hAnsi="Times New Roman" w:cs="Times New Roman"/>
                      <w:sz w:val="21"/>
                      <w:szCs w:val="21"/>
                    </w:rPr>
                    <w:t>mg/m³</w:t>
                  </w:r>
                  <w:r>
                    <w:rPr>
                      <w:rFonts w:ascii="Times New Roman" w:hAnsi="Times New Roman" w:cs="Times New Roman"/>
                      <w:sz w:val="21"/>
                      <w:szCs w:val="21"/>
                    </w:rPr>
                    <w:t>）</w:t>
                  </w:r>
                </w:p>
              </w:tc>
            </w:tr>
            <w:tr>
              <w:tblPrEx>
                <w:tblW w:w="7879" w:type="dxa"/>
                <w:jc w:val="center"/>
                <w:tblCellMar>
                  <w:left w:w="0" w:type="dxa"/>
                  <w:right w:w="0" w:type="dxa"/>
                </w:tblCellMar>
                <w:tblLook w:val="04A0"/>
              </w:tblPrEx>
              <w:trPr>
                <w:trHeight w:val="483"/>
                <w:jc w:val="center"/>
              </w:trPr>
              <w:tc>
                <w:tcPr>
                  <w:tcW w:w="1614" w:type="dxa"/>
                  <w:tcBorders>
                    <w:top w:val="single" w:sz="4" w:space="0" w:color="auto"/>
                    <w:left w:val="single" w:sz="4" w:space="0" w:color="auto"/>
                    <w:bottom w:val="single" w:sz="4" w:space="0" w:color="auto"/>
                    <w:right w:val="single" w:sz="4"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颗粒物</w:t>
                  </w:r>
                </w:p>
              </w:tc>
              <w:tc>
                <w:tcPr>
                  <w:tcW w:w="3989" w:type="dxa"/>
                  <w:tcBorders>
                    <w:top w:val="single" w:sz="4" w:space="0" w:color="auto"/>
                    <w:left w:val="nil"/>
                    <w:bottom w:val="single" w:sz="4" w:space="0" w:color="auto"/>
                    <w:right w:val="single" w:sz="4"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周界外浓度最高点</w:t>
                  </w:r>
                </w:p>
              </w:tc>
              <w:tc>
                <w:tcPr>
                  <w:tcW w:w="2276" w:type="dxa"/>
                  <w:tcBorders>
                    <w:top w:val="single" w:sz="4" w:space="0" w:color="auto"/>
                    <w:left w:val="nil"/>
                    <w:bottom w:val="single" w:sz="4" w:space="0" w:color="auto"/>
                    <w:right w:val="single" w:sz="4"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1.0</w:t>
                  </w:r>
                </w:p>
              </w:tc>
            </w:tr>
          </w:tbl>
          <w:p w:rsidR="00997F3B">
            <w:pPr>
              <w:jc w:val="center"/>
              <w:rPr>
                <w:rFonts w:ascii="Times New Roman" w:hAnsi="Times New Roman" w:cs="Times New Roman"/>
              </w:rPr>
            </w:pPr>
            <w:r>
              <w:rPr>
                <w:rFonts w:ascii="Times New Roman" w:hAnsi="Times New Roman" w:cs="Times New Roman"/>
                <w:b/>
                <w:bCs/>
              </w:rPr>
              <w:t>表</w:t>
            </w:r>
            <w:r>
              <w:rPr>
                <w:rFonts w:ascii="Times New Roman" w:hAnsi="Times New Roman" w:cs="Times New Roman"/>
                <w:b/>
                <w:bCs/>
              </w:rPr>
              <w:t>3-</w:t>
            </w:r>
            <w:r>
              <w:rPr>
                <w:rFonts w:ascii="Times New Roman" w:hAnsi="Times New Roman" w:cs="Times New Roman" w:hint="eastAsia"/>
                <w:b/>
                <w:bCs/>
              </w:rPr>
              <w:t>5</w:t>
            </w:r>
            <w:r>
              <w:rPr>
                <w:rFonts w:ascii="Times New Roman" w:hAnsi="Times New Roman" w:cs="Times New Roman"/>
                <w:b/>
                <w:bCs/>
              </w:rPr>
              <w:t xml:space="preserve"> </w:t>
            </w:r>
            <w:r>
              <w:rPr>
                <w:rFonts w:ascii="Times New Roman" w:hAnsi="Times New Roman" w:cs="Times New Roman"/>
                <w:b/>
                <w:bCs/>
              </w:rPr>
              <w:t>《饮食业油烟排放执行标准》（</w:t>
            </w:r>
            <w:r>
              <w:rPr>
                <w:rFonts w:ascii="Times New Roman" w:hAnsi="Times New Roman" w:cs="Times New Roman"/>
                <w:b/>
                <w:bCs/>
              </w:rPr>
              <w:t>GB18483-2001</w:t>
            </w:r>
            <w:r>
              <w:rPr>
                <w:rFonts w:ascii="Times New Roman" w:hAnsi="Times New Roman" w:cs="Times New Roman"/>
                <w:b/>
                <w:bCs/>
              </w:rPr>
              <w:t>）</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3125"/>
              <w:gridCol w:w="1598"/>
              <w:gridCol w:w="1598"/>
              <w:gridCol w:w="1596"/>
            </w:tblGrid>
            <w:tr>
              <w:tblPrEx>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Ex>
              <w:trPr>
                <w:trHeight w:val="307"/>
                <w:jc w:val="center"/>
              </w:trPr>
              <w:tc>
                <w:tcPr>
                  <w:tcW w:w="3125" w:type="dxa"/>
                  <w:tcBorders>
                    <w:bottom w:val="single" w:sz="6" w:space="0" w:color="auto"/>
                    <w:righ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规模</w:t>
                  </w:r>
                </w:p>
              </w:tc>
              <w:tc>
                <w:tcPr>
                  <w:tcW w:w="1598" w:type="dxa"/>
                  <w:tcBorders>
                    <w:left w:val="single" w:sz="6" w:space="0" w:color="auto"/>
                    <w:bottom w:val="single" w:sz="6" w:space="0" w:color="auto"/>
                    <w:righ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小型</w:t>
                  </w:r>
                </w:p>
              </w:tc>
              <w:tc>
                <w:tcPr>
                  <w:tcW w:w="1598" w:type="dxa"/>
                  <w:tcBorders>
                    <w:left w:val="single" w:sz="6" w:space="0" w:color="auto"/>
                    <w:bottom w:val="single" w:sz="6" w:space="0" w:color="auto"/>
                    <w:right w:val="single" w:sz="4"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中型</w:t>
                  </w:r>
                </w:p>
              </w:tc>
              <w:tc>
                <w:tcPr>
                  <w:tcW w:w="1596" w:type="dxa"/>
                  <w:tcBorders>
                    <w:left w:val="nil"/>
                    <w:bottom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大型</w:t>
                  </w:r>
                </w:p>
              </w:tc>
            </w:tr>
            <w:tr>
              <w:tblPrEx>
                <w:tblW w:w="0" w:type="auto"/>
                <w:jc w:val="center"/>
                <w:tblLook w:val="04A0"/>
              </w:tblPrEx>
              <w:trPr>
                <w:trHeight w:val="312"/>
                <w:jc w:val="center"/>
              </w:trPr>
              <w:tc>
                <w:tcPr>
                  <w:tcW w:w="3125" w:type="dxa"/>
                  <w:tcBorders>
                    <w:top w:val="single" w:sz="6" w:space="0" w:color="auto"/>
                    <w:bottom w:val="single" w:sz="6" w:space="0" w:color="auto"/>
                    <w:righ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基准灶头数</w:t>
                  </w:r>
                </w:p>
              </w:tc>
              <w:tc>
                <w:tcPr>
                  <w:tcW w:w="1598" w:type="dxa"/>
                  <w:tcBorders>
                    <w:top w:val="single" w:sz="6" w:space="0" w:color="auto"/>
                    <w:left w:val="single" w:sz="6" w:space="0" w:color="auto"/>
                    <w:bottom w:val="single" w:sz="6" w:space="0" w:color="auto"/>
                    <w:righ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sz w:val="21"/>
                      <w:szCs w:val="21"/>
                    </w:rPr>
                    <w:t>3</w:t>
                  </w:r>
                </w:p>
              </w:tc>
              <w:tc>
                <w:tcPr>
                  <w:tcW w:w="1598" w:type="dxa"/>
                  <w:tcBorders>
                    <w:top w:val="single" w:sz="6" w:space="0" w:color="auto"/>
                    <w:left w:val="single" w:sz="6" w:space="0" w:color="auto"/>
                    <w:bottom w:val="single" w:sz="6" w:space="0" w:color="auto"/>
                    <w:right w:val="single" w:sz="4"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sz w:val="21"/>
                      <w:szCs w:val="21"/>
                    </w:rPr>
                    <w:t>6</w:t>
                  </w:r>
                </w:p>
              </w:tc>
              <w:tc>
                <w:tcPr>
                  <w:tcW w:w="1596" w:type="dxa"/>
                  <w:tcBorders>
                    <w:top w:val="single" w:sz="6" w:space="0" w:color="auto"/>
                    <w:left w:val="nil"/>
                    <w:bottom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≥6</w:t>
                  </w:r>
                </w:p>
              </w:tc>
            </w:tr>
            <w:tr>
              <w:tblPrEx>
                <w:tblW w:w="0" w:type="auto"/>
                <w:jc w:val="center"/>
                <w:tblLook w:val="04A0"/>
              </w:tblPrEx>
              <w:trPr>
                <w:trHeight w:val="312"/>
                <w:jc w:val="center"/>
              </w:trPr>
              <w:tc>
                <w:tcPr>
                  <w:tcW w:w="3125" w:type="dxa"/>
                  <w:tcBorders>
                    <w:top w:val="single" w:sz="6" w:space="0" w:color="auto"/>
                    <w:bottom w:val="single" w:sz="6" w:space="0" w:color="auto"/>
                    <w:righ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对应灶头总功率（</w:t>
                  </w:r>
                  <w:r>
                    <w:rPr>
                      <w:rFonts w:ascii="Times New Roman" w:hAnsi="Times New Roman" w:cs="Times New Roman"/>
                      <w:sz w:val="21"/>
                      <w:szCs w:val="21"/>
                    </w:rPr>
                    <w:t>108J/h</w:t>
                  </w:r>
                  <w:r>
                    <w:rPr>
                      <w:rFonts w:ascii="Times New Roman" w:hAnsi="Times New Roman" w:cs="Times New Roman"/>
                      <w:sz w:val="21"/>
                      <w:szCs w:val="21"/>
                    </w:rPr>
                    <w:t>）</w:t>
                  </w:r>
                </w:p>
              </w:tc>
              <w:tc>
                <w:tcPr>
                  <w:tcW w:w="1598" w:type="dxa"/>
                  <w:tcBorders>
                    <w:top w:val="single" w:sz="6" w:space="0" w:color="auto"/>
                    <w:left w:val="single" w:sz="6" w:space="0" w:color="auto"/>
                    <w:bottom w:val="single" w:sz="6" w:space="0" w:color="auto"/>
                    <w:righ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≥1.67</w:t>
                  </w:r>
                  <w:r>
                    <w:rPr>
                      <w:rFonts w:ascii="Times New Roman" w:hAnsi="Times New Roman" w:cs="Times New Roman"/>
                      <w:sz w:val="21"/>
                      <w:szCs w:val="21"/>
                    </w:rPr>
                    <w:t>，＜</w:t>
                  </w:r>
                  <w:r>
                    <w:rPr>
                      <w:rFonts w:ascii="Times New Roman" w:hAnsi="Times New Roman" w:cs="Times New Roman"/>
                      <w:sz w:val="21"/>
                      <w:szCs w:val="21"/>
                    </w:rPr>
                    <w:t>5.00</w:t>
                  </w:r>
                </w:p>
              </w:tc>
              <w:tc>
                <w:tcPr>
                  <w:tcW w:w="1598" w:type="dxa"/>
                  <w:tcBorders>
                    <w:top w:val="single" w:sz="6" w:space="0" w:color="auto"/>
                    <w:left w:val="single" w:sz="6" w:space="0" w:color="auto"/>
                    <w:bottom w:val="single" w:sz="6" w:space="0" w:color="auto"/>
                    <w:right w:val="single" w:sz="4"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≥5.00</w:t>
                  </w:r>
                  <w:r>
                    <w:rPr>
                      <w:rFonts w:ascii="Times New Roman" w:hAnsi="Times New Roman" w:cs="Times New Roman"/>
                      <w:sz w:val="21"/>
                      <w:szCs w:val="21"/>
                    </w:rPr>
                    <w:t>，＜</w:t>
                  </w:r>
                  <w:r>
                    <w:rPr>
                      <w:rFonts w:ascii="Times New Roman" w:hAnsi="Times New Roman" w:cs="Times New Roman"/>
                      <w:sz w:val="21"/>
                      <w:szCs w:val="21"/>
                    </w:rPr>
                    <w:t>10.00</w:t>
                  </w:r>
                </w:p>
              </w:tc>
              <w:tc>
                <w:tcPr>
                  <w:tcW w:w="1596" w:type="dxa"/>
                  <w:tcBorders>
                    <w:top w:val="single" w:sz="6" w:space="0" w:color="auto"/>
                    <w:left w:val="nil"/>
                    <w:bottom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≥10.00</w:t>
                  </w:r>
                </w:p>
              </w:tc>
            </w:tr>
            <w:tr>
              <w:tblPrEx>
                <w:tblW w:w="0" w:type="auto"/>
                <w:jc w:val="center"/>
                <w:tblLook w:val="04A0"/>
              </w:tblPrEx>
              <w:trPr>
                <w:trHeight w:val="312"/>
                <w:jc w:val="center"/>
              </w:trPr>
              <w:tc>
                <w:tcPr>
                  <w:tcW w:w="3125" w:type="dxa"/>
                  <w:tcBorders>
                    <w:top w:val="single" w:sz="6" w:space="0" w:color="auto"/>
                    <w:bottom w:val="single" w:sz="6" w:space="0" w:color="auto"/>
                    <w:righ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对应排气罩灶面总投影面积（</w:t>
                  </w:r>
                  <w:r>
                    <w:rPr>
                      <w:rFonts w:ascii="Times New Roman" w:hAnsi="Times New Roman" w:cs="Times New Roman"/>
                      <w:sz w:val="21"/>
                      <w:szCs w:val="21"/>
                    </w:rPr>
                    <w:t>m</w:t>
                  </w:r>
                  <w:r>
                    <w:rPr>
                      <w:rFonts w:ascii="Times New Roman" w:hAnsi="Times New Roman" w:cs="Times New Roman" w:hint="eastAsia"/>
                      <w:sz w:val="21"/>
                      <w:szCs w:val="21"/>
                    </w:rPr>
                    <w:t>²</w:t>
                  </w:r>
                  <w:r>
                    <w:rPr>
                      <w:rFonts w:ascii="Times New Roman" w:hAnsi="Times New Roman" w:cs="Times New Roman"/>
                      <w:sz w:val="21"/>
                      <w:szCs w:val="21"/>
                    </w:rPr>
                    <w:t>）</w:t>
                  </w:r>
                </w:p>
              </w:tc>
              <w:tc>
                <w:tcPr>
                  <w:tcW w:w="1598" w:type="dxa"/>
                  <w:tcBorders>
                    <w:top w:val="single" w:sz="6" w:space="0" w:color="auto"/>
                    <w:left w:val="single" w:sz="6" w:space="0" w:color="auto"/>
                    <w:bottom w:val="single" w:sz="6" w:space="0" w:color="auto"/>
                    <w:righ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≥1.1</w:t>
                  </w:r>
                  <w:r>
                    <w:rPr>
                      <w:rFonts w:ascii="Times New Roman" w:hAnsi="Times New Roman" w:cs="Times New Roman"/>
                      <w:sz w:val="21"/>
                      <w:szCs w:val="21"/>
                    </w:rPr>
                    <w:t>，＜</w:t>
                  </w:r>
                  <w:r>
                    <w:rPr>
                      <w:rFonts w:ascii="Times New Roman" w:hAnsi="Times New Roman" w:cs="Times New Roman"/>
                      <w:sz w:val="21"/>
                      <w:szCs w:val="21"/>
                    </w:rPr>
                    <w:t>3.3</w:t>
                  </w:r>
                </w:p>
              </w:tc>
              <w:tc>
                <w:tcPr>
                  <w:tcW w:w="1598" w:type="dxa"/>
                  <w:tcBorders>
                    <w:top w:val="single" w:sz="6" w:space="0" w:color="auto"/>
                    <w:left w:val="single" w:sz="6" w:space="0" w:color="auto"/>
                    <w:bottom w:val="single" w:sz="6" w:space="0" w:color="auto"/>
                    <w:right w:val="single" w:sz="4"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≥3.3.</w:t>
                  </w:r>
                  <w:r>
                    <w:rPr>
                      <w:rFonts w:ascii="Times New Roman" w:hAnsi="Times New Roman" w:cs="Times New Roman"/>
                      <w:sz w:val="21"/>
                      <w:szCs w:val="21"/>
                    </w:rPr>
                    <w:t>，＜</w:t>
                  </w:r>
                  <w:r>
                    <w:rPr>
                      <w:rFonts w:ascii="Times New Roman" w:hAnsi="Times New Roman" w:cs="Times New Roman"/>
                      <w:sz w:val="21"/>
                      <w:szCs w:val="21"/>
                    </w:rPr>
                    <w:t>6.6</w:t>
                  </w:r>
                </w:p>
              </w:tc>
              <w:tc>
                <w:tcPr>
                  <w:tcW w:w="1596" w:type="dxa"/>
                  <w:tcBorders>
                    <w:top w:val="single" w:sz="6" w:space="0" w:color="auto"/>
                    <w:left w:val="nil"/>
                    <w:bottom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≥6.6</w:t>
                  </w:r>
                </w:p>
              </w:tc>
            </w:tr>
            <w:tr>
              <w:tblPrEx>
                <w:tblW w:w="0" w:type="auto"/>
                <w:jc w:val="center"/>
                <w:tblLook w:val="04A0"/>
              </w:tblPrEx>
              <w:trPr>
                <w:trHeight w:val="312"/>
                <w:jc w:val="center"/>
              </w:trPr>
              <w:tc>
                <w:tcPr>
                  <w:tcW w:w="3125" w:type="dxa"/>
                  <w:tcBorders>
                    <w:top w:val="single" w:sz="6" w:space="0" w:color="auto"/>
                    <w:bottom w:val="single" w:sz="6" w:space="0" w:color="auto"/>
                    <w:righ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最高允许排放浓度（</w:t>
                  </w:r>
                  <w:r>
                    <w:rPr>
                      <w:rFonts w:ascii="Times New Roman" w:hAnsi="Times New Roman" w:cs="Times New Roman"/>
                      <w:sz w:val="21"/>
                      <w:szCs w:val="21"/>
                    </w:rPr>
                    <w:t>mg/m3</w:t>
                  </w:r>
                  <w:r>
                    <w:rPr>
                      <w:rFonts w:ascii="Times New Roman" w:hAnsi="Times New Roman" w:cs="Times New Roman"/>
                      <w:sz w:val="21"/>
                      <w:szCs w:val="21"/>
                    </w:rPr>
                    <w:t>）</w:t>
                  </w:r>
                </w:p>
              </w:tc>
              <w:tc>
                <w:tcPr>
                  <w:tcW w:w="4792" w:type="dxa"/>
                  <w:gridSpan w:val="3"/>
                  <w:tcBorders>
                    <w:top w:val="single" w:sz="6" w:space="0" w:color="auto"/>
                    <w:left w:val="single" w:sz="6" w:space="0" w:color="auto"/>
                    <w:bottom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2.0</w:t>
                  </w:r>
                </w:p>
              </w:tc>
            </w:tr>
            <w:tr>
              <w:tblPrEx>
                <w:tblW w:w="0" w:type="auto"/>
                <w:jc w:val="center"/>
                <w:tblLook w:val="04A0"/>
              </w:tblPrEx>
              <w:trPr>
                <w:trHeight w:val="322"/>
                <w:jc w:val="center"/>
              </w:trPr>
              <w:tc>
                <w:tcPr>
                  <w:tcW w:w="3125" w:type="dxa"/>
                  <w:tcBorders>
                    <w:top w:val="single" w:sz="6" w:space="0" w:color="auto"/>
                    <w:righ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净化设备最低去除率（</w:t>
                  </w:r>
                  <w:r>
                    <w:rPr>
                      <w:rFonts w:ascii="Times New Roman" w:hAnsi="Times New Roman" w:cs="Times New Roman"/>
                      <w:sz w:val="21"/>
                      <w:szCs w:val="21"/>
                    </w:rPr>
                    <w:t>%</w:t>
                  </w:r>
                  <w:r>
                    <w:rPr>
                      <w:rFonts w:ascii="Times New Roman" w:hAnsi="Times New Roman" w:cs="Times New Roman"/>
                      <w:sz w:val="21"/>
                      <w:szCs w:val="21"/>
                    </w:rPr>
                    <w:t>）</w:t>
                  </w:r>
                </w:p>
              </w:tc>
              <w:tc>
                <w:tcPr>
                  <w:tcW w:w="1598" w:type="dxa"/>
                  <w:tcBorders>
                    <w:top w:val="single" w:sz="6" w:space="0" w:color="auto"/>
                    <w:left w:val="single" w:sz="6" w:space="0" w:color="auto"/>
                    <w:righ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60</w:t>
                  </w:r>
                </w:p>
              </w:tc>
              <w:tc>
                <w:tcPr>
                  <w:tcW w:w="1598" w:type="dxa"/>
                  <w:tcBorders>
                    <w:top w:val="single" w:sz="6" w:space="0" w:color="auto"/>
                    <w:left w:val="single" w:sz="6" w:space="0" w:color="auto"/>
                    <w:righ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75</w:t>
                  </w:r>
                </w:p>
              </w:tc>
              <w:tc>
                <w:tcPr>
                  <w:tcW w:w="1596" w:type="dxa"/>
                  <w:tcBorders>
                    <w:top w:val="single" w:sz="6" w:space="0" w:color="auto"/>
                    <w:left w:val="single" w:sz="6" w:space="0" w:color="auto"/>
                  </w:tcBorders>
                  <w:shd w:val="clear" w:color="auto" w:fill="auto"/>
                  <w:vAlign w:val="center"/>
                </w:tcPr>
                <w:p w:rsidR="00997F3B">
                  <w:pPr>
                    <w:spacing w:line="240" w:lineRule="auto"/>
                    <w:jc w:val="center"/>
                    <w:rPr>
                      <w:rFonts w:ascii="Times New Roman" w:hAnsi="Times New Roman" w:cs="Times New Roman"/>
                      <w:sz w:val="21"/>
                      <w:szCs w:val="21"/>
                    </w:rPr>
                  </w:pPr>
                  <w:r>
                    <w:rPr>
                      <w:rFonts w:ascii="Times New Roman" w:hAnsi="Times New Roman" w:cs="Times New Roman"/>
                      <w:sz w:val="21"/>
                      <w:szCs w:val="21"/>
                    </w:rPr>
                    <w:t>85</w:t>
                  </w:r>
                </w:p>
              </w:tc>
            </w:tr>
          </w:tbl>
          <w:p w:rsidR="00997F3B">
            <w:pPr>
              <w:pStyle w:val="Header"/>
              <w:rPr>
                <w:rFonts w:ascii="Times New Roman" w:hAnsi="Times New Roman" w:cs="Times New Roman"/>
              </w:rPr>
            </w:pPr>
          </w:p>
          <w:p w:rsidR="00997F3B">
            <w:pPr>
              <w:jc w:val="left"/>
              <w:rPr>
                <w:rFonts w:ascii="Times New Roman" w:hAnsi="Times New Roman" w:eastAsiaTheme="minorEastAsia" w:cs="Times New Roman"/>
                <w:b/>
                <w:bCs/>
              </w:rPr>
            </w:pPr>
            <w:r>
              <w:rPr>
                <w:rFonts w:ascii="Times New Roman" w:hAnsi="Times New Roman" w:eastAsiaTheme="minorEastAsia" w:cs="Times New Roman"/>
                <w:b/>
                <w:bCs/>
              </w:rPr>
              <w:t>3</w:t>
            </w:r>
            <w:r>
              <w:rPr>
                <w:rFonts w:ascii="Times New Roman" w:hAnsi="Times New Roman" w:eastAsiaTheme="minorEastAsia" w:cs="Times New Roman"/>
                <w:b/>
                <w:bCs/>
              </w:rPr>
              <w:t>、噪声排放标准</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项目场界噪声执行《工业企业厂界环境噪声排放标准》（</w:t>
            </w:r>
            <w:r>
              <w:rPr>
                <w:rFonts w:ascii="Times New Roman" w:hAnsi="Times New Roman" w:eastAsiaTheme="minorEastAsia" w:cs="Times New Roman"/>
              </w:rPr>
              <w:t>GB12348-2008</w:t>
            </w:r>
            <w:r>
              <w:rPr>
                <w:rFonts w:ascii="Times New Roman" w:hAnsi="Times New Roman" w:eastAsiaTheme="minorEastAsia" w:cs="Times New Roman"/>
              </w:rPr>
              <w:t>）表</w:t>
            </w:r>
            <w:r>
              <w:rPr>
                <w:rFonts w:ascii="Times New Roman" w:hAnsi="Times New Roman" w:eastAsiaTheme="minorEastAsia" w:cs="Times New Roman"/>
              </w:rPr>
              <w:t>1</w:t>
            </w:r>
            <w:r>
              <w:rPr>
                <w:rFonts w:ascii="Times New Roman" w:hAnsi="Times New Roman" w:eastAsiaTheme="minorEastAsia" w:cs="Times New Roman"/>
              </w:rPr>
              <w:t>中的</w:t>
            </w:r>
            <w:r>
              <w:rPr>
                <w:rFonts w:ascii="Times New Roman" w:hAnsi="Times New Roman" w:eastAsiaTheme="minorEastAsia" w:cs="Times New Roman"/>
              </w:rPr>
              <w:t>2</w:t>
            </w:r>
            <w:r>
              <w:rPr>
                <w:rFonts w:ascii="Times New Roman" w:hAnsi="Times New Roman" w:eastAsiaTheme="minorEastAsia" w:cs="Times New Roman"/>
              </w:rPr>
              <w:t>类标准。</w:t>
            </w:r>
          </w:p>
          <w:p w:rsidR="00997F3B">
            <w:pPr>
              <w:jc w:val="center"/>
              <w:rPr>
                <w:rFonts w:ascii="Times New Roman" w:hAnsi="Times New Roman" w:eastAsiaTheme="minorEastAsia" w:cs="Times New Roman"/>
                <w:b/>
                <w:bCs/>
              </w:rPr>
            </w:pPr>
            <w:r>
              <w:rPr>
                <w:rFonts w:ascii="Times New Roman" w:hAnsi="Times New Roman" w:eastAsiaTheme="minorEastAsia" w:cs="Times New Roman"/>
                <w:b/>
                <w:bCs/>
              </w:rPr>
              <w:t>表</w:t>
            </w:r>
            <w:r>
              <w:rPr>
                <w:rFonts w:ascii="Times New Roman" w:hAnsi="Times New Roman" w:eastAsiaTheme="minorEastAsia" w:cs="Times New Roman"/>
                <w:b/>
                <w:bCs/>
              </w:rPr>
              <w:t>3-</w:t>
            </w:r>
            <w:r>
              <w:rPr>
                <w:rFonts w:ascii="Times New Roman" w:hAnsi="Times New Roman" w:eastAsiaTheme="minorEastAsia" w:cs="Times New Roman"/>
                <w:b/>
                <w:bCs/>
              </w:rPr>
              <w:t>6</w:t>
            </w:r>
            <w:r>
              <w:rPr>
                <w:rFonts w:ascii="Times New Roman" w:hAnsi="Times New Roman" w:eastAsiaTheme="minorEastAsia" w:cs="Times New Roman"/>
                <w:b/>
                <w:bCs/>
              </w:rPr>
              <w:t xml:space="preserve"> </w:t>
            </w:r>
            <w:r>
              <w:rPr>
                <w:rFonts w:ascii="Times New Roman" w:hAnsi="Times New Roman" w:eastAsiaTheme="minorEastAsia" w:cs="Times New Roman"/>
                <w:b/>
                <w:bCs/>
              </w:rPr>
              <w:t>项目噪声排放标准限值</w:t>
            </w:r>
            <w:r>
              <w:rPr>
                <w:rFonts w:ascii="Times New Roman" w:hAnsi="Times New Roman" w:eastAsiaTheme="minorEastAsia" w:cs="Times New Roman"/>
                <w:b/>
                <w:bCs/>
              </w:rPr>
              <w:t xml:space="preserve">   </w:t>
            </w:r>
            <w:r>
              <w:rPr>
                <w:rFonts w:ascii="Times New Roman" w:hAnsi="Times New Roman" w:eastAsiaTheme="minorEastAsia" w:cs="Times New Roman"/>
                <w:b/>
                <w:bCs/>
              </w:rPr>
              <w:t>单位：</w:t>
            </w:r>
            <w:r>
              <w:rPr>
                <w:rFonts w:ascii="Times New Roman" w:hAnsi="Times New Roman" w:eastAsiaTheme="minorEastAsia" w:cs="Times New Roman"/>
                <w:b/>
                <w:bCs/>
              </w:rPr>
              <w:t>dB(A)</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6"/>
              <w:gridCol w:w="1132"/>
              <w:gridCol w:w="1514"/>
              <w:gridCol w:w="1514"/>
              <w:gridCol w:w="2976"/>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1386" w:type="dxa"/>
                  <w:vMerge w:val="restart"/>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类别</w:t>
                  </w:r>
                </w:p>
              </w:tc>
              <w:tc>
                <w:tcPr>
                  <w:tcW w:w="1132" w:type="dxa"/>
                  <w:vMerge w:val="restart"/>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级别</w:t>
                  </w:r>
                </w:p>
              </w:tc>
              <w:tc>
                <w:tcPr>
                  <w:tcW w:w="3028" w:type="dxa"/>
                  <w:gridSpan w:val="2"/>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标准限值</w:t>
                  </w:r>
                </w:p>
              </w:tc>
              <w:tc>
                <w:tcPr>
                  <w:tcW w:w="2976" w:type="dxa"/>
                  <w:vMerge w:val="restart"/>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标准来源</w:t>
                  </w:r>
                </w:p>
              </w:tc>
            </w:tr>
            <w:tr>
              <w:tblPrEx>
                <w:tblW w:w="0" w:type="auto"/>
                <w:tblLook w:val="04A0"/>
              </w:tblPrEx>
              <w:trPr>
                <w:trHeight w:val="153"/>
              </w:trPr>
              <w:tc>
                <w:tcPr>
                  <w:tcW w:w="1386" w:type="dxa"/>
                  <w:vMerge/>
                  <w:vAlign w:val="center"/>
                </w:tcPr>
                <w:p w:rsidR="00997F3B">
                  <w:pPr>
                    <w:spacing w:line="240" w:lineRule="auto"/>
                    <w:jc w:val="center"/>
                    <w:rPr>
                      <w:rFonts w:ascii="Times New Roman" w:hAnsi="Times New Roman" w:eastAsiaTheme="minorEastAsia" w:cs="Times New Roman"/>
                      <w:sz w:val="21"/>
                      <w:szCs w:val="21"/>
                    </w:rPr>
                  </w:pPr>
                </w:p>
              </w:tc>
              <w:tc>
                <w:tcPr>
                  <w:tcW w:w="1132" w:type="dxa"/>
                  <w:vMerge/>
                  <w:vAlign w:val="center"/>
                </w:tcPr>
                <w:p w:rsidR="00997F3B">
                  <w:pPr>
                    <w:spacing w:line="240" w:lineRule="auto"/>
                    <w:jc w:val="center"/>
                    <w:rPr>
                      <w:rFonts w:ascii="Times New Roman" w:hAnsi="Times New Roman" w:eastAsiaTheme="minorEastAsia" w:cs="Times New Roman"/>
                      <w:sz w:val="21"/>
                      <w:szCs w:val="21"/>
                    </w:rPr>
                  </w:pPr>
                </w:p>
              </w:tc>
              <w:tc>
                <w:tcPr>
                  <w:tcW w:w="1514"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昼间</w:t>
                  </w:r>
                </w:p>
              </w:tc>
              <w:tc>
                <w:tcPr>
                  <w:tcW w:w="1514"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夜间</w:t>
                  </w:r>
                </w:p>
              </w:tc>
              <w:tc>
                <w:tcPr>
                  <w:tcW w:w="2976" w:type="dxa"/>
                  <w:vMerge/>
                  <w:vAlign w:val="center"/>
                </w:tcPr>
                <w:p w:rsidR="00997F3B">
                  <w:pPr>
                    <w:spacing w:line="240" w:lineRule="auto"/>
                    <w:jc w:val="center"/>
                    <w:rPr>
                      <w:rFonts w:ascii="Times New Roman" w:hAnsi="Times New Roman" w:eastAsiaTheme="minorEastAsia" w:cs="Times New Roman"/>
                      <w:sz w:val="21"/>
                      <w:szCs w:val="21"/>
                    </w:rPr>
                  </w:pPr>
                </w:p>
              </w:tc>
            </w:tr>
            <w:tr>
              <w:tblPrEx>
                <w:tblW w:w="0" w:type="auto"/>
                <w:tblLook w:val="04A0"/>
              </w:tblPrEx>
              <w:trPr>
                <w:trHeight w:val="70"/>
              </w:trPr>
              <w:tc>
                <w:tcPr>
                  <w:tcW w:w="1386"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运营期</w:t>
                  </w:r>
                </w:p>
              </w:tc>
              <w:tc>
                <w:tcPr>
                  <w:tcW w:w="1132"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2</w:t>
                  </w:r>
                  <w:r>
                    <w:rPr>
                      <w:rFonts w:ascii="Times New Roman" w:hAnsi="Times New Roman" w:eastAsiaTheme="minorEastAsia" w:cs="Times New Roman"/>
                      <w:sz w:val="21"/>
                      <w:szCs w:val="21"/>
                    </w:rPr>
                    <w:t>类</w:t>
                  </w:r>
                </w:p>
              </w:tc>
              <w:tc>
                <w:tcPr>
                  <w:tcW w:w="1514"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≤6</w:t>
                  </w:r>
                  <w:r>
                    <w:rPr>
                      <w:rFonts w:ascii="Times New Roman" w:hAnsi="Times New Roman" w:eastAsiaTheme="minorEastAsia" w:cs="Times New Roman"/>
                      <w:sz w:val="21"/>
                      <w:szCs w:val="21"/>
                    </w:rPr>
                    <w:t>0</w:t>
                  </w:r>
                </w:p>
              </w:tc>
              <w:tc>
                <w:tcPr>
                  <w:tcW w:w="1514"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w:t>
                  </w:r>
                  <w:r>
                    <w:rPr>
                      <w:rFonts w:ascii="Times New Roman" w:hAnsi="Times New Roman" w:eastAsiaTheme="minorEastAsia" w:cs="Times New Roman"/>
                      <w:sz w:val="21"/>
                      <w:szCs w:val="21"/>
                    </w:rPr>
                    <w:t>50</w:t>
                  </w:r>
                </w:p>
              </w:tc>
              <w:tc>
                <w:tcPr>
                  <w:tcW w:w="2976"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《工业企业厂界环境噪声排放标准》（</w:t>
                  </w:r>
                  <w:r>
                    <w:rPr>
                      <w:rFonts w:ascii="Times New Roman" w:hAnsi="Times New Roman" w:eastAsiaTheme="minorEastAsia" w:cs="Times New Roman"/>
                      <w:sz w:val="21"/>
                      <w:szCs w:val="21"/>
                    </w:rPr>
                    <w:t>GB12348-2008</w:t>
                  </w:r>
                  <w:r>
                    <w:rPr>
                      <w:rFonts w:ascii="Times New Roman" w:hAnsi="Times New Roman" w:eastAsiaTheme="minorEastAsia" w:cs="Times New Roman"/>
                      <w:sz w:val="21"/>
                      <w:szCs w:val="21"/>
                    </w:rPr>
                    <w:t>）表</w:t>
                  </w:r>
                  <w:r>
                    <w:rPr>
                      <w:rFonts w:ascii="Times New Roman" w:hAnsi="Times New Roman" w:eastAsiaTheme="minorEastAsia" w:cs="Times New Roman"/>
                      <w:sz w:val="21"/>
                      <w:szCs w:val="21"/>
                    </w:rPr>
                    <w:t>1</w:t>
                  </w:r>
                </w:p>
              </w:tc>
            </w:tr>
          </w:tbl>
          <w:p w:rsidR="00997F3B">
            <w:pPr>
              <w:jc w:val="left"/>
              <w:rPr>
                <w:rFonts w:ascii="Times New Roman" w:hAnsi="Times New Roman" w:eastAsiaTheme="minorEastAsia" w:cs="Times New Roman"/>
                <w:b/>
                <w:bCs/>
              </w:rPr>
            </w:pPr>
            <w:r>
              <w:rPr>
                <w:rFonts w:ascii="Times New Roman" w:hAnsi="Times New Roman" w:eastAsiaTheme="minorEastAsia" w:cs="Times New Roman"/>
                <w:b/>
                <w:bCs/>
              </w:rPr>
              <w:t>4</w:t>
            </w:r>
            <w:r>
              <w:rPr>
                <w:rFonts w:ascii="Times New Roman" w:hAnsi="Times New Roman" w:eastAsiaTheme="minorEastAsia" w:cs="Times New Roman"/>
                <w:b/>
                <w:bCs/>
              </w:rPr>
              <w:t>、固体废物排放标准</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项目运营期现行执行生产固废执行《一般工业固体废物贮存、处置场污染控制标准》（</w:t>
            </w:r>
            <w:r>
              <w:rPr>
                <w:rFonts w:ascii="Times New Roman" w:hAnsi="Times New Roman" w:eastAsiaTheme="minorEastAsia" w:cs="Times New Roman"/>
              </w:rPr>
              <w:t>GB18599-2020</w:t>
            </w:r>
            <w:r>
              <w:rPr>
                <w:rFonts w:ascii="Times New Roman" w:hAnsi="Times New Roman" w:eastAsiaTheme="minorEastAsia" w:cs="Times New Roman"/>
              </w:rPr>
              <w:t>）。危险废物贮存执行《危险废物贮存污染物控制标准》（</w:t>
            </w:r>
            <w:r>
              <w:rPr>
                <w:rFonts w:ascii="Times New Roman" w:hAnsi="Times New Roman" w:eastAsiaTheme="minorEastAsia" w:cs="Times New Roman"/>
              </w:rPr>
              <w:t>GB18597-2001</w:t>
            </w:r>
            <w:r>
              <w:rPr>
                <w:rFonts w:ascii="Times New Roman" w:hAnsi="Times New Roman" w:eastAsiaTheme="minorEastAsia" w:cs="Times New Roman"/>
              </w:rPr>
              <w:t>）及修改单要求。</w:t>
            </w:r>
          </w:p>
        </w:tc>
      </w:tr>
      <w:tr>
        <w:tblPrEx>
          <w:tblW w:w="9929" w:type="dxa"/>
          <w:tblLook w:val="04A0"/>
        </w:tblPrEx>
        <w:tc>
          <w:tcPr>
            <w:tcW w:w="456"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总量控制指标</w:t>
            </w:r>
          </w:p>
        </w:tc>
        <w:tc>
          <w:tcPr>
            <w:tcW w:w="9473" w:type="dxa"/>
            <w:vAlign w:val="center"/>
          </w:tcPr>
          <w:p w:rsidR="00997F3B">
            <w:pPr>
              <w:pStyle w:val="BodyText"/>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rPr>
              <w:t>项目运营期无生产废水排放，生活污水经三级化粪池处理后用于周边林地灌溉。项目大气污染物不涉及总量控制污染物，故不需要申请总量控制指标。</w:t>
            </w:r>
          </w:p>
        </w:tc>
      </w:tr>
    </w:tbl>
    <w:p w:rsidR="00997F3B">
      <w:pPr>
        <w:pStyle w:val="Heading1"/>
        <w:rPr>
          <w:rFonts w:ascii="Times New Roman" w:hAnsi="Times New Roman" w:cs="Times New Roman"/>
          <w:sz w:val="24"/>
          <w:szCs w:val="24"/>
          <w:lang w:eastAsia="zh-CN"/>
        </w:rPr>
      </w:pPr>
    </w:p>
    <w:p w:rsidR="00997F3B">
      <w:pPr>
        <w:rPr>
          <w:rFonts w:ascii="Times New Roman" w:hAnsi="Times New Roman" w:cs="Times New Roman"/>
        </w:rPr>
      </w:pPr>
    </w:p>
    <w:p w:rsidR="00997F3B">
      <w:pPr>
        <w:pStyle w:val="Heading1"/>
        <w:rPr>
          <w:rFonts w:ascii="Times New Roman" w:hAnsi="Times New Roman" w:cs="Times New Roman"/>
          <w:sz w:val="24"/>
          <w:szCs w:val="24"/>
          <w:lang w:eastAsia="zh-CN"/>
        </w:rPr>
      </w:pPr>
    </w:p>
    <w:p w:rsidR="00997F3B">
      <w:pPr>
        <w:sectPr>
          <w:footerReference w:type="default" r:id="rId22"/>
          <w:type w:val="nextPage"/>
          <w:pgSz w:w="11906" w:h="16838"/>
          <w:pgMar w:top="1440" w:right="1800" w:bottom="1440" w:left="1800" w:header="851" w:footer="992" w:gutter="0"/>
          <w:pgNumType w:start="16"/>
          <w:cols w:space="425"/>
          <w:titlePg w:val="0"/>
          <w:docGrid w:type="lines" w:linePitch="312"/>
        </w:sectPr>
      </w:pPr>
    </w:p>
    <w:p w:rsidR="00997F3B">
      <w:pPr>
        <w:pStyle w:val="Heading1"/>
        <w:rPr>
          <w:rFonts w:ascii="Times New Roman" w:hAnsi="Times New Roman" w:cs="Times New Roman"/>
          <w:sz w:val="24"/>
          <w:szCs w:val="24"/>
          <w:lang w:eastAsia="zh-CN"/>
        </w:rPr>
      </w:pPr>
      <w:r>
        <w:rPr>
          <w:rFonts w:ascii="Times New Roman" w:hAnsi="Times New Roman" w:cs="Times New Roman"/>
          <w:sz w:val="24"/>
          <w:szCs w:val="24"/>
          <w:lang w:eastAsia="zh-CN"/>
        </w:rPr>
        <w:t>四、主要环境影响和保护措施</w:t>
      </w:r>
    </w:p>
    <w:tbl>
      <w:tblPr>
        <w:tblStyle w:val="TableGrid16"/>
        <w:tblW w:w="8839"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955"/>
        <w:gridCol w:w="7884"/>
      </w:tblGrid>
      <w:tr>
        <w:tblPrEx>
          <w:tblW w:w="8839" w:type="dxa"/>
          <w:jc w:val="center"/>
          <w:tblBorders>
            <w:top w:val="single" w:sz="12" w:space="0" w:color="auto"/>
            <w:left w:val="single" w:sz="12" w:space="0" w:color="auto"/>
            <w:bottom w:val="single" w:sz="12" w:space="0" w:color="auto"/>
            <w:right w:val="single" w:sz="12" w:space="0" w:color="auto"/>
          </w:tblBorders>
          <w:tblLayout w:type="fixed"/>
          <w:tblLook w:val="04A0"/>
        </w:tblPrEx>
        <w:trPr>
          <w:trHeight w:val="1290"/>
          <w:jc w:val="center"/>
        </w:trPr>
        <w:tc>
          <w:tcPr>
            <w:tcW w:w="955"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施工期环境保护措施</w:t>
            </w:r>
          </w:p>
        </w:tc>
        <w:tc>
          <w:tcPr>
            <w:tcW w:w="7884" w:type="dxa"/>
            <w:vAlign w:val="center"/>
          </w:tcPr>
          <w:p w:rsidR="00997F3B">
            <w:pPr>
              <w:jc w:val="left"/>
              <w:rPr>
                <w:rFonts w:ascii="Times New Roman" w:hAnsi="Times New Roman" w:eastAsiaTheme="minorEastAsia" w:cs="Times New Roman"/>
              </w:rPr>
            </w:pPr>
            <w:r>
              <w:rPr>
                <w:rFonts w:ascii="Times New Roman" w:hAnsi="Times New Roman" w:eastAsiaTheme="minorEastAsia" w:cs="Times New Roman"/>
              </w:rPr>
              <w:t xml:space="preserve">    1</w:t>
            </w:r>
            <w:r>
              <w:rPr>
                <w:rFonts w:ascii="Times New Roman" w:hAnsi="Times New Roman" w:eastAsiaTheme="minorEastAsia" w:cs="Times New Roman"/>
              </w:rPr>
              <w:t>、大气污染治理措施</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要求在施工场地上设置专人负责弃土、建筑垃圾、建筑材料的处置、清运和堆放，对运输建筑材料及建筑垃圾的车辆以及堆放场地加盖蓬布或洒水，防止二次扬尘；在施工过程中，作业场地应采取围挡、围护以减少扬尘扩散；同时，车辆进出装卸场地时应将轮胎冲洗干净；车辆行驶路线应首选外环路，尽量避开居民区和市中心区。</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2</w:t>
            </w:r>
            <w:r>
              <w:rPr>
                <w:rFonts w:ascii="Times New Roman" w:hAnsi="Times New Roman" w:eastAsiaTheme="minorEastAsia" w:cs="Times New Roman"/>
              </w:rPr>
              <w:t>、废水污染治理措施</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要求施工单位配套相应的施工排水设施，泥浆水应经沉淀池澄清后循环使用，尽量不外排；施工期机械设备和运输车辆作业时，应尽量避免油料外溢、渗漏；设置固定的清洁卫生场所、设备及车辆冲洗场所，施工人员生</w:t>
            </w:r>
            <w:r>
              <w:rPr>
                <w:rFonts w:ascii="Times New Roman" w:hAnsi="Times New Roman" w:eastAsiaTheme="minorEastAsia" w:cs="Times New Roman"/>
              </w:rPr>
              <w:t>活集中地中的生活污水应严格控制，防止乱倒生活污水，同时应建设简易隔油池和化粪池，含油污水经隔油池处理后与其它生活污水一起排入化粪池，处理达标后</w:t>
            </w:r>
            <w:r>
              <w:rPr>
                <w:rFonts w:ascii="Times New Roman" w:hAnsi="Times New Roman" w:eastAsiaTheme="minorEastAsia" w:cs="Times New Roman" w:hint="eastAsia"/>
              </w:rPr>
              <w:t>用于周边林地灌溉</w:t>
            </w:r>
            <w:r>
              <w:rPr>
                <w:rFonts w:ascii="Times New Roman" w:hAnsi="Times New Roman" w:eastAsiaTheme="minorEastAsia" w:cs="Times New Roman"/>
              </w:rPr>
              <w:t>，因此施工期废水污染治理措施可行。</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3</w:t>
            </w:r>
            <w:r>
              <w:rPr>
                <w:rFonts w:ascii="Times New Roman" w:hAnsi="Times New Roman" w:eastAsiaTheme="minorEastAsia" w:cs="Times New Roman"/>
              </w:rPr>
              <w:t>、噪声污染治理措施</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本项目施工时尽量采用低噪声施工机械，且夜间不进行施工。故项目施工噪声防治措施基本可行。主要措施为：</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1</w:t>
            </w:r>
            <w:r>
              <w:rPr>
                <w:rFonts w:ascii="Times New Roman" w:hAnsi="Times New Roman" w:eastAsiaTheme="minorEastAsia" w:cs="Times New Roman"/>
              </w:rPr>
              <w:t>）从声源上控制：建设单位在与施工单位签订合同时，应要求其使用的主要机械设备为低噪声机械设备。同时在施工过程中施工单位应设专人对设备进行定期保养和维护，并负责对现场工作人员进行培训，严格按操作规范使用各类机械。</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2</w:t>
            </w:r>
            <w:r>
              <w:rPr>
                <w:rFonts w:ascii="Times New Roman" w:hAnsi="Times New Roman" w:eastAsiaTheme="minorEastAsia" w:cs="Times New Roman"/>
              </w:rPr>
              <w:t>）合理安排施工时间，严格控制和尽量避免或减少夜间施工，若不可避免使用时，需提前向环保部门提出申请，经批准后在附近受影响区域张贴安民告示。</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3</w:t>
            </w:r>
            <w:r>
              <w:rPr>
                <w:rFonts w:ascii="Times New Roman" w:hAnsi="Times New Roman" w:eastAsiaTheme="minorEastAsia" w:cs="Times New Roman"/>
              </w:rPr>
              <w:t>）施工场地高噪声机械设备的施工作业尽量布置在远离敏感点的方向，并设立临时声屏障；在结构施工阶段和装修阶段，对建筑物的外部也应采用围挡，以减轻设备噪声对</w:t>
            </w:r>
            <w:r>
              <w:rPr>
                <w:rFonts w:ascii="Times New Roman" w:hAnsi="Times New Roman" w:eastAsiaTheme="minorEastAsia" w:cs="Times New Roman"/>
              </w:rPr>
              <w:t>周围环境的影响。</w:t>
            </w:r>
            <w:r>
              <w:rPr>
                <w:rFonts w:ascii="Times New Roman" w:hAnsi="Times New Roman" w:eastAsiaTheme="minorEastAsia" w:cs="Times New Roman"/>
              </w:rPr>
              <w:t xml:space="preserve"> </w:t>
            </w:r>
          </w:p>
          <w:p w:rsidR="00997F3B">
            <w:pPr>
              <w:spacing w:after="0"/>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4</w:t>
            </w:r>
            <w:r>
              <w:rPr>
                <w:rFonts w:ascii="Times New Roman" w:hAnsi="Times New Roman" w:eastAsiaTheme="minorEastAsia" w:cs="Times New Roman"/>
              </w:rPr>
              <w:t>）施工场地的施工车辆出入地点应尽量远离敏感点，车辆出入现</w:t>
            </w:r>
          </w:p>
        </w:tc>
      </w:tr>
    </w:tbl>
    <w:p>
      <w:pPr>
        <w:sectPr>
          <w:footerReference w:type="default" r:id="rId23"/>
          <w:type w:val="nextPage"/>
          <w:pgSz w:w="11906" w:h="16838"/>
          <w:pgMar w:top="1440" w:right="1800" w:bottom="1440" w:left="1800" w:header="851" w:footer="992" w:gutter="0"/>
          <w:pgNumType w:start="17"/>
          <w:cols w:space="425"/>
          <w:titlePg w:val="0"/>
          <w:docGrid w:type="lines" w:linePitch="312"/>
        </w:sectPr>
      </w:pPr>
    </w:p>
    <w:tbl>
      <w:tblPr>
        <w:tblStyle w:val="TableGrid17"/>
        <w:tblW w:w="8839"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955"/>
        <w:gridCol w:w="7884"/>
      </w:tblGrid>
      <w:tr>
        <w:tblPrEx>
          <w:tblW w:w="8839" w:type="dxa"/>
          <w:jc w:val="center"/>
          <w:tblBorders>
            <w:top w:val="single" w:sz="12" w:space="0" w:color="auto"/>
            <w:left w:val="single" w:sz="12" w:space="0" w:color="auto"/>
            <w:bottom w:val="single" w:sz="12" w:space="0" w:color="auto"/>
            <w:right w:val="single" w:sz="12" w:space="0" w:color="auto"/>
          </w:tblBorders>
          <w:tblLayout w:type="fixed"/>
          <w:tblLook w:val="04A0"/>
        </w:tblPrEx>
        <w:trPr>
          <w:trHeight w:val="1290"/>
          <w:jc w:val="center"/>
        </w:trPr>
        <w:tc>
          <w:tcPr>
            <w:tcW w:w="955" w:type="dxa"/>
            <w:vAlign w:val="center"/>
          </w:tcPr>
          <w:p/>
        </w:tc>
        <w:tc>
          <w:tcPr>
            <w:tcW w:w="7884" w:type="dxa"/>
            <w:vAlign w:val="center"/>
          </w:tcPr>
          <w:p w:rsidR="00997F3B">
            <w:pPr>
              <w:spacing w:before="0"/>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场时应低速、禁鸣。</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5</w:t>
            </w:r>
            <w:r>
              <w:rPr>
                <w:rFonts w:ascii="Times New Roman" w:hAnsi="Times New Roman" w:eastAsiaTheme="minorEastAsia" w:cs="Times New Roman"/>
              </w:rPr>
              <w:t>）建设管理部门应加强对施工场地的噪声管理，施工企业也应对施工噪声进行自律，文明施工，避免因施工噪声产生纠纷。</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6</w:t>
            </w:r>
            <w:r>
              <w:rPr>
                <w:rFonts w:ascii="Times New Roman" w:hAnsi="Times New Roman" w:eastAsiaTheme="minorEastAsia" w:cs="Times New Roman"/>
              </w:rPr>
              <w:t>）提高工作效率，加快施工进度，尽可能缩短施工建设对周围环境的影响。</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采取上述措施后可以削减施工期噪声的影响。</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4</w:t>
            </w:r>
            <w:r>
              <w:rPr>
                <w:rFonts w:ascii="Times New Roman" w:hAnsi="Times New Roman" w:eastAsiaTheme="minorEastAsia" w:cs="Times New Roman"/>
              </w:rPr>
              <w:t>、固体废物污染治理措施</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1</w:t>
            </w:r>
            <w:r>
              <w:rPr>
                <w:rFonts w:ascii="Times New Roman" w:hAnsi="Times New Roman" w:eastAsiaTheme="minorEastAsia" w:cs="Times New Roman"/>
              </w:rPr>
              <w:t>）建筑过程的建筑材料下脚料、包装袋等，可回收利用的尽量回用。本项目建设单位若自行安排处置场地的，其建筑废土处置的种类、范围和标高应经规划、土地、</w:t>
            </w:r>
            <w:r>
              <w:rPr>
                <w:rFonts w:ascii="Times New Roman" w:hAnsi="Times New Roman" w:eastAsiaTheme="minorEastAsia" w:cs="Times New Roman"/>
              </w:rPr>
              <w:t>环保等部门确定；运输车辆的运输路线和时间，应当符合公安交通管理部门的有关规定。</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w:t>
            </w:r>
            <w:r>
              <w:rPr>
                <w:rFonts w:ascii="Times New Roman" w:hAnsi="Times New Roman" w:eastAsiaTheme="minorEastAsia" w:cs="Times New Roman"/>
              </w:rPr>
              <w:t>2</w:t>
            </w:r>
            <w:r>
              <w:rPr>
                <w:rFonts w:ascii="Times New Roman" w:hAnsi="Times New Roman" w:eastAsiaTheme="minorEastAsia" w:cs="Times New Roman"/>
              </w:rPr>
              <w:t>）施工期的生活垃圾以及一些不能回收利用的材料，不能随意堆放、丢弃，应及时统一收集，清运到垃圾处理场进行无害化处理。</w:t>
            </w:r>
            <w:r>
              <w:rPr>
                <w:rFonts w:ascii="Times New Roman" w:hAnsi="Times New Roman" w:eastAsiaTheme="minorEastAsia" w:cs="Times New Roman"/>
              </w:rPr>
              <w:t xml:space="preserve"> </w:t>
            </w:r>
          </w:p>
          <w:p w:rsidR="00997F3B">
            <w:pPr>
              <w:ind w:firstLine="480" w:firstLineChars="200"/>
              <w:jc w:val="left"/>
              <w:rPr>
                <w:rFonts w:ascii="Times New Roman" w:hAnsi="Times New Roman" w:eastAsiaTheme="minorEastAsia" w:cs="Times New Roman"/>
              </w:rPr>
            </w:pPr>
            <w:r>
              <w:rPr>
                <w:rFonts w:ascii="Times New Roman" w:hAnsi="Times New Roman" w:eastAsiaTheme="minorEastAsia" w:cs="Times New Roman"/>
              </w:rPr>
              <w:t>综上所述，项目施工期的影响具有暂时性，随着施工期的结束，其对周围环境的影响也随之消失。在施工期间，项目若能采取以上措施，其对周围环境的影响是可以接受。</w:t>
            </w:r>
            <w:r>
              <w:rPr>
                <w:rFonts w:ascii="Times New Roman" w:hAnsi="Times New Roman" w:eastAsiaTheme="minorEastAsia" w:cs="Times New Roman"/>
              </w:rPr>
              <w:t xml:space="preserve"> </w:t>
            </w:r>
          </w:p>
        </w:tc>
      </w:tr>
      <w:tr>
        <w:tblPrEx>
          <w:tblW w:w="8839" w:type="dxa"/>
          <w:jc w:val="center"/>
          <w:tblLayout w:type="fixed"/>
          <w:tblLook w:val="04A0"/>
        </w:tblPrEx>
        <w:trPr>
          <w:trHeight w:val="90"/>
          <w:jc w:val="center"/>
        </w:trPr>
        <w:tc>
          <w:tcPr>
            <w:tcW w:w="955" w:type="dxa"/>
            <w:vAlign w:val="center"/>
          </w:tcPr>
          <w:p w:rsidR="00997F3B">
            <w:pPr>
              <w:jc w:val="center"/>
              <w:rPr>
                <w:rFonts w:ascii="Times New Roman" w:hAnsi="Times New Roman" w:eastAsiaTheme="minorEastAsia" w:cs="Times New Roman"/>
              </w:rPr>
            </w:pPr>
            <w:r>
              <w:rPr>
                <w:rFonts w:ascii="Times New Roman" w:hAnsi="Times New Roman" w:eastAsiaTheme="minorEastAsia" w:cs="Times New Roman"/>
              </w:rPr>
              <w:t>运营期环境影响和保护措施</w:t>
            </w:r>
          </w:p>
        </w:tc>
        <w:tc>
          <w:tcPr>
            <w:tcW w:w="7884" w:type="dxa"/>
            <w:vAlign w:val="center"/>
          </w:tcPr>
          <w:p w:rsidR="00997F3B">
            <w:pPr>
              <w:numPr>
                <w:ilvl w:val="0"/>
                <w:numId w:val="5"/>
              </w:numPr>
              <w:rPr>
                <w:rFonts w:ascii="Times New Roman" w:hAnsi="Times New Roman" w:eastAsiaTheme="minorEastAsia" w:cs="Times New Roman"/>
                <w:b/>
                <w:bCs/>
              </w:rPr>
            </w:pPr>
            <w:r>
              <w:rPr>
                <w:rFonts w:ascii="Times New Roman" w:hAnsi="Times New Roman" w:eastAsiaTheme="minorEastAsia" w:cs="Times New Roman"/>
                <w:b/>
                <w:bCs/>
              </w:rPr>
              <w:t>废气</w:t>
            </w:r>
          </w:p>
          <w:p w:rsidR="00997F3B">
            <w:pPr>
              <w:ind w:firstLine="480" w:firstLineChars="200"/>
              <w:rPr>
                <w:rFonts w:ascii="Times New Roman" w:hAnsi="Times New Roman" w:cs="Times New Roman"/>
                <w:b/>
                <w:bCs/>
              </w:rPr>
            </w:pPr>
            <w:r>
              <w:rPr>
                <w:rFonts w:ascii="Times New Roman" w:hAnsi="Times New Roman" w:cs="Times New Roman"/>
                <w:b/>
                <w:bCs/>
              </w:rPr>
              <w:t>1.1</w:t>
            </w:r>
            <w:r>
              <w:rPr>
                <w:rFonts w:ascii="Times New Roman" w:hAnsi="Times New Roman" w:cs="Times New Roman"/>
                <w:b/>
                <w:bCs/>
              </w:rPr>
              <w:t>废气污染源分析</w:t>
            </w:r>
          </w:p>
          <w:p w:rsidR="00997F3B">
            <w:pPr>
              <w:ind w:firstLine="480" w:firstLineChars="200"/>
              <w:rPr>
                <w:rFonts w:ascii="Times New Roman" w:hAnsi="Times New Roman" w:cs="Times New Roman"/>
              </w:rPr>
            </w:pPr>
            <w:r>
              <w:rPr>
                <w:rFonts w:ascii="Times New Roman" w:hAnsi="Times New Roman" w:cs="Times New Roman"/>
              </w:rPr>
              <w:t>项目的主要废气为</w:t>
            </w:r>
            <w:r>
              <w:rPr>
                <w:rFonts w:ascii="Times New Roman" w:hAnsi="Times New Roman" w:cs="Times New Roman" w:hint="eastAsia"/>
              </w:rPr>
              <w:t>堆场扬尘、运输粉尘、卸料粉尘和破碎筛分粉尘</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hint="eastAsia"/>
              </w:rPr>
              <w:t>A</w:t>
            </w:r>
            <w:r>
              <w:rPr>
                <w:rFonts w:ascii="Times New Roman" w:hAnsi="Times New Roman" w:cs="Times New Roman" w:hint="eastAsia"/>
              </w:rPr>
              <w:t>、</w:t>
            </w:r>
            <w:r>
              <w:rPr>
                <w:rFonts w:ascii="Times New Roman" w:hAnsi="Times New Roman" w:cs="Times New Roman"/>
              </w:rPr>
              <w:t>堆场扬尘</w:t>
            </w:r>
          </w:p>
          <w:p w:rsidR="00997F3B">
            <w:pPr>
              <w:ind w:firstLine="480" w:firstLineChars="200"/>
              <w:rPr>
                <w:rFonts w:ascii="Times New Roman" w:hAnsi="Times New Roman" w:cs="Times New Roman"/>
              </w:rPr>
            </w:pPr>
            <w:r>
              <w:rPr>
                <w:rFonts w:ascii="Times New Roman" w:hAnsi="Times New Roman" w:cs="Times New Roman"/>
              </w:rPr>
              <w:t>项目成品堆场粉尘参考西安夜间建筑学院的干堆场扬尘计算公式进行估算。估算公式如下：</w:t>
            </w:r>
          </w:p>
          <w:p w:rsidR="00997F3B">
            <w:pPr>
              <w:ind w:firstLine="480" w:firstLineChars="200"/>
              <w:rPr>
                <w:rFonts w:ascii="Times New Roman" w:hAnsi="Times New Roman" w:cs="Times New Roman"/>
              </w:rPr>
            </w:pPr>
            <w:r>
              <w:rPr>
                <w:rFonts w:ascii="Times New Roman" w:hAnsi="Times New Roman" w:cs="Times New Roman"/>
              </w:rPr>
              <w:object>
                <v:shape id="_x0000_i1084" type="#_x0000_t75" style="width:135.6pt;height:17.75pt" o:ole="">
                  <v:imagedata r:id="rId24" o:title=""/>
                </v:shape>
                <o:OLEObject Type="Embed" ProgID="Equations" ShapeID="_x0000_i1084" DrawAspect="Content" ObjectID="_1709623631" r:id="rId25"/>
              </w:object>
            </w:r>
          </w:p>
          <w:p w:rsidR="00997F3B">
            <w:pPr>
              <w:ind w:firstLine="480" w:firstLineChars="200"/>
              <w:rPr>
                <w:rFonts w:ascii="Times New Roman" w:hAnsi="Times New Roman" w:cs="Times New Roman"/>
              </w:rPr>
            </w:pPr>
            <w:r>
              <w:rPr>
                <w:rFonts w:ascii="Times New Roman" w:hAnsi="Times New Roman" w:cs="Times New Roman"/>
              </w:rPr>
              <w:t>式中：</w:t>
            </w:r>
            <w:r>
              <w:rPr>
                <w:rFonts w:ascii="Times New Roman" w:hAnsi="Times New Roman" w:cs="Times New Roman"/>
              </w:rPr>
              <w:t>Q—</w:t>
            </w:r>
            <w:r>
              <w:rPr>
                <w:rFonts w:ascii="Times New Roman" w:hAnsi="Times New Roman" w:cs="Times New Roman"/>
              </w:rPr>
              <w:t>尘产生量，</w:t>
            </w:r>
            <w:r>
              <w:rPr>
                <w:rFonts w:ascii="Times New Roman" w:hAnsi="Times New Roman" w:cs="Times New Roman"/>
              </w:rPr>
              <w:t>kg/d</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S—</w:t>
            </w:r>
            <w:r>
              <w:rPr>
                <w:rFonts w:ascii="Times New Roman" w:hAnsi="Times New Roman" w:cs="Times New Roman"/>
              </w:rPr>
              <w:t>面积，</w:t>
            </w:r>
            <w:r>
              <w:rPr>
                <w:rFonts w:ascii="Times New Roman" w:hAnsi="Times New Roman" w:cs="Times New Roman"/>
              </w:rPr>
              <w:t>m²</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IV—</w:t>
            </w:r>
            <w:r>
              <w:rPr>
                <w:rFonts w:ascii="Times New Roman" w:hAnsi="Times New Roman" w:cs="Times New Roman"/>
              </w:rPr>
              <w:t>风速（取平均风速</w:t>
            </w:r>
            <w:r>
              <w:rPr>
                <w:rFonts w:ascii="Times New Roman" w:hAnsi="Times New Roman" w:cs="Times New Roman"/>
              </w:rPr>
              <w:t xml:space="preserve"> </w:t>
            </w:r>
            <w:r>
              <w:rPr>
                <w:rFonts w:ascii="Times New Roman" w:hAnsi="Times New Roman" w:cs="Times New Roman" w:hint="eastAsia"/>
              </w:rPr>
              <w:t>2.0</w:t>
            </w:r>
            <w:r>
              <w:rPr>
                <w:rFonts w:ascii="Times New Roman" w:hAnsi="Times New Roman" w:cs="Times New Roman"/>
              </w:rPr>
              <w:t>m/s</w:t>
            </w:r>
            <w:r>
              <w:rPr>
                <w:rFonts w:ascii="Times New Roman" w:hAnsi="Times New Roman" w:cs="Times New Roman"/>
              </w:rPr>
              <w:t>）；</w:t>
            </w:r>
          </w:p>
          <w:p w:rsidR="00997F3B">
            <w:pPr>
              <w:spacing w:after="0"/>
              <w:ind w:firstLine="480" w:firstLineChars="200"/>
              <w:rPr>
                <w:rFonts w:ascii="Times New Roman" w:hAnsi="Times New Roman" w:cs="Times New Roman"/>
              </w:rPr>
            </w:pPr>
            <w:r>
              <w:rPr>
                <w:rFonts w:ascii="Times New Roman" w:hAnsi="Times New Roman" w:cs="Times New Roman"/>
              </w:rPr>
              <w:t>堆场面积</w:t>
            </w:r>
            <w:r>
              <w:rPr>
                <w:rFonts w:ascii="Times New Roman" w:hAnsi="Times New Roman" w:cs="Times New Roman" w:hint="eastAsia"/>
              </w:rPr>
              <w:t>30</w:t>
            </w:r>
            <w:r>
              <w:rPr>
                <w:rFonts w:ascii="Times New Roman" w:hAnsi="Times New Roman" w:cs="Times New Roman"/>
              </w:rPr>
              <w:t>00</w:t>
            </w:r>
            <w:r>
              <w:rPr>
                <w:rFonts w:ascii="Times New Roman" w:hAnsi="Times New Roman" w:cs="Times New Roman"/>
              </w:rPr>
              <w:t>m</w:t>
            </w:r>
            <w:r>
              <w:rPr>
                <w:rFonts w:ascii="Times New Roman" w:hAnsi="Times New Roman" w:cs="Times New Roman"/>
              </w:rPr>
              <w:t>²</w:t>
            </w:r>
            <w:r>
              <w:rPr>
                <w:rFonts w:ascii="Times New Roman" w:hAnsi="Times New Roman" w:cs="Times New Roman"/>
              </w:rPr>
              <w:t>，</w:t>
            </w:r>
            <w:r>
              <w:rPr>
                <w:rFonts w:ascii="Times New Roman" w:hAnsi="Times New Roman" w:cs="Times New Roman"/>
              </w:rPr>
              <w:t>项目采用湿法</w:t>
            </w:r>
            <w:r>
              <w:rPr>
                <w:rFonts w:ascii="Times New Roman" w:hAnsi="Times New Roman" w:cs="Times New Roman" w:hint="eastAsia"/>
              </w:rPr>
              <w:t>生产</w:t>
            </w:r>
            <w:r>
              <w:rPr>
                <w:rFonts w:ascii="Times New Roman" w:hAnsi="Times New Roman" w:cs="Times New Roman"/>
              </w:rPr>
              <w:t>工艺，堆场为三面封闭堆棚，仓顶设喷水雾装置，治理削减率按</w:t>
            </w:r>
            <w:r>
              <w:rPr>
                <w:rFonts w:ascii="Times New Roman" w:hAnsi="Times New Roman" w:cs="Times New Roman"/>
              </w:rPr>
              <w:t>90%</w:t>
            </w:r>
            <w:r>
              <w:rPr>
                <w:rFonts w:ascii="Times New Roman" w:hAnsi="Times New Roman" w:cs="Times New Roman"/>
              </w:rPr>
              <w:t>计，通过计算项目扬尘年产生量</w:t>
            </w:r>
            <w:r>
              <w:rPr>
                <w:rFonts w:ascii="Times New Roman" w:hAnsi="Times New Roman" w:cs="Times New Roman" w:hint="eastAsia"/>
              </w:rPr>
              <w:t>3.73</w:t>
            </w:r>
            <w:r>
              <w:rPr>
                <w:rFonts w:ascii="Times New Roman" w:hAnsi="Times New Roman" w:cs="Times New Roman"/>
              </w:rPr>
              <w:t>t/a</w:t>
            </w:r>
            <w:r>
              <w:rPr>
                <w:rFonts w:ascii="Times New Roman" w:hAnsi="Times New Roman" w:cs="Times New Roman"/>
              </w:rPr>
              <w:t>，扬尘产生速率为</w:t>
            </w:r>
            <w:r>
              <w:rPr>
                <w:rFonts w:ascii="Times New Roman" w:hAnsi="Times New Roman" w:cs="Times New Roman" w:hint="eastAsia"/>
              </w:rPr>
              <w:t>1.55</w:t>
            </w:r>
            <w:r>
              <w:rPr>
                <w:rFonts w:ascii="Times New Roman" w:hAnsi="Times New Roman" w:cs="Times New Roman"/>
              </w:rPr>
              <w:t>kg/h</w:t>
            </w:r>
            <w:r>
              <w:rPr>
                <w:rFonts w:ascii="Times New Roman" w:hAnsi="Times New Roman" w:cs="Times New Roman"/>
              </w:rPr>
              <w:t>，排放量</w:t>
            </w:r>
            <w:r>
              <w:rPr>
                <w:rFonts w:ascii="Times New Roman" w:hAnsi="Times New Roman" w:cs="Times New Roman"/>
              </w:rPr>
              <w:t>0.</w:t>
            </w:r>
            <w:r>
              <w:rPr>
                <w:rFonts w:ascii="Times New Roman" w:hAnsi="Times New Roman" w:cs="Times New Roman" w:hint="eastAsia"/>
              </w:rPr>
              <w:t>373</w:t>
            </w:r>
            <w:r>
              <w:rPr>
                <w:rFonts w:ascii="Times New Roman" w:hAnsi="Times New Roman" w:cs="Times New Roman"/>
              </w:rPr>
              <w:t>t/a</w:t>
            </w:r>
            <w:r>
              <w:rPr>
                <w:rFonts w:ascii="Times New Roman" w:hAnsi="Times New Roman" w:cs="Times New Roman"/>
              </w:rPr>
              <w:t>，排放速率为</w:t>
            </w:r>
          </w:p>
        </w:tc>
      </w:tr>
    </w:tbl>
    <w:p>
      <w:pPr>
        <w:sectPr>
          <w:footerReference w:type="default" r:id="rId26"/>
          <w:type w:val="nextPage"/>
          <w:pgSz w:w="11906" w:h="16838"/>
          <w:pgMar w:top="1440" w:right="1800" w:bottom="1440" w:left="1800" w:header="851" w:footer="992" w:gutter="0"/>
          <w:pgNumType w:start="18"/>
          <w:cols w:space="425"/>
          <w:titlePg w:val="0"/>
          <w:docGrid w:type="lines" w:linePitch="312"/>
        </w:sectPr>
      </w:pPr>
    </w:p>
    <w:tbl>
      <w:tblPr>
        <w:tblStyle w:val="TableGrid18"/>
        <w:tblW w:w="8839"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955"/>
        <w:gridCol w:w="7884"/>
      </w:tblGrid>
      <w:tr>
        <w:tblPrEx>
          <w:tblW w:w="8839" w:type="dxa"/>
          <w:jc w:val="center"/>
          <w:tblBorders>
            <w:top w:val="single" w:sz="12" w:space="0" w:color="auto"/>
            <w:left w:val="single" w:sz="12" w:space="0" w:color="auto"/>
            <w:bottom w:val="single" w:sz="12" w:space="0" w:color="auto"/>
            <w:right w:val="single" w:sz="12" w:space="0" w:color="auto"/>
          </w:tblBorders>
          <w:tblLayout w:type="fixed"/>
          <w:tblLook w:val="04A0"/>
        </w:tblPrEx>
        <w:trPr>
          <w:trHeight w:val="90"/>
          <w:jc w:val="center"/>
        </w:trPr>
        <w:tc>
          <w:tcPr>
            <w:tcW w:w="955" w:type="dxa"/>
            <w:vAlign w:val="center"/>
          </w:tcPr>
          <w:p/>
        </w:tc>
        <w:tc>
          <w:tcPr>
            <w:tcW w:w="7884" w:type="dxa"/>
            <w:vAlign w:val="center"/>
          </w:tcPr>
          <w:p w:rsidR="00997F3B">
            <w:pPr>
              <w:spacing w:before="0"/>
              <w:ind w:firstLine="480" w:firstLineChars="200"/>
              <w:rPr>
                <w:rFonts w:ascii="Times New Roman" w:hAnsi="Times New Roman" w:cs="Times New Roman"/>
              </w:rPr>
            </w:pPr>
            <w:r>
              <w:rPr>
                <w:rFonts w:ascii="Times New Roman" w:hAnsi="Times New Roman" w:cs="Times New Roman"/>
              </w:rPr>
              <w:t>0.</w:t>
            </w:r>
            <w:r>
              <w:rPr>
                <w:rFonts w:ascii="Times New Roman" w:hAnsi="Times New Roman" w:cs="Times New Roman" w:hint="eastAsia"/>
              </w:rPr>
              <w:t>155</w:t>
            </w:r>
            <w:r>
              <w:rPr>
                <w:rFonts w:ascii="Times New Roman" w:hAnsi="Times New Roman" w:cs="Times New Roman"/>
              </w:rPr>
              <w:t>kg/h</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hint="eastAsia"/>
              </w:rPr>
              <w:t>B</w:t>
            </w:r>
            <w:r>
              <w:rPr>
                <w:rFonts w:ascii="Times New Roman" w:hAnsi="Times New Roman" w:cs="Times New Roman" w:hint="eastAsia"/>
              </w:rPr>
              <w:t>、</w:t>
            </w:r>
            <w:r>
              <w:rPr>
                <w:rFonts w:ascii="Times New Roman" w:hAnsi="Times New Roman" w:cs="Times New Roman"/>
              </w:rPr>
              <w:t>厂区道路运输扬尘</w:t>
            </w:r>
          </w:p>
          <w:p w:rsidR="00997F3B">
            <w:pPr>
              <w:ind w:firstLine="480" w:firstLineChars="200"/>
              <w:rPr>
                <w:rFonts w:ascii="Times New Roman" w:hAnsi="Times New Roman" w:cs="Times New Roman"/>
              </w:rPr>
            </w:pPr>
            <w:r>
              <w:rPr>
                <w:rFonts w:ascii="Times New Roman" w:hAnsi="Times New Roman" w:cs="Times New Roman"/>
              </w:rPr>
              <w:t>项目运输车辆在厂区内行驶时产生的扬尘，在道路完全干燥的情况下，可按下列经验公式计算：</w:t>
            </w:r>
          </w:p>
          <w:p w:rsidR="00997F3B">
            <w:pPr>
              <w:ind w:firstLine="480" w:firstLineChars="200"/>
              <w:rPr>
                <w:rFonts w:ascii="Times New Roman" w:hAnsi="Times New Roman" w:cs="Times New Roman"/>
              </w:rPr>
            </w:pPr>
            <w:r>
              <w:rPr>
                <w:rFonts w:ascii="Times New Roman" w:hAnsi="Times New Roman" w:cs="Times New Roman"/>
              </w:rPr>
              <w:object>
                <v:shape id="_x0000_i1085" type="#_x0000_t75" style="width:206.65pt;height:38.35pt" o:ole="">
                  <v:imagedata r:id="rId27" o:title=""/>
                </v:shape>
                <o:OLEObject Type="Embed" ProgID="Equations" ShapeID="_x0000_i1085" DrawAspect="Content" ObjectID="_1709623632" r:id="rId28"/>
              </w:object>
            </w:r>
          </w:p>
          <w:p w:rsidR="00997F3B">
            <w:pPr>
              <w:ind w:firstLine="480" w:firstLineChars="200"/>
              <w:rPr>
                <w:rFonts w:ascii="Times New Roman" w:hAnsi="Times New Roman" w:cs="Times New Roman"/>
              </w:rPr>
            </w:pPr>
            <w:r>
              <w:rPr>
                <w:rFonts w:ascii="Times New Roman" w:hAnsi="Times New Roman" w:cs="Times New Roman"/>
              </w:rPr>
              <w:t>式中：</w:t>
            </w:r>
            <w:r>
              <w:rPr>
                <w:rFonts w:ascii="Times New Roman" w:hAnsi="Times New Roman" w:cs="Times New Roman"/>
              </w:rPr>
              <w:t>Q</w:t>
            </w:r>
            <w:r>
              <w:rPr>
                <w:rFonts w:ascii="Times New Roman" w:hAnsi="Times New Roman" w:cs="Times New Roman"/>
                <w:vertAlign w:val="subscript"/>
              </w:rPr>
              <w:t>i</w:t>
            </w:r>
            <w:r>
              <w:rPr>
                <w:rFonts w:ascii="Times New Roman" w:hAnsi="Times New Roman" w:cs="Times New Roman"/>
              </w:rPr>
              <w:t>——</w:t>
            </w:r>
            <w:r>
              <w:rPr>
                <w:rFonts w:ascii="Times New Roman" w:hAnsi="Times New Roman" w:cs="Times New Roman"/>
              </w:rPr>
              <w:t>汽车行驶扬尘量，</w:t>
            </w:r>
            <w:r>
              <w:rPr>
                <w:rFonts w:ascii="Times New Roman" w:hAnsi="Times New Roman" w:cs="Times New Roman"/>
              </w:rPr>
              <w:t>kg/km·</w:t>
            </w:r>
            <w:r>
              <w:rPr>
                <w:rFonts w:ascii="Times New Roman" w:hAnsi="Times New Roman" w:cs="Times New Roman"/>
              </w:rPr>
              <w:t>辆；</w:t>
            </w:r>
          </w:p>
          <w:p w:rsidR="00997F3B">
            <w:pPr>
              <w:ind w:firstLine="480" w:firstLineChars="200"/>
              <w:rPr>
                <w:rFonts w:ascii="Times New Roman" w:hAnsi="Times New Roman" w:cs="Times New Roman"/>
              </w:rPr>
            </w:pPr>
            <w:r>
              <w:rPr>
                <w:rFonts w:ascii="Times New Roman" w:hAnsi="Times New Roman" w:cs="Times New Roman"/>
              </w:rPr>
              <w:t>Q</w:t>
            </w:r>
            <w:r>
              <w:rPr>
                <w:rFonts w:ascii="Times New Roman" w:hAnsi="Times New Roman" w:cs="Times New Roman"/>
                <w:vertAlign w:val="subscript"/>
              </w:rPr>
              <w:t>0</w:t>
            </w:r>
            <w:r>
              <w:rPr>
                <w:rFonts w:ascii="Times New Roman" w:hAnsi="Times New Roman" w:cs="Times New Roman"/>
              </w:rPr>
              <w:t>——</w:t>
            </w:r>
            <w:r>
              <w:rPr>
                <w:rFonts w:ascii="Times New Roman" w:hAnsi="Times New Roman" w:cs="Times New Roman"/>
              </w:rPr>
              <w:t>汽车运输总扬尘量，</w:t>
            </w:r>
            <w:r>
              <w:rPr>
                <w:rFonts w:ascii="Times New Roman" w:hAnsi="Times New Roman" w:cs="Times New Roman"/>
              </w:rPr>
              <w:t>kg/a</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Q——</w:t>
            </w:r>
            <w:r>
              <w:rPr>
                <w:rFonts w:ascii="Times New Roman" w:hAnsi="Times New Roman" w:cs="Times New Roman"/>
              </w:rPr>
              <w:t>运输量，</w:t>
            </w:r>
            <w:r>
              <w:rPr>
                <w:rFonts w:ascii="Times New Roman" w:hAnsi="Times New Roman" w:cs="Times New Roman"/>
              </w:rPr>
              <w:t>t/a</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V——</w:t>
            </w:r>
            <w:r>
              <w:rPr>
                <w:rFonts w:ascii="Times New Roman" w:hAnsi="Times New Roman" w:cs="Times New Roman"/>
              </w:rPr>
              <w:t>汽车速度，</w:t>
            </w:r>
            <w:r>
              <w:rPr>
                <w:rFonts w:ascii="Times New Roman" w:hAnsi="Times New Roman" w:cs="Times New Roman"/>
              </w:rPr>
              <w:t>km/h</w:t>
            </w:r>
            <w:r>
              <w:rPr>
                <w:rFonts w:ascii="Times New Roman" w:hAnsi="Times New Roman" w:cs="Times New Roman"/>
              </w:rPr>
              <w:t>；本项目取满载</w:t>
            </w:r>
            <w:r>
              <w:rPr>
                <w:rFonts w:ascii="Times New Roman" w:hAnsi="Times New Roman" w:cs="Times New Roman"/>
              </w:rPr>
              <w:t xml:space="preserve"> 10km/h</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M——</w:t>
            </w:r>
            <w:r>
              <w:rPr>
                <w:rFonts w:ascii="Times New Roman" w:hAnsi="Times New Roman" w:cs="Times New Roman"/>
              </w:rPr>
              <w:t>汽车载重量，</w:t>
            </w:r>
            <w:r>
              <w:rPr>
                <w:rFonts w:ascii="Times New Roman" w:hAnsi="Times New Roman" w:cs="Times New Roman"/>
              </w:rPr>
              <w:t>t</w:t>
            </w:r>
            <w:r>
              <w:rPr>
                <w:rFonts w:ascii="Times New Roman" w:hAnsi="Times New Roman" w:cs="Times New Roman"/>
              </w:rPr>
              <w:t>；本项目取满载</w:t>
            </w:r>
            <w:r>
              <w:rPr>
                <w:rFonts w:ascii="Times New Roman" w:hAnsi="Times New Roman" w:cs="Times New Roman"/>
              </w:rPr>
              <w:t>30t/</w:t>
            </w:r>
            <w:r>
              <w:rPr>
                <w:rFonts w:ascii="Times New Roman" w:hAnsi="Times New Roman" w:cs="Times New Roman"/>
              </w:rPr>
              <w:t>辆；</w:t>
            </w:r>
            <w:r>
              <w:rPr>
                <w:rFonts w:ascii="Times New Roman" w:hAnsi="Times New Roman" w:cs="Times New Roman"/>
              </w:rPr>
              <w:t xml:space="preserve"> </w:t>
            </w:r>
          </w:p>
          <w:p w:rsidR="00997F3B">
            <w:pPr>
              <w:ind w:firstLine="480" w:firstLineChars="200"/>
              <w:rPr>
                <w:rFonts w:ascii="Times New Roman" w:hAnsi="Times New Roman" w:cs="Times New Roman"/>
              </w:rPr>
            </w:pPr>
            <w:r>
              <w:rPr>
                <w:rFonts w:ascii="Times New Roman" w:hAnsi="Times New Roman" w:cs="Times New Roman"/>
              </w:rPr>
              <w:t>L——</w:t>
            </w:r>
            <w:r>
              <w:rPr>
                <w:rFonts w:ascii="Times New Roman" w:hAnsi="Times New Roman" w:cs="Times New Roman"/>
              </w:rPr>
              <w:t>运距，</w:t>
            </w:r>
            <w:r>
              <w:rPr>
                <w:rFonts w:ascii="Times New Roman" w:hAnsi="Times New Roman" w:cs="Times New Roman"/>
              </w:rPr>
              <w:t>m</w:t>
            </w:r>
            <w:r>
              <w:rPr>
                <w:rFonts w:ascii="Times New Roman" w:hAnsi="Times New Roman" w:cs="Times New Roman"/>
              </w:rPr>
              <w:t>；本项目取</w:t>
            </w:r>
            <w:r>
              <w:rPr>
                <w:rFonts w:ascii="Times New Roman" w:hAnsi="Times New Roman" w:cs="Times New Roman"/>
              </w:rPr>
              <w:t xml:space="preserve"> 50m</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P——</w:t>
            </w:r>
            <w:r>
              <w:rPr>
                <w:rFonts w:ascii="Times New Roman" w:hAnsi="Times New Roman" w:cs="Times New Roman"/>
              </w:rPr>
              <w:t>道路表面灰尘覆盖率，</w:t>
            </w:r>
            <w:r>
              <w:rPr>
                <w:rFonts w:ascii="Times New Roman" w:hAnsi="Times New Roman" w:cs="Times New Roman"/>
              </w:rPr>
              <w:t>kg/</w:t>
            </w:r>
            <w:r>
              <w:rPr>
                <w:rFonts w:ascii="Times New Roman" w:hAnsi="Times New Roman" w:cs="Times New Roman" w:hint="eastAsia"/>
              </w:rPr>
              <w:t>m</w:t>
            </w:r>
            <w:r>
              <w:rPr>
                <w:rFonts w:ascii="Times New Roman" w:hAnsi="Times New Roman" w:cs="Times New Roman" w:hint="eastAsia"/>
              </w:rPr>
              <w:t>²</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通过对现场路面调查及查阅相关资料，本项目道路水泥硬化后粉尘覆盖率取</w:t>
            </w:r>
            <w:r>
              <w:rPr>
                <w:rFonts w:ascii="Times New Roman" w:hAnsi="Times New Roman" w:cs="Times New Roman"/>
              </w:rPr>
              <w:t>0.2kg/</w:t>
            </w:r>
            <w:r>
              <w:rPr>
                <w:rFonts w:ascii="Times New Roman" w:hAnsi="Times New Roman" w:cs="Times New Roman" w:hint="eastAsia"/>
              </w:rPr>
              <w:t>m</w:t>
            </w:r>
            <w:r>
              <w:rPr>
                <w:rFonts w:ascii="Times New Roman" w:hAnsi="Times New Roman" w:cs="Times New Roman" w:hint="eastAsia"/>
              </w:rPr>
              <w:t>²</w:t>
            </w:r>
            <w:r>
              <w:rPr>
                <w:rFonts w:ascii="Times New Roman" w:hAnsi="Times New Roman" w:cs="Times New Roman"/>
              </w:rPr>
              <w:t>。经计算可知，项目运输车辆满载状态下运输扬尘量为</w:t>
            </w:r>
            <w:r>
              <w:rPr>
                <w:rFonts w:ascii="Times New Roman" w:hAnsi="Times New Roman" w:cs="Times New Roman"/>
              </w:rPr>
              <w:t>0.449kg/km·</w:t>
            </w:r>
            <w:r>
              <w:rPr>
                <w:rFonts w:ascii="Times New Roman" w:hAnsi="Times New Roman" w:cs="Times New Roman"/>
              </w:rPr>
              <w:t>辆。本项目每年运输约</w:t>
            </w:r>
            <w:r>
              <w:rPr>
                <w:rFonts w:ascii="Times New Roman" w:hAnsi="Times New Roman" w:cs="Times New Roman" w:hint="eastAsia"/>
              </w:rPr>
              <w:t>56250</w:t>
            </w:r>
            <w:r>
              <w:rPr>
                <w:rFonts w:ascii="Times New Roman" w:hAnsi="Times New Roman" w:cs="Times New Roman"/>
              </w:rPr>
              <w:t>车次，本项目厂区道路约</w:t>
            </w:r>
            <w:r>
              <w:rPr>
                <w:rFonts w:ascii="Times New Roman" w:hAnsi="Times New Roman" w:cs="Times New Roman"/>
              </w:rPr>
              <w:t>50m</w:t>
            </w:r>
            <w:r>
              <w:rPr>
                <w:rFonts w:ascii="Times New Roman" w:hAnsi="Times New Roman" w:cs="Times New Roman"/>
              </w:rPr>
              <w:t>，考虑汽车往返（满车运输，原料进产品进出）。经计算可知，本项目车辆满载运输时产生的总扬尘量为</w:t>
            </w:r>
            <w:r>
              <w:rPr>
                <w:rFonts w:ascii="Times New Roman" w:hAnsi="Times New Roman" w:cs="Times New Roman" w:hint="eastAsia"/>
              </w:rPr>
              <w:t>1.26</w:t>
            </w:r>
            <w:r>
              <w:rPr>
                <w:rFonts w:ascii="Times New Roman" w:hAnsi="Times New Roman" w:cs="Times New Roman"/>
              </w:rPr>
              <w:t>t/a</w:t>
            </w:r>
            <w:r>
              <w:rPr>
                <w:rFonts w:ascii="Times New Roman" w:hAnsi="Times New Roman" w:cs="Times New Roman"/>
              </w:rPr>
              <w:t>（</w:t>
            </w:r>
            <w:r>
              <w:rPr>
                <w:rFonts w:ascii="Times New Roman" w:hAnsi="Times New Roman" w:cs="Times New Roman" w:hint="eastAsia"/>
              </w:rPr>
              <w:t>0.53</w:t>
            </w:r>
            <w:r>
              <w:rPr>
                <w:rFonts w:ascii="Times New Roman" w:hAnsi="Times New Roman" w:cs="Times New Roman"/>
              </w:rPr>
              <w:t>kg/h</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rPr>
              <w:t>在采取道路表面清扫、洒水喷淋降尘，运输车辆车厢用帆布遮盖等措施后，除尘效率不低于</w:t>
            </w:r>
            <w:r>
              <w:rPr>
                <w:rFonts w:ascii="Times New Roman" w:hAnsi="Times New Roman" w:cs="Times New Roman"/>
              </w:rPr>
              <w:t>70%</w:t>
            </w:r>
            <w:r>
              <w:rPr>
                <w:rFonts w:ascii="Times New Roman" w:hAnsi="Times New Roman" w:cs="Times New Roman"/>
              </w:rPr>
              <w:t>，本评价以</w:t>
            </w:r>
            <w:r>
              <w:rPr>
                <w:rFonts w:ascii="Times New Roman" w:hAnsi="Times New Roman" w:cs="Times New Roman"/>
              </w:rPr>
              <w:t>70%</w:t>
            </w:r>
            <w:r>
              <w:rPr>
                <w:rFonts w:ascii="Times New Roman" w:hAnsi="Times New Roman" w:cs="Times New Roman"/>
              </w:rPr>
              <w:t>计</w:t>
            </w:r>
            <w:r>
              <w:rPr>
                <w:rFonts w:ascii="Times New Roman" w:hAnsi="Times New Roman" w:cs="Times New Roman"/>
              </w:rPr>
              <w:t>,</w:t>
            </w:r>
            <w:r>
              <w:rPr>
                <w:rFonts w:ascii="Times New Roman" w:hAnsi="Times New Roman" w:cs="Times New Roman"/>
              </w:rPr>
              <w:t>则经计算得，采取合理降尘措施后，项目厂区运输扬尘排放总量为</w:t>
            </w:r>
            <w:r>
              <w:rPr>
                <w:rFonts w:ascii="Times New Roman" w:hAnsi="Times New Roman" w:cs="Times New Roman" w:hint="eastAsia"/>
              </w:rPr>
              <w:t>0.378</w:t>
            </w:r>
            <w:r>
              <w:rPr>
                <w:rFonts w:ascii="Times New Roman" w:hAnsi="Times New Roman" w:cs="Times New Roman"/>
              </w:rPr>
              <w:t>t/a</w:t>
            </w:r>
            <w:r>
              <w:rPr>
                <w:rFonts w:ascii="Times New Roman" w:hAnsi="Times New Roman" w:cs="Times New Roman"/>
              </w:rPr>
              <w:t>（</w:t>
            </w:r>
            <w:r>
              <w:rPr>
                <w:rFonts w:ascii="Times New Roman" w:hAnsi="Times New Roman" w:cs="Times New Roman"/>
              </w:rPr>
              <w:t>0.</w:t>
            </w:r>
            <w:r>
              <w:rPr>
                <w:rFonts w:ascii="Times New Roman" w:hAnsi="Times New Roman" w:cs="Times New Roman" w:hint="eastAsia"/>
              </w:rPr>
              <w:t>16</w:t>
            </w:r>
            <w:r>
              <w:rPr>
                <w:rFonts w:ascii="Times New Roman" w:hAnsi="Times New Roman" w:cs="Times New Roman"/>
              </w:rPr>
              <w:t>kg/h</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hint="eastAsia"/>
              </w:rPr>
              <w:t>C</w:t>
            </w:r>
            <w:r>
              <w:rPr>
                <w:rFonts w:ascii="Times New Roman" w:hAnsi="Times New Roman" w:cs="Times New Roman" w:hint="eastAsia"/>
              </w:rPr>
              <w:t>、</w:t>
            </w:r>
            <w:r>
              <w:rPr>
                <w:rFonts w:ascii="Times New Roman" w:hAnsi="Times New Roman" w:cs="Times New Roman"/>
              </w:rPr>
              <w:t>卸料粉尘</w:t>
            </w:r>
          </w:p>
          <w:p w:rsidR="00997F3B">
            <w:pPr>
              <w:ind w:firstLine="480" w:firstLineChars="200"/>
              <w:rPr>
                <w:rFonts w:ascii="Times New Roman" w:hAnsi="Times New Roman" w:cs="Times New Roman"/>
              </w:rPr>
            </w:pPr>
            <w:r>
              <w:rPr>
                <w:rFonts w:ascii="Times New Roman" w:hAnsi="Times New Roman" w:cs="Times New Roman"/>
              </w:rPr>
              <w:t>原料在装卸过程中易形成粉尘。项目主</w:t>
            </w:r>
            <w:r>
              <w:rPr>
                <w:rFonts w:ascii="Times New Roman" w:hAnsi="Times New Roman" w:cs="Times New Roman"/>
              </w:rPr>
              <w:t>要使用自卸汽车装卸原料，本环评选用山西环保科研所武汉水运工程学院提出的经验公式进行估算。自卸汽车卸料起尘量采用下式进行估算：</w:t>
            </w:r>
            <w:r>
              <w:rPr>
                <w:rFonts w:ascii="Times New Roman" w:hAnsi="Times New Roman" w:cs="Times New Roman"/>
              </w:rPr>
              <w:t xml:space="preserve"> </w:t>
            </w:r>
          </w:p>
          <w:p w:rsidR="00997F3B">
            <w:pPr>
              <w:ind w:firstLine="480" w:firstLineChars="200"/>
              <w:rPr>
                <w:rFonts w:ascii="Times New Roman" w:hAnsi="Times New Roman" w:cs="Times New Roman"/>
              </w:rPr>
            </w:pPr>
            <w:r>
              <w:rPr>
                <w:rFonts w:ascii="Times New Roman" w:hAnsi="Times New Roman" w:cs="Times New Roman"/>
              </w:rPr>
              <w:object>
                <v:shape id="_x0000_i1086" type="#_x0000_t75" style="width:58.9pt;height:26.2pt" o:ole="">
                  <v:imagedata r:id="rId29" o:title=""/>
                </v:shape>
                <o:OLEObject Type="Embed" ProgID="Equations" ShapeID="_x0000_i1086" DrawAspect="Content" ObjectID="_1709623633" r:id="rId30"/>
              </w:object>
            </w:r>
          </w:p>
          <w:p w:rsidR="00997F3B">
            <w:pPr>
              <w:ind w:firstLine="480" w:firstLineChars="200"/>
              <w:rPr>
                <w:rFonts w:ascii="Times New Roman" w:hAnsi="Times New Roman" w:cs="Times New Roman"/>
              </w:rPr>
            </w:pPr>
            <w:r>
              <w:rPr>
                <w:rFonts w:ascii="Times New Roman" w:hAnsi="Times New Roman" w:cs="Times New Roman"/>
              </w:rPr>
              <w:t>式中：</w:t>
            </w:r>
            <w:r>
              <w:rPr>
                <w:rFonts w:ascii="Times New Roman" w:hAnsi="Times New Roman" w:cs="Times New Roman"/>
              </w:rPr>
              <w:t>Q</w:t>
            </w:r>
            <w:r>
              <w:rPr>
                <w:rFonts w:ascii="Times New Roman" w:hAnsi="Times New Roman" w:cs="Times New Roman"/>
              </w:rPr>
              <w:t>：自卸汽车卸料起尘量，（</w:t>
            </w:r>
            <w:r>
              <w:rPr>
                <w:rFonts w:ascii="Times New Roman" w:hAnsi="Times New Roman" w:cs="Times New Roman"/>
              </w:rPr>
              <w:t>g/</w:t>
            </w:r>
            <w:r>
              <w:rPr>
                <w:rFonts w:ascii="Times New Roman" w:hAnsi="Times New Roman" w:cs="Times New Roman"/>
              </w:rPr>
              <w:t>次）；</w:t>
            </w:r>
            <w:r>
              <w:rPr>
                <w:rFonts w:ascii="Times New Roman" w:hAnsi="Times New Roman" w:cs="Times New Roman"/>
              </w:rPr>
              <w:t xml:space="preserve"> </w:t>
            </w:r>
          </w:p>
          <w:p w:rsidR="00997F3B">
            <w:pPr>
              <w:ind w:firstLine="480" w:firstLineChars="200"/>
              <w:rPr>
                <w:rFonts w:ascii="Times New Roman" w:hAnsi="Times New Roman" w:cs="Times New Roman"/>
              </w:rPr>
            </w:pPr>
            <w:r>
              <w:rPr>
                <w:rFonts w:ascii="Times New Roman" w:hAnsi="Times New Roman" w:cs="Times New Roman"/>
              </w:rPr>
              <w:t>u</w:t>
            </w:r>
            <w:r>
              <w:rPr>
                <w:rFonts w:ascii="Times New Roman" w:hAnsi="Times New Roman" w:cs="Times New Roman"/>
              </w:rPr>
              <w:t>：平均风速，</w:t>
            </w:r>
            <w:r>
              <w:rPr>
                <w:rFonts w:ascii="Times New Roman" w:hAnsi="Times New Roman" w:cs="Times New Roman"/>
              </w:rPr>
              <w:t>m/s</w:t>
            </w:r>
            <w:r>
              <w:rPr>
                <w:rFonts w:ascii="Times New Roman" w:hAnsi="Times New Roman" w:cs="Times New Roman"/>
              </w:rPr>
              <w:t>；</w:t>
            </w:r>
            <w:r>
              <w:rPr>
                <w:rFonts w:ascii="Times New Roman" w:hAnsi="Times New Roman" w:cs="Times New Roman"/>
              </w:rPr>
              <w:t xml:space="preserve"> </w:t>
            </w:r>
          </w:p>
          <w:p w:rsidR="00997F3B">
            <w:pPr>
              <w:ind w:firstLine="480" w:firstLineChars="200"/>
              <w:rPr>
                <w:rFonts w:ascii="Times New Roman" w:hAnsi="Times New Roman" w:cs="Times New Roman"/>
              </w:rPr>
            </w:pPr>
            <w:r>
              <w:rPr>
                <w:rFonts w:ascii="Times New Roman" w:hAnsi="Times New Roman" w:cs="Times New Roman"/>
              </w:rPr>
              <w:t>M</w:t>
            </w:r>
            <w:r>
              <w:rPr>
                <w:rFonts w:ascii="Times New Roman" w:hAnsi="Times New Roman" w:cs="Times New Roman"/>
              </w:rPr>
              <w:t>：汽车每次卸料量，</w:t>
            </w:r>
            <w:r>
              <w:rPr>
                <w:rFonts w:ascii="Times New Roman" w:hAnsi="Times New Roman" w:cs="Times New Roman"/>
              </w:rPr>
              <w:t>t/</w:t>
            </w:r>
            <w:r>
              <w:rPr>
                <w:rFonts w:ascii="Times New Roman" w:hAnsi="Times New Roman" w:cs="Times New Roman"/>
              </w:rPr>
              <w:t>次。</w:t>
            </w:r>
            <w:r>
              <w:rPr>
                <w:rFonts w:ascii="Times New Roman" w:hAnsi="Times New Roman" w:cs="Times New Roman"/>
              </w:rPr>
              <w:t xml:space="preserve"> </w:t>
            </w:r>
          </w:p>
        </w:tc>
      </w:tr>
    </w:tbl>
    <w:p>
      <w:pPr>
        <w:sectPr>
          <w:footerReference w:type="default" r:id="rId31"/>
          <w:type w:val="nextPage"/>
          <w:pgSz w:w="11906" w:h="16838"/>
          <w:pgMar w:top="1440" w:right="1800" w:bottom="1440" w:left="1800" w:header="851" w:footer="992" w:gutter="0"/>
          <w:pgNumType w:start="19"/>
          <w:cols w:space="425"/>
          <w:titlePg w:val="0"/>
          <w:docGrid w:type="lines" w:linePitch="312"/>
        </w:sectPr>
      </w:pPr>
    </w:p>
    <w:tbl>
      <w:tblPr>
        <w:tblStyle w:val="TableGrid19"/>
        <w:tblW w:w="8839"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955"/>
        <w:gridCol w:w="7884"/>
      </w:tblGrid>
      <w:tr>
        <w:tblPrEx>
          <w:tblW w:w="8839" w:type="dxa"/>
          <w:jc w:val="center"/>
          <w:tblBorders>
            <w:top w:val="single" w:sz="12" w:space="0" w:color="auto"/>
            <w:left w:val="single" w:sz="12" w:space="0" w:color="auto"/>
            <w:bottom w:val="single" w:sz="12" w:space="0" w:color="auto"/>
            <w:right w:val="single" w:sz="12" w:space="0" w:color="auto"/>
          </w:tblBorders>
          <w:tblLayout w:type="fixed"/>
          <w:tblLook w:val="04A0"/>
        </w:tblPrEx>
        <w:trPr>
          <w:trHeight w:val="90"/>
          <w:jc w:val="center"/>
        </w:trPr>
        <w:tc>
          <w:tcPr>
            <w:tcW w:w="955" w:type="dxa"/>
            <w:vAlign w:val="center"/>
          </w:tcPr>
          <w:p/>
        </w:tc>
        <w:tc>
          <w:tcPr>
            <w:tcW w:w="7884" w:type="dxa"/>
            <w:vAlign w:val="center"/>
          </w:tcPr>
          <w:p w:rsidR="00997F3B">
            <w:pPr>
              <w:ind w:firstLine="480" w:firstLineChars="200"/>
              <w:rPr>
                <w:rFonts w:ascii="Times New Roman" w:hAnsi="Times New Roman" w:cs="Times New Roman"/>
              </w:rPr>
            </w:pPr>
            <w:r>
              <w:rPr>
                <w:rFonts w:ascii="Times New Roman" w:hAnsi="Times New Roman" w:cs="Times New Roman"/>
              </w:rPr>
              <w:t>查阅数据可知，</w:t>
            </w:r>
            <w:r>
              <w:rPr>
                <w:rFonts w:ascii="Times New Roman" w:hAnsi="Times New Roman" w:cs="Times New Roman" w:hint="eastAsia"/>
              </w:rPr>
              <w:t>永定区</w:t>
            </w:r>
            <w:r>
              <w:rPr>
                <w:rFonts w:ascii="Times New Roman" w:hAnsi="Times New Roman" w:cs="Times New Roman"/>
              </w:rPr>
              <w:t>年平均风速</w:t>
            </w:r>
            <w:r>
              <w:rPr>
                <w:rFonts w:ascii="Times New Roman" w:hAnsi="Times New Roman" w:cs="Times New Roman"/>
              </w:rPr>
              <w:t xml:space="preserve"> </w:t>
            </w:r>
            <w:r>
              <w:rPr>
                <w:rFonts w:ascii="Times New Roman" w:hAnsi="Times New Roman" w:cs="Times New Roman" w:hint="eastAsia"/>
              </w:rPr>
              <w:t>2.0</w:t>
            </w:r>
            <w:r>
              <w:rPr>
                <w:rFonts w:ascii="Times New Roman" w:hAnsi="Times New Roman" w:cs="Times New Roman"/>
              </w:rPr>
              <w:t>m/s</w:t>
            </w:r>
            <w:r>
              <w:rPr>
                <w:rFonts w:ascii="Times New Roman" w:hAnsi="Times New Roman" w:cs="Times New Roman"/>
              </w:rPr>
              <w:t>，车辆每次卸料量按</w:t>
            </w:r>
            <w:r>
              <w:rPr>
                <w:rFonts w:ascii="Times New Roman" w:hAnsi="Times New Roman" w:cs="Times New Roman"/>
              </w:rPr>
              <w:t>30t/</w:t>
            </w:r>
            <w:r>
              <w:rPr>
                <w:rFonts w:ascii="Times New Roman" w:hAnsi="Times New Roman" w:cs="Times New Roman"/>
              </w:rPr>
              <w:t>次，</w:t>
            </w:r>
            <w:r>
              <w:rPr>
                <w:rFonts w:ascii="Times New Roman" w:hAnsi="Times New Roman" w:cs="Times New Roman"/>
              </w:rPr>
              <w:t>经计算本目装卸扬尘量约为</w:t>
            </w:r>
            <w:r>
              <w:rPr>
                <w:rFonts w:ascii="Times New Roman" w:hAnsi="Times New Roman" w:cs="Times New Roman" w:hint="eastAsia"/>
              </w:rPr>
              <w:t>12.05</w:t>
            </w:r>
            <w:r>
              <w:rPr>
                <w:rFonts w:ascii="Times New Roman" w:hAnsi="Times New Roman" w:cs="Times New Roman"/>
              </w:rPr>
              <w:t>g/</w:t>
            </w:r>
            <w:r>
              <w:rPr>
                <w:rFonts w:ascii="Times New Roman" w:hAnsi="Times New Roman" w:cs="Times New Roman"/>
              </w:rPr>
              <w:t>次，原料卸货次数大约为</w:t>
            </w:r>
            <w:r>
              <w:rPr>
                <w:rFonts w:ascii="Times New Roman" w:hAnsi="Times New Roman" w:cs="Times New Roman" w:hint="eastAsia"/>
              </w:rPr>
              <w:t>31250</w:t>
            </w:r>
            <w:r>
              <w:rPr>
                <w:rFonts w:ascii="Times New Roman" w:hAnsi="Times New Roman" w:cs="Times New Roman"/>
              </w:rPr>
              <w:t>次，则每年卸料扬尘量为</w:t>
            </w:r>
            <w:r>
              <w:rPr>
                <w:rFonts w:ascii="Times New Roman" w:hAnsi="Times New Roman" w:cs="Times New Roman" w:hint="eastAsia"/>
              </w:rPr>
              <w:t>0.38t</w:t>
            </w:r>
            <w:r>
              <w:rPr>
                <w:rFonts w:ascii="Times New Roman" w:hAnsi="Times New Roman" w:cs="Times New Roman"/>
              </w:rPr>
              <w:t>/a</w:t>
            </w:r>
            <w:r>
              <w:rPr>
                <w:rFonts w:ascii="Times New Roman" w:hAnsi="Times New Roman" w:cs="Times New Roman"/>
              </w:rPr>
              <w:t>，一次卸料时间为</w:t>
            </w:r>
            <w:r>
              <w:rPr>
                <w:rFonts w:ascii="Times New Roman" w:hAnsi="Times New Roman" w:cs="Times New Roman"/>
              </w:rPr>
              <w:t xml:space="preserve"> 2min</w:t>
            </w:r>
            <w:r>
              <w:rPr>
                <w:rFonts w:ascii="Times New Roman" w:hAnsi="Times New Roman" w:cs="Times New Roman"/>
              </w:rPr>
              <w:t>，则排放速率为</w:t>
            </w:r>
            <w:r>
              <w:rPr>
                <w:rFonts w:ascii="Times New Roman" w:hAnsi="Times New Roman" w:cs="Times New Roman"/>
              </w:rPr>
              <w:t>0</w:t>
            </w:r>
            <w:r>
              <w:rPr>
                <w:rFonts w:ascii="Times New Roman" w:hAnsi="Times New Roman" w:cs="Times New Roman" w:hint="eastAsia"/>
              </w:rPr>
              <w:t>.36</w:t>
            </w:r>
            <w:r>
              <w:rPr>
                <w:rFonts w:ascii="Times New Roman" w:hAnsi="Times New Roman" w:cs="Times New Roman"/>
              </w:rPr>
              <w:t>kg/h</w:t>
            </w:r>
            <w:r>
              <w:rPr>
                <w:rFonts w:ascii="Times New Roman" w:hAnsi="Times New Roman" w:cs="Times New Roman"/>
              </w:rPr>
              <w:t>。通过原料堆场的喷淋措施进行喷淋降尘，降尘效率按</w:t>
            </w:r>
            <w:r>
              <w:rPr>
                <w:rFonts w:ascii="Times New Roman" w:hAnsi="Times New Roman" w:cs="Times New Roman"/>
              </w:rPr>
              <w:t xml:space="preserve"> 50%</w:t>
            </w:r>
            <w:r>
              <w:rPr>
                <w:rFonts w:ascii="Times New Roman" w:hAnsi="Times New Roman" w:cs="Times New Roman"/>
              </w:rPr>
              <w:t>计算，则卸料粉尘排放量</w:t>
            </w:r>
            <w:r>
              <w:rPr>
                <w:rFonts w:ascii="Times New Roman" w:hAnsi="Times New Roman" w:cs="Times New Roman"/>
              </w:rPr>
              <w:t xml:space="preserve"> 0.</w:t>
            </w:r>
            <w:r>
              <w:rPr>
                <w:rFonts w:ascii="Times New Roman" w:hAnsi="Times New Roman" w:cs="Times New Roman" w:hint="eastAsia"/>
              </w:rPr>
              <w:t>19</w:t>
            </w:r>
            <w:r>
              <w:rPr>
                <w:rFonts w:ascii="Times New Roman" w:hAnsi="Times New Roman" w:cs="Times New Roman"/>
              </w:rPr>
              <w:t>t/a</w:t>
            </w:r>
            <w:r>
              <w:rPr>
                <w:rFonts w:ascii="Times New Roman" w:hAnsi="Times New Roman" w:cs="Times New Roman"/>
              </w:rPr>
              <w:t>，排放速率为</w:t>
            </w:r>
            <w:r>
              <w:rPr>
                <w:rFonts w:ascii="Times New Roman" w:hAnsi="Times New Roman" w:cs="Times New Roman"/>
              </w:rPr>
              <w:t xml:space="preserve"> </w:t>
            </w:r>
            <w:r>
              <w:rPr>
                <w:rFonts w:ascii="Times New Roman" w:hAnsi="Times New Roman" w:cs="Times New Roman" w:hint="eastAsia"/>
              </w:rPr>
              <w:t>0.18</w:t>
            </w:r>
            <w:r>
              <w:rPr>
                <w:rFonts w:ascii="Times New Roman" w:hAnsi="Times New Roman" w:cs="Times New Roman"/>
              </w:rPr>
              <w:t>kg/h</w:t>
            </w:r>
            <w:r>
              <w:rPr>
                <w:rFonts w:ascii="Times New Roman" w:hAnsi="Times New Roman" w:cs="Times New Roman"/>
              </w:rPr>
              <w:t>。</w:t>
            </w:r>
          </w:p>
          <w:p w:rsidR="00997F3B">
            <w:pPr>
              <w:ind w:firstLine="480" w:firstLineChars="200"/>
              <w:rPr>
                <w:rFonts w:ascii="Times New Roman" w:hAnsi="Times New Roman" w:cs="Times New Roman"/>
              </w:rPr>
            </w:pPr>
            <w:r>
              <w:rPr>
                <w:rFonts w:ascii="Times New Roman" w:hAnsi="Times New Roman" w:cs="Times New Roman" w:hint="eastAsia"/>
              </w:rPr>
              <w:t>D</w:t>
            </w:r>
            <w:r>
              <w:rPr>
                <w:rFonts w:ascii="Times New Roman" w:hAnsi="Times New Roman" w:cs="Times New Roman" w:hint="eastAsia"/>
              </w:rPr>
              <w:t>、</w:t>
            </w:r>
            <w:r>
              <w:rPr>
                <w:rFonts w:ascii="Times New Roman" w:hAnsi="Times New Roman" w:cs="Times New Roman"/>
              </w:rPr>
              <w:t>破碎、筛分粉尘</w:t>
            </w:r>
          </w:p>
          <w:p w:rsidR="00997F3B">
            <w:pPr>
              <w:ind w:firstLine="480" w:firstLineChars="200"/>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项目在破碎、筛分、下料过程中均会产生粉尘，下料过程产生量较少，且在封闭车间及采取喷淋降尘措施，可忽略不计，主要为破碎筛分粉尘。在此过程中原料经水喷淋后含水率较高且拟在封闭车间进行。根据类比，破碎、筛分过程颗粒物排放指数取产品的</w:t>
            </w:r>
            <w:r>
              <w:rPr>
                <w:rFonts w:ascii="Times New Roman" w:hAnsi="Times New Roman" w:cs="Times New Roman"/>
              </w:rPr>
              <w:t xml:space="preserve"> 0.001%</w:t>
            </w:r>
            <w:r>
              <w:rPr>
                <w:rFonts w:ascii="Times New Roman" w:hAnsi="Times New Roman" w:cs="Times New Roman"/>
              </w:rPr>
              <w:t>，本项目原料年用量约为</w:t>
            </w:r>
            <w:r>
              <w:rPr>
                <w:rFonts w:ascii="Times New Roman" w:hAnsi="Times New Roman" w:cs="Times New Roman" w:hint="eastAsia"/>
              </w:rPr>
              <w:t>93.75</w:t>
            </w:r>
            <w:r>
              <w:rPr>
                <w:rFonts w:ascii="Times New Roman" w:hAnsi="Times New Roman" w:cs="Times New Roman"/>
              </w:rPr>
              <w:t>万</w:t>
            </w:r>
            <w:r>
              <w:rPr>
                <w:rFonts w:ascii="Times New Roman" w:hAnsi="Times New Roman" w:cs="Times New Roman"/>
              </w:rPr>
              <w:t xml:space="preserve"> t/a</w:t>
            </w:r>
            <w:r>
              <w:rPr>
                <w:rFonts w:ascii="Times New Roman" w:hAnsi="Times New Roman" w:cs="Times New Roman"/>
              </w:rPr>
              <w:t>，由此计算，项目破碎、筛分过程中粉尘的产生量约为</w:t>
            </w:r>
            <w:r>
              <w:rPr>
                <w:rFonts w:ascii="Times New Roman" w:hAnsi="Times New Roman" w:cs="Times New Roman" w:hint="eastAsia"/>
              </w:rPr>
              <w:t>9.38</w:t>
            </w:r>
            <w:r>
              <w:rPr>
                <w:rFonts w:ascii="Times New Roman" w:hAnsi="Times New Roman" w:cs="Times New Roman"/>
              </w:rPr>
              <w:t>t/a</w:t>
            </w:r>
            <w:r>
              <w:rPr>
                <w:rFonts w:ascii="Times New Roman" w:hAnsi="Times New Roman" w:cs="Times New Roman"/>
              </w:rPr>
              <w:t>，</w:t>
            </w:r>
            <w:r>
              <w:rPr>
                <w:rFonts w:ascii="Times New Roman" w:hAnsi="Times New Roman" w:cs="Times New Roman"/>
              </w:rPr>
              <w:t>破碎机、振动筛拟在封闭车间进行且安装雾化喷头进行喷雾处理，采取上述措施后抑尘效率可达</w:t>
            </w:r>
            <w:r>
              <w:rPr>
                <w:rFonts w:ascii="Times New Roman" w:hAnsi="Times New Roman" w:cs="Times New Roman"/>
              </w:rPr>
              <w:t xml:space="preserve"> 90%</w:t>
            </w:r>
            <w:r>
              <w:rPr>
                <w:rFonts w:ascii="Times New Roman" w:hAnsi="Times New Roman" w:cs="Times New Roman"/>
              </w:rPr>
              <w:t>，则破碎、筛分过程粉尘排放量约为</w:t>
            </w:r>
            <w:r>
              <w:rPr>
                <w:rFonts w:ascii="Times New Roman" w:hAnsi="Times New Roman" w:cs="Times New Roman" w:hint="eastAsia"/>
              </w:rPr>
              <w:t>0.94</w:t>
            </w:r>
            <w:r>
              <w:rPr>
                <w:rFonts w:ascii="Times New Roman" w:hAnsi="Times New Roman" w:cs="Times New Roman"/>
              </w:rPr>
              <w:t>t/a</w:t>
            </w:r>
            <w:r>
              <w:rPr>
                <w:rFonts w:ascii="Times New Roman" w:hAnsi="Times New Roman" w:cs="Times New Roman"/>
              </w:rPr>
              <w:t>。</w:t>
            </w:r>
          </w:p>
          <w:p w:rsidR="00997F3B">
            <w:pPr>
              <w:numPr>
                <w:ilvl w:val="0"/>
                <w:numId w:val="6"/>
              </w:numPr>
            </w:pPr>
            <w:r>
              <w:rPr>
                <w:rFonts w:hint="eastAsia"/>
              </w:rPr>
              <w:t>食堂油烟</w:t>
            </w:r>
          </w:p>
          <w:p w:rsidR="00997F3B">
            <w:pPr>
              <w:ind w:firstLine="480" w:firstLineChars="200"/>
            </w:pPr>
            <w:r>
              <w:rPr>
                <w:rFonts w:hint="eastAsia"/>
              </w:rPr>
              <w:t>食堂在烹调食物过程中产生一定量的油烟，食用油消耗系数为</w:t>
            </w:r>
            <w:r>
              <w:rPr>
                <w:rFonts w:hint="eastAsia"/>
              </w:rPr>
              <w:t xml:space="preserve"> 30g/</w:t>
            </w:r>
            <w:r>
              <w:rPr>
                <w:rFonts w:hint="eastAsia"/>
              </w:rPr>
              <w:t>人</w:t>
            </w:r>
            <w:r>
              <w:rPr>
                <w:rFonts w:hint="eastAsia"/>
              </w:rPr>
              <w:t xml:space="preserve"> </w:t>
            </w:r>
            <w:r>
              <w:rPr>
                <w:rFonts w:hint="eastAsia"/>
              </w:rPr>
              <w:t>次，本项目</w:t>
            </w:r>
            <w:r>
              <w:rPr>
                <w:rFonts w:hint="eastAsia"/>
              </w:rPr>
              <w:t>6</w:t>
            </w:r>
            <w:r>
              <w:rPr>
                <w:rFonts w:hint="eastAsia"/>
              </w:rPr>
              <w:t>人就餐，食用油消耗量为</w:t>
            </w:r>
            <w:r>
              <w:rPr>
                <w:rFonts w:hint="eastAsia"/>
              </w:rPr>
              <w:t xml:space="preserve"> 0.18kg/d</w:t>
            </w:r>
            <w:r>
              <w:rPr>
                <w:rFonts w:hint="eastAsia"/>
              </w:rPr>
              <w:t>，烹饪过程中油烟产生量占总耗油量的</w:t>
            </w:r>
            <w:r>
              <w:rPr>
                <w:rFonts w:hint="eastAsia"/>
              </w:rPr>
              <w:t xml:space="preserve"> 2%</w:t>
            </w:r>
            <w:r>
              <w:rPr>
                <w:rFonts w:hint="eastAsia"/>
              </w:rPr>
              <w:t>，则油烟产生量为</w:t>
            </w:r>
            <w:r>
              <w:rPr>
                <w:rFonts w:hint="eastAsia"/>
              </w:rPr>
              <w:t xml:space="preserve"> 1.08kg/a</w:t>
            </w:r>
            <w:r>
              <w:rPr>
                <w:rFonts w:hint="eastAsia"/>
              </w:rPr>
              <w:t>。</w:t>
            </w:r>
            <w:r>
              <w:rPr>
                <w:rFonts w:hint="eastAsia"/>
              </w:rPr>
              <w:t xml:space="preserve"> </w:t>
            </w:r>
            <w:r>
              <w:rPr>
                <w:rFonts w:hint="eastAsia"/>
              </w:rPr>
              <w:t>食堂油烟经油烟净化器处理（处理效率</w:t>
            </w:r>
            <w:r>
              <w:rPr>
                <w:rFonts w:hint="eastAsia"/>
              </w:rPr>
              <w:t xml:space="preserve"> 60%</w:t>
            </w:r>
            <w:r>
              <w:rPr>
                <w:rFonts w:hint="eastAsia"/>
              </w:rPr>
              <w:t>，风机风量为</w:t>
            </w:r>
            <w:r>
              <w:rPr>
                <w:rFonts w:hint="eastAsia"/>
              </w:rPr>
              <w:t xml:space="preserve"> 1000m</w:t>
            </w:r>
            <w:r>
              <w:rPr>
                <w:rFonts w:hint="eastAsia"/>
              </w:rPr>
              <w:t>³</w:t>
            </w:r>
            <w:r>
              <w:rPr>
                <w:rFonts w:hint="eastAsia"/>
              </w:rPr>
              <w:t>/h</w:t>
            </w:r>
            <w:r>
              <w:rPr>
                <w:rFonts w:hint="eastAsia"/>
              </w:rPr>
              <w:t>，</w:t>
            </w:r>
            <w:r>
              <w:rPr>
                <w:rFonts w:hint="eastAsia"/>
              </w:rPr>
              <w:t xml:space="preserve"> </w:t>
            </w:r>
            <w:r>
              <w:rPr>
                <w:rFonts w:hint="eastAsia"/>
              </w:rPr>
              <w:t>全年使用炉灶按</w:t>
            </w:r>
            <w:r>
              <w:rPr>
                <w:rFonts w:hint="eastAsia"/>
              </w:rPr>
              <w:t xml:space="preserve">900 </w:t>
            </w:r>
            <w:r>
              <w:rPr>
                <w:rFonts w:hint="eastAsia"/>
              </w:rPr>
              <w:t>小时计算），则油烟排放量为</w:t>
            </w:r>
            <w:r>
              <w:rPr>
                <w:rFonts w:hint="eastAsia"/>
              </w:rPr>
              <w:t xml:space="preserve"> 0.432kg/a</w:t>
            </w:r>
            <w:r>
              <w:rPr>
                <w:rFonts w:hint="eastAsia"/>
              </w:rPr>
              <w:t>，排放速率</w:t>
            </w:r>
            <w:r>
              <w:rPr>
                <w:rFonts w:hint="eastAsia"/>
              </w:rPr>
              <w:t xml:space="preserve"> 0.0</w:t>
            </w:r>
            <w:r>
              <w:rPr>
                <w:rFonts w:hint="eastAsia"/>
              </w:rPr>
              <w:t>0048kg/h</w:t>
            </w:r>
            <w:r>
              <w:rPr>
                <w:rFonts w:hint="eastAsia"/>
              </w:rPr>
              <w:t>，排放浓度</w:t>
            </w:r>
            <w:r>
              <w:rPr>
                <w:rFonts w:hint="eastAsia"/>
              </w:rPr>
              <w:t xml:space="preserve"> 0.48mg/m3</w:t>
            </w:r>
            <w:r>
              <w:rPr>
                <w:rFonts w:hint="eastAsia"/>
              </w:rPr>
              <w:t>。</w:t>
            </w:r>
          </w:p>
          <w:p w:rsidR="00997F3B">
            <w:pPr>
              <w:ind w:firstLine="480" w:firstLineChars="200"/>
              <w:rPr>
                <w:rFonts w:ascii="Times New Roman" w:hAnsi="Times New Roman" w:eastAsiaTheme="minorEastAsia" w:cs="Times New Roman"/>
                <w:b/>
                <w:bCs/>
              </w:rPr>
            </w:pPr>
            <w:r>
              <w:rPr>
                <w:rFonts w:ascii="Times New Roman" w:hAnsi="Times New Roman" w:eastAsiaTheme="minorEastAsia" w:cs="Times New Roman"/>
                <w:b/>
                <w:bCs/>
              </w:rPr>
              <w:t>1.2</w:t>
            </w:r>
            <w:r>
              <w:rPr>
                <w:rFonts w:ascii="Times New Roman" w:hAnsi="Times New Roman" w:eastAsiaTheme="minorEastAsia" w:cs="Times New Roman"/>
                <w:b/>
                <w:bCs/>
              </w:rPr>
              <w:t>废气排放情况</w:t>
            </w:r>
          </w:p>
          <w:p w:rsidR="00997F3B">
            <w:pPr>
              <w:ind w:firstLine="480"/>
              <w:rPr>
                <w:rFonts w:ascii="Times New Roman" w:hAnsi="Times New Roman" w:eastAsiaTheme="minorEastAsia" w:cs="Times New Roman"/>
              </w:rPr>
            </w:pPr>
            <w:r>
              <w:rPr>
                <w:rFonts w:ascii="Times New Roman" w:hAnsi="Times New Roman" w:eastAsiaTheme="minorEastAsia" w:cs="Times New Roman"/>
              </w:rPr>
              <w:t>本项目废气排放情况见表</w:t>
            </w:r>
            <w:r>
              <w:rPr>
                <w:rFonts w:ascii="Times New Roman" w:hAnsi="Times New Roman" w:eastAsiaTheme="minorEastAsia" w:cs="Times New Roman"/>
              </w:rPr>
              <w:t>4-1.</w:t>
            </w:r>
          </w:p>
          <w:p w:rsidR="00997F3B">
            <w:pPr>
              <w:jc w:val="center"/>
              <w:rPr>
                <w:rFonts w:ascii="Times New Roman" w:hAnsi="Times New Roman" w:eastAsiaTheme="minorEastAsia" w:cs="Times New Roman"/>
                <w:b/>
                <w:bCs/>
              </w:rPr>
            </w:pPr>
            <w:r>
              <w:rPr>
                <w:rFonts w:ascii="Times New Roman" w:hAnsi="Times New Roman" w:eastAsiaTheme="minorEastAsia" w:cs="Times New Roman"/>
                <w:b/>
                <w:bCs/>
              </w:rPr>
              <w:t>表</w:t>
            </w:r>
            <w:r>
              <w:rPr>
                <w:rFonts w:ascii="Times New Roman" w:hAnsi="Times New Roman" w:eastAsiaTheme="minorEastAsia" w:cs="Times New Roman"/>
                <w:b/>
                <w:bCs/>
              </w:rPr>
              <w:t>4-1</w:t>
            </w:r>
            <w:r>
              <w:rPr>
                <w:rFonts w:ascii="Times New Roman" w:hAnsi="Times New Roman" w:eastAsiaTheme="minorEastAsia" w:cs="Times New Roman"/>
                <w:b/>
                <w:bCs/>
              </w:rPr>
              <w:t>废气产生情况及排放情况一览表</w:t>
            </w:r>
          </w:p>
          <w:tbl>
            <w:tblPr>
              <w:tblStyle w:val="TableGrid19"/>
              <w:tblW w:w="7597" w:type="dxa"/>
              <w:tblLayout w:type="fixed"/>
              <w:tblLook w:val="04A0"/>
            </w:tblPr>
            <w:tblGrid>
              <w:gridCol w:w="1206"/>
              <w:gridCol w:w="1238"/>
              <w:gridCol w:w="1350"/>
              <w:gridCol w:w="1638"/>
              <w:gridCol w:w="883"/>
              <w:gridCol w:w="1282"/>
            </w:tblGrid>
            <w:tr>
              <w:tblPrEx>
                <w:tblW w:w="7597" w:type="dxa"/>
                <w:tblLayout w:type="fixed"/>
                <w:tblLook w:val="04A0"/>
              </w:tblPrEx>
              <w:trPr>
                <w:trHeight w:val="612"/>
              </w:trPr>
              <w:tc>
                <w:tcPr>
                  <w:tcW w:w="1206"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污染物</w:t>
                  </w:r>
                </w:p>
              </w:tc>
              <w:tc>
                <w:tcPr>
                  <w:tcW w:w="1238"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产生量（</w:t>
                  </w:r>
                  <w:r>
                    <w:rPr>
                      <w:rFonts w:ascii="Times New Roman" w:hAnsi="Times New Roman" w:eastAsiaTheme="minorEastAsia" w:cs="Times New Roman"/>
                      <w:sz w:val="21"/>
                      <w:szCs w:val="21"/>
                    </w:rPr>
                    <w:t>t/a</w:t>
                  </w:r>
                  <w:r>
                    <w:rPr>
                      <w:rFonts w:ascii="Times New Roman" w:hAnsi="Times New Roman" w:eastAsiaTheme="minorEastAsia" w:cs="Times New Roman"/>
                      <w:sz w:val="21"/>
                      <w:szCs w:val="21"/>
                    </w:rPr>
                    <w:t>）</w:t>
                  </w:r>
                </w:p>
              </w:tc>
              <w:tc>
                <w:tcPr>
                  <w:tcW w:w="1350"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产生速率（</w:t>
                  </w:r>
                  <w:r>
                    <w:rPr>
                      <w:rFonts w:ascii="Times New Roman" w:hAnsi="Times New Roman" w:eastAsiaTheme="minorEastAsia" w:cs="Times New Roman"/>
                      <w:sz w:val="21"/>
                      <w:szCs w:val="21"/>
                    </w:rPr>
                    <w:t>kg/h</w:t>
                  </w:r>
                  <w:r>
                    <w:rPr>
                      <w:rFonts w:ascii="Times New Roman" w:hAnsi="Times New Roman" w:eastAsiaTheme="minorEastAsia" w:cs="Times New Roman"/>
                      <w:sz w:val="21"/>
                      <w:szCs w:val="21"/>
                    </w:rPr>
                    <w:t>）</w:t>
                  </w:r>
                </w:p>
              </w:tc>
              <w:tc>
                <w:tcPr>
                  <w:tcW w:w="1638"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处理措施</w:t>
                  </w:r>
                </w:p>
              </w:tc>
              <w:tc>
                <w:tcPr>
                  <w:tcW w:w="883"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排放量（</w:t>
                  </w:r>
                  <w:r>
                    <w:rPr>
                      <w:rFonts w:ascii="Times New Roman" w:hAnsi="Times New Roman" w:eastAsiaTheme="minorEastAsia" w:cs="Times New Roman"/>
                      <w:sz w:val="21"/>
                      <w:szCs w:val="21"/>
                    </w:rPr>
                    <w:t>t/a</w:t>
                  </w:r>
                  <w:r>
                    <w:rPr>
                      <w:rFonts w:ascii="Times New Roman" w:hAnsi="Times New Roman" w:eastAsiaTheme="minorEastAsia" w:cs="Times New Roman"/>
                      <w:sz w:val="21"/>
                      <w:szCs w:val="21"/>
                    </w:rPr>
                    <w:t>）</w:t>
                  </w:r>
                </w:p>
              </w:tc>
              <w:tc>
                <w:tcPr>
                  <w:tcW w:w="1282"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sz w:val="21"/>
                      <w:szCs w:val="21"/>
                    </w:rPr>
                    <w:t>排放速率（</w:t>
                  </w:r>
                  <w:r>
                    <w:rPr>
                      <w:rFonts w:ascii="Times New Roman" w:hAnsi="Times New Roman" w:eastAsiaTheme="minorEastAsia" w:cs="Times New Roman"/>
                      <w:sz w:val="21"/>
                      <w:szCs w:val="21"/>
                    </w:rPr>
                    <w:t>kg/h</w:t>
                  </w:r>
                  <w:r>
                    <w:rPr>
                      <w:rFonts w:ascii="Times New Roman" w:hAnsi="Times New Roman" w:eastAsiaTheme="minorEastAsia" w:cs="Times New Roman"/>
                      <w:sz w:val="21"/>
                      <w:szCs w:val="21"/>
                    </w:rPr>
                    <w:t>）</w:t>
                  </w:r>
                </w:p>
              </w:tc>
            </w:tr>
            <w:tr>
              <w:tblPrEx>
                <w:tblW w:w="7597" w:type="dxa"/>
                <w:tblLayout w:type="fixed"/>
                <w:tblLook w:val="04A0"/>
              </w:tblPrEx>
              <w:trPr>
                <w:trHeight w:val="1547"/>
              </w:trPr>
              <w:tc>
                <w:tcPr>
                  <w:tcW w:w="1206"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堆场扬尘</w:t>
                  </w:r>
                </w:p>
              </w:tc>
              <w:tc>
                <w:tcPr>
                  <w:tcW w:w="1238"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3.73</w:t>
                  </w:r>
                </w:p>
              </w:tc>
              <w:tc>
                <w:tcPr>
                  <w:tcW w:w="1350"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1.55</w:t>
                  </w:r>
                </w:p>
              </w:tc>
              <w:tc>
                <w:tcPr>
                  <w:tcW w:w="1638" w:type="dxa"/>
                  <w:vAlign w:val="center"/>
                </w:tcPr>
                <w:p w:rsidR="00997F3B">
                  <w:pPr>
                    <w:pStyle w:val="TableParagraph"/>
                    <w:spacing w:line="240" w:lineRule="auto"/>
                    <w:jc w:val="center"/>
                    <w:rPr>
                      <w:rFonts w:ascii="Times New Roman" w:hAnsi="Times New Roman" w:cs="Times New Roman"/>
                      <w:sz w:val="21"/>
                      <w:szCs w:val="21"/>
                    </w:rPr>
                  </w:pPr>
                  <w:r>
                    <w:rPr>
                      <w:rFonts w:ascii="Times New Roman" w:hAnsi="Times New Roman" w:cs="Times New Roman"/>
                      <w:sz w:val="21"/>
                      <w:szCs w:val="21"/>
                      <w:lang w:eastAsia="en-US"/>
                    </w:rPr>
                    <w:t>加强堆场的装卸管理，堆场设为半封闭式，并采取高压喷头喷雾抑尘</w:t>
                  </w:r>
                  <w:r>
                    <w:rPr>
                      <w:rFonts w:ascii="Times New Roman" w:hAnsi="Times New Roman" w:cs="Times New Roman" w:hint="eastAsia"/>
                      <w:sz w:val="21"/>
                      <w:szCs w:val="21"/>
                    </w:rPr>
                    <w:t>,</w:t>
                  </w:r>
                </w:p>
              </w:tc>
              <w:tc>
                <w:tcPr>
                  <w:tcW w:w="883" w:type="dxa"/>
                  <w:vAlign w:val="center"/>
                </w:tcPr>
                <w:p w:rsidR="00997F3B">
                  <w:pPr>
                    <w:spacing w:line="240" w:lineRule="auto"/>
                    <w:jc w:val="center"/>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0.373</w:t>
                  </w:r>
                </w:p>
              </w:tc>
              <w:tc>
                <w:tcPr>
                  <w:tcW w:w="1282" w:type="dxa"/>
                  <w:vAlign w:val="center"/>
                </w:tcPr>
                <w:p w:rsidR="00997F3B">
                  <w:pPr>
                    <w:spacing w:line="240" w:lineRule="auto"/>
                    <w:rPr>
                      <w:rFonts w:ascii="Times New Roman" w:hAnsi="Times New Roman" w:eastAsiaTheme="minorEastAsia" w:cs="Times New Roman"/>
                      <w:sz w:val="21"/>
                      <w:szCs w:val="21"/>
                    </w:rPr>
                  </w:pPr>
                  <w:r>
                    <w:rPr>
                      <w:rFonts w:ascii="Times New Roman" w:hAnsi="Times New Roman" w:eastAsiaTheme="minorEastAsia" w:cs="Times New Roman" w:hint="eastAsia"/>
                      <w:sz w:val="21"/>
                      <w:szCs w:val="21"/>
                    </w:rPr>
                    <w:t>0.155</w:t>
                  </w:r>
                </w:p>
              </w:tc>
            </w:tr>
          </w:tbl>
          <w:p/>
        </w:tc>
      </w:tr>
    </w:tbl>
    <w:p>
      <w:r>
        <w:br/>
      </w:r>
      <w: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https://d.book118.com/178007005115006023</w:t>
        </w:r>
      </w:hyperlink>
    </w:p>
    <w:p/>
    <w:sectPr>
      <w:footerReference w:type="default" r:id="rId33"/>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default"/>
    <w:sig w:usb0="E10002FF" w:usb1="4000FCFF" w:usb2="00000009" w:usb3="00000000" w:csb0="6000019F" w:csb1="DFD70000"/>
  </w:font>
  <w:font w:name="等线">
    <w:altName w:val="微软雅黑"/>
    <w:charset w:val="86"/>
    <w:family w:val="auto"/>
    <w:pitch w:val="default"/>
    <w:sig w:usb0="00000000" w:usb1="00000000"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49" type="#_x0000_t202" style="width:2in;height:2in;margin-top:0;margin-left:0;mso-position-horizontal:center;mso-position-horizontal-relative:margin;mso-wrap-style:none;position:absolute;z-index:251658240"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50" type="#_x0000_t202" style="width:2in;height:2in;margin-top:0;margin-left:0;mso-position-horizontal:center;mso-position-horizontal-relative:margin;mso-wrap-style:none;position:absolute;z-index:251659264"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2</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51" type="#_x0000_t202" style="width:2in;height:2in;margin-top:0;margin-left:0;mso-position-horizontal:center;mso-position-horizontal-relative:margin;mso-wrap-style:none;position:absolute;z-index:251660288"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3</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52" type="#_x0000_t202" style="width:2in;height:2in;margin-top:0;margin-left:0;mso-position-horizontal:center;mso-position-horizontal-relative:margin;mso-wrap-style:none;position:absolute;z-index:251661312"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5</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53" type="#_x0000_t202" style="width:2in;height:2in;margin-top:0;margin-left:0;mso-position-horizontal:center;mso-position-horizontal-relative:margin;mso-wrap-style:none;position:absolute;z-index:251662336"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5</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54" type="#_x0000_t202" style="width:2in;height:2in;margin-top:0;margin-left:0;mso-position-horizontal:center;mso-position-horizontal-relative:margin;mso-wrap-style:none;position:absolute;z-index:251663360"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6</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55" type="#_x0000_t202" style="width:2in;height:2in;margin-top:0;margin-left:0;mso-position-horizontal:center;mso-position-horizontal-relative:margin;mso-wrap-style:none;position:absolute;z-index:251664384"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7</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56" type="#_x0000_t202" style="width:2in;height:2in;margin-top:0;margin-left:0;mso-position-horizontal:center;mso-position-horizontal-relative:margin;mso-wrap-style:none;position:absolute;z-index:251665408"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8</w:t>
                </w:r>
                <w: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57" type="#_x0000_t202" style="width:2in;height:2in;margin-top:0;margin-left:0;mso-position-horizontal:center;mso-position-horizontal-relative:margin;mso-wrap-style:none;position:absolute;z-index:251666432"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9</w:t>
                </w:r>
                <w: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58" type="#_x0000_t202" style="width:2in;height:2in;margin-top:0;margin-left:0;mso-position-horizontal:center;mso-position-horizontal-relative:margin;mso-wrap-style:none;position:absolute;z-index:251667456"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10</w:t>
                </w:r>
                <w: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59" type="#_x0000_t202" style="width:2in;height:2in;margin-top:0;margin-left:0;mso-position-horizontal:center;mso-position-horizontal-relative:margin;mso-wrap-style:none;position:absolute;z-index:251668480"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11</w:t>
                </w:r>
                <w: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60" type="#_x0000_t202" style="width:2in;height:2in;margin-top:0;margin-left:0;mso-position-horizontal:center;mso-position-horizontal-relative:margin;mso-wrap-style:none;position:absolute;z-index:251669504"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12</w:t>
                </w:r>
                <w: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61" type="#_x0000_t202" style="width:2in;height:2in;margin-top:0;margin-left:0;mso-position-horizontal:center;mso-position-horizontal-relative:margin;mso-wrap-style:none;position:absolute;z-index:251670528"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13</w:t>
                </w:r>
                <w: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62" type="#_x0000_t202" style="width:2in;height:2in;margin-top:0;margin-left:0;mso-position-horizontal:center;mso-position-horizontal-relative:margin;mso-wrap-style:none;position:absolute;z-index:251671552"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14</w:t>
                </w:r>
                <w: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63" type="#_x0000_t202" style="width:2in;height:2in;margin-top:0;margin-left:0;mso-position-horizontal:center;mso-position-horizontal-relative:margin;mso-wrap-style:none;position:absolute;z-index:251672576"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15</w:t>
                </w:r>
                <w: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64" type="#_x0000_t202" style="width:2in;height:2in;margin-top:0;margin-left:0;mso-position-horizontal:center;mso-position-horizontal-relative:margin;mso-wrap-style:none;position:absolute;z-index:251673600"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16</w:t>
                </w:r>
                <w:r>
                  <w:fldChar w:fldCharType="end"/>
                </w:r>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65" type="#_x0000_t202" style="width:2in;height:2in;margin-top:0;margin-left:0;mso-position-horizontal:center;mso-position-horizontal-relative:margin;mso-wrap-style:none;position:absolute;z-index:251674624"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17</w:t>
                </w:r>
                <w:r>
                  <w:fldChar w:fldCharType="end"/>
                </w:r>
              </w:p>
            </w:txbxContent>
          </v:textbox>
          <w10:wrap anchorx="margin"/>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66" type="#_x0000_t202" style="width:2in;height:2in;margin-top:0;margin-left:0;mso-position-horizontal:center;mso-position-horizontal-relative:margin;mso-wrap-style:none;position:absolute;z-index:251675648"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18</w:t>
                </w:r>
                <w:r>
                  <w:fldChar w:fldCharType="end"/>
                </w:r>
              </w:p>
            </w:txbxContent>
          </v:textbox>
          <w10:wrap anchorx="margin"/>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67" type="#_x0000_t202" style="width:2in;height:2in;margin-top:0;margin-left:0;mso-position-horizontal:center;mso-position-horizontal-relative:margin;mso-wrap-style:none;position:absolute;z-index:251676672"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19</w:t>
                </w:r>
                <w:r>
                  <w:fldChar w:fldCharType="end"/>
                </w:r>
              </w:p>
            </w:txbxContent>
          </v:textbox>
          <w10:wrap anchorx="margin"/>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F3B">
    <w:pPr>
      <w:pStyle w:val="Footer"/>
    </w:pPr>
    <w:r>
      <w:pict>
        <v:shapetype id="_x0000_t202" coordsize="21600,21600" o:spt="202" path="m,l,21600r21600,l21600,xe">
          <v:stroke joinstyle="miter"/>
          <v:path gradientshapeok="t" o:connecttype="rect"/>
        </v:shapetype>
        <v:shape id="_x0000_s2068" type="#_x0000_t202" style="width:2in;height:2in;margin-top:0;margin-left:0;mso-position-horizontal:center;mso-position-horizontal-relative:margin;mso-wrap-style:none;position:absolute;z-index:251677696" filled="f" stroked="f" strokeweight="0.5pt">
          <v:textbox style="mso-fit-shape-to-text:t" inset="0,0,0,0">
            <w:txbxContent>
              <w:p w:rsidR="00997F3B">
                <w:pPr>
                  <w:pStyle w:val="Footer"/>
                </w:pPr>
                <w:r>
                  <w:fldChar w:fldCharType="begin"/>
                </w:r>
                <w:r w:rsidR="00712A1B">
                  <w:instrText xml:space="preserve"> PAGE  \* MERGEFORMAT </w:instrText>
                </w:r>
                <w:r>
                  <w:fldChar w:fldCharType="separate"/>
                </w:r>
                <w:r w:rsidR="00052500">
                  <w:rPr>
                    <w:noProof/>
                  </w:rPr>
                  <w:t>20</w:t>
                </w:r>
                <w:r>
                  <w:fldChar w:fldCharType="end"/>
                </w:r>
              </w:p>
            </w:txbxContent>
          </v:textbox>
          <w10:wrap anchorx="margin"/>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80FD5BB"/>
    <w:multiLevelType w:val="singleLevel"/>
    <w:tmpl w:val="B80FD5BB"/>
    <w:lvl w:ilvl="0">
      <w:start w:val="1"/>
      <w:numFmt w:val="decimal"/>
      <w:suff w:val="nothing"/>
      <w:lvlText w:val="%1、"/>
      <w:lvlJc w:val="left"/>
    </w:lvl>
  </w:abstractNum>
  <w:abstractNum w:abstractNumId="1">
    <w:nsid w:val="D4664A00"/>
    <w:multiLevelType w:val="singleLevel"/>
    <w:tmpl w:val="D4664A00"/>
    <w:lvl w:ilvl="0">
      <w:start w:val="1"/>
      <w:numFmt w:val="decimal"/>
      <w:suff w:val="nothing"/>
      <w:lvlText w:val="%1、"/>
      <w:lvlJc w:val="left"/>
      <w:pPr>
        <w:ind w:left="240" w:firstLine="0"/>
      </w:pPr>
    </w:lvl>
  </w:abstractNum>
  <w:abstractNum w:abstractNumId="2">
    <w:nsid w:val="D9F998B3"/>
    <w:multiLevelType w:val="singleLevel"/>
    <w:tmpl w:val="D9F998B3"/>
    <w:lvl w:ilvl="0">
      <w:start w:val="2"/>
      <w:numFmt w:val="decimal"/>
      <w:suff w:val="nothing"/>
      <w:lvlText w:val="%1、"/>
      <w:lvlJc w:val="left"/>
    </w:lvl>
  </w:abstractNum>
  <w:abstractNum w:abstractNumId="3">
    <w:nsid w:val="05DD6FD6"/>
    <w:multiLevelType w:val="singleLevel"/>
    <w:tmpl w:val="05DD6FD6"/>
    <w:lvl w:ilvl="0">
      <w:start w:val="1"/>
      <w:numFmt w:val="decimal"/>
      <w:suff w:val="nothing"/>
      <w:lvlText w:val="%1、"/>
      <w:lvlJc w:val="left"/>
    </w:lvl>
  </w:abstractNum>
  <w:abstractNum w:abstractNumId="4">
    <w:nsid w:val="1C3DFD06"/>
    <w:multiLevelType w:val="singleLevel"/>
    <w:tmpl w:val="1C3DFD06"/>
    <w:lvl w:ilvl="0">
      <w:start w:val="5"/>
      <w:numFmt w:val="upperLetter"/>
      <w:suff w:val="nothing"/>
      <w:lvlText w:val="%1、"/>
      <w:lvlJc w:val="left"/>
      <w:pPr>
        <w:ind w:left="240" w:firstLine="0"/>
      </w:pPr>
    </w:lvl>
  </w:abstractNum>
  <w:abstractNum w:abstractNumId="5">
    <w:nsid w:val="207E34EF"/>
    <w:multiLevelType w:val="singleLevel"/>
    <w:tmpl w:val="207E34EF"/>
    <w:lvl w:ilvl="0">
      <w:start w:val="1"/>
      <w:numFmt w:val="decimal"/>
      <w:suff w:val="nothing"/>
      <w:lvlText w:val="%1、"/>
      <w:lvlJc w:val="left"/>
    </w:lvl>
  </w:abstractNum>
  <w:abstractNum w:abstractNumId="6">
    <w:nsid w:val="76A8FF0C"/>
    <w:multiLevelType w:val="singleLevel"/>
    <w:tmpl w:val="76A8FF0C"/>
    <w:lvl w:ilvl="0">
      <w:start w:val="1"/>
      <w:numFmt w:val="upperLetter"/>
      <w:suff w:val="nothing"/>
      <w:lvlText w:val="%1、"/>
      <w:lvlJc w:val="left"/>
    </w:lvl>
  </w:abstractNum>
  <w:num w:numId="1">
    <w:abstractNumId w:val="2"/>
  </w:num>
  <w:num w:numId="2">
    <w:abstractNumId w:val="0"/>
  </w:num>
  <w:num w:numId="3">
    <w:abstractNumId w:val="6"/>
  </w:num>
  <w:num w:numId="4">
    <w:abstractNumId w:val="3"/>
  </w:num>
  <w:num w:numId="5">
    <w:abstractNumId w:val="1"/>
  </w:num>
  <w:num w:numId="6">
    <w:abstractNumId w:val="4"/>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proofState w:spelling="clean"/>
  <w:defaultTabStop w:val="420"/>
  <w:drawingGridVerticalSpacing w:val="16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F1A74E1"/>
    <w:rsid w:val="000130A7"/>
    <w:rsid w:val="00052500"/>
    <w:rsid w:val="00171758"/>
    <w:rsid w:val="001A3FA4"/>
    <w:rsid w:val="0032718F"/>
    <w:rsid w:val="00365C4D"/>
    <w:rsid w:val="003E1401"/>
    <w:rsid w:val="004B06CE"/>
    <w:rsid w:val="005117FD"/>
    <w:rsid w:val="00600186"/>
    <w:rsid w:val="006D0160"/>
    <w:rsid w:val="00712A1B"/>
    <w:rsid w:val="0074174A"/>
    <w:rsid w:val="007D1C2E"/>
    <w:rsid w:val="007D43EE"/>
    <w:rsid w:val="007D4D96"/>
    <w:rsid w:val="008866A2"/>
    <w:rsid w:val="008B5152"/>
    <w:rsid w:val="00910528"/>
    <w:rsid w:val="009514F2"/>
    <w:rsid w:val="00997F3B"/>
    <w:rsid w:val="009D16F1"/>
    <w:rsid w:val="009D3A0B"/>
    <w:rsid w:val="00A853C3"/>
    <w:rsid w:val="00BD5E32"/>
    <w:rsid w:val="00C16AB4"/>
    <w:rsid w:val="00CD21A4"/>
    <w:rsid w:val="00D2375D"/>
    <w:rsid w:val="00D257E3"/>
    <w:rsid w:val="00E82932"/>
    <w:rsid w:val="00EE6CA4"/>
    <w:rsid w:val="00FD1F9F"/>
    <w:rsid w:val="00FE3A1B"/>
    <w:rsid w:val="00FF67D1"/>
    <w:rsid w:val="012218EA"/>
    <w:rsid w:val="01370350"/>
    <w:rsid w:val="01B341F6"/>
    <w:rsid w:val="032756A4"/>
    <w:rsid w:val="03A74775"/>
    <w:rsid w:val="03CA7221"/>
    <w:rsid w:val="051D1975"/>
    <w:rsid w:val="05817836"/>
    <w:rsid w:val="067A1D4C"/>
    <w:rsid w:val="068C4CC6"/>
    <w:rsid w:val="07E15A33"/>
    <w:rsid w:val="08575A34"/>
    <w:rsid w:val="0950475D"/>
    <w:rsid w:val="0951224F"/>
    <w:rsid w:val="0AF87B1A"/>
    <w:rsid w:val="0B4201EE"/>
    <w:rsid w:val="0B7E5C45"/>
    <w:rsid w:val="0C98452A"/>
    <w:rsid w:val="0CE92278"/>
    <w:rsid w:val="0DF677B8"/>
    <w:rsid w:val="0E7414F6"/>
    <w:rsid w:val="0F10019F"/>
    <w:rsid w:val="0F1A74E1"/>
    <w:rsid w:val="0FD71945"/>
    <w:rsid w:val="10EA1A0B"/>
    <w:rsid w:val="126E10BF"/>
    <w:rsid w:val="127B523B"/>
    <w:rsid w:val="136F5464"/>
    <w:rsid w:val="13E261CD"/>
    <w:rsid w:val="14A64C51"/>
    <w:rsid w:val="154D5840"/>
    <w:rsid w:val="157E2CFC"/>
    <w:rsid w:val="17763069"/>
    <w:rsid w:val="17B3481E"/>
    <w:rsid w:val="17D67B93"/>
    <w:rsid w:val="18385F2C"/>
    <w:rsid w:val="1B4B710A"/>
    <w:rsid w:val="1BBF6C47"/>
    <w:rsid w:val="1BDE0BEE"/>
    <w:rsid w:val="1DCC59EA"/>
    <w:rsid w:val="1F456D68"/>
    <w:rsid w:val="1F511495"/>
    <w:rsid w:val="1FF71A68"/>
    <w:rsid w:val="200A0D21"/>
    <w:rsid w:val="2058352A"/>
    <w:rsid w:val="209B358E"/>
    <w:rsid w:val="21DC0EF8"/>
    <w:rsid w:val="21FA69C2"/>
    <w:rsid w:val="226A64A1"/>
    <w:rsid w:val="22946F4C"/>
    <w:rsid w:val="22A35AA6"/>
    <w:rsid w:val="22A91FEE"/>
    <w:rsid w:val="22E65B56"/>
    <w:rsid w:val="23011456"/>
    <w:rsid w:val="23B460B3"/>
    <w:rsid w:val="23CE78B7"/>
    <w:rsid w:val="243A1D99"/>
    <w:rsid w:val="24961460"/>
    <w:rsid w:val="24975FD2"/>
    <w:rsid w:val="24EA5531"/>
    <w:rsid w:val="26F77970"/>
    <w:rsid w:val="277342B4"/>
    <w:rsid w:val="27A71FF4"/>
    <w:rsid w:val="286D7D18"/>
    <w:rsid w:val="28D51B66"/>
    <w:rsid w:val="29225A62"/>
    <w:rsid w:val="2AEF4C6D"/>
    <w:rsid w:val="2B0D40A1"/>
    <w:rsid w:val="2B4214AE"/>
    <w:rsid w:val="2C71317F"/>
    <w:rsid w:val="2D0046A9"/>
    <w:rsid w:val="2D575582"/>
    <w:rsid w:val="2D9F78BA"/>
    <w:rsid w:val="2DE0672B"/>
    <w:rsid w:val="2DFC1F88"/>
    <w:rsid w:val="2F3C0EA5"/>
    <w:rsid w:val="2F547F95"/>
    <w:rsid w:val="30C374B7"/>
    <w:rsid w:val="322127A9"/>
    <w:rsid w:val="32555AA5"/>
    <w:rsid w:val="34457038"/>
    <w:rsid w:val="3463196B"/>
    <w:rsid w:val="34EF71FB"/>
    <w:rsid w:val="35537098"/>
    <w:rsid w:val="35D86B23"/>
    <w:rsid w:val="36811B2C"/>
    <w:rsid w:val="36FE6B26"/>
    <w:rsid w:val="38BD10E7"/>
    <w:rsid w:val="3A62418A"/>
    <w:rsid w:val="3A8A6A57"/>
    <w:rsid w:val="3B2673CE"/>
    <w:rsid w:val="3B4C74BC"/>
    <w:rsid w:val="3B905FC7"/>
    <w:rsid w:val="3C7245DD"/>
    <w:rsid w:val="3E09538B"/>
    <w:rsid w:val="3E2F2402"/>
    <w:rsid w:val="3EF13E84"/>
    <w:rsid w:val="3F667183"/>
    <w:rsid w:val="40254369"/>
    <w:rsid w:val="43823851"/>
    <w:rsid w:val="43BC43A0"/>
    <w:rsid w:val="48CE4FB0"/>
    <w:rsid w:val="4999259A"/>
    <w:rsid w:val="4A682857"/>
    <w:rsid w:val="4A845F25"/>
    <w:rsid w:val="4B0B2E8E"/>
    <w:rsid w:val="4B227A53"/>
    <w:rsid w:val="4B8C36CD"/>
    <w:rsid w:val="4C6B350B"/>
    <w:rsid w:val="4D5D19F6"/>
    <w:rsid w:val="4D802DED"/>
    <w:rsid w:val="4FC7700E"/>
    <w:rsid w:val="50233536"/>
    <w:rsid w:val="50265B10"/>
    <w:rsid w:val="50C03481"/>
    <w:rsid w:val="50C21D9F"/>
    <w:rsid w:val="50CA4993"/>
    <w:rsid w:val="511A0846"/>
    <w:rsid w:val="5194625A"/>
    <w:rsid w:val="51D10359"/>
    <w:rsid w:val="5223427D"/>
    <w:rsid w:val="523216E3"/>
    <w:rsid w:val="5359265D"/>
    <w:rsid w:val="53DF5807"/>
    <w:rsid w:val="53FF5009"/>
    <w:rsid w:val="54542602"/>
    <w:rsid w:val="546E56A3"/>
    <w:rsid w:val="54AC2FEC"/>
    <w:rsid w:val="55CE44B0"/>
    <w:rsid w:val="560409E6"/>
    <w:rsid w:val="56A64B53"/>
    <w:rsid w:val="56BD775E"/>
    <w:rsid w:val="589E7A86"/>
    <w:rsid w:val="58E30A40"/>
    <w:rsid w:val="592B6F42"/>
    <w:rsid w:val="5B0E7BE8"/>
    <w:rsid w:val="5D24443E"/>
    <w:rsid w:val="5D2E5D4A"/>
    <w:rsid w:val="5D57202E"/>
    <w:rsid w:val="5E324CE5"/>
    <w:rsid w:val="5F4203D3"/>
    <w:rsid w:val="60205F80"/>
    <w:rsid w:val="604A2A0F"/>
    <w:rsid w:val="61126BD9"/>
    <w:rsid w:val="61697194"/>
    <w:rsid w:val="6223317A"/>
    <w:rsid w:val="623364D7"/>
    <w:rsid w:val="63085D53"/>
    <w:rsid w:val="639E03CD"/>
    <w:rsid w:val="659B0A18"/>
    <w:rsid w:val="65D10497"/>
    <w:rsid w:val="66ED47CD"/>
    <w:rsid w:val="677A5164"/>
    <w:rsid w:val="698C15EC"/>
    <w:rsid w:val="6A6E4301"/>
    <w:rsid w:val="6AE513E4"/>
    <w:rsid w:val="6BBB38FE"/>
    <w:rsid w:val="6BF21559"/>
    <w:rsid w:val="6D5E3A46"/>
    <w:rsid w:val="6D693D7B"/>
    <w:rsid w:val="6E4C1573"/>
    <w:rsid w:val="6E586D17"/>
    <w:rsid w:val="6EC81018"/>
    <w:rsid w:val="6ECE0C6D"/>
    <w:rsid w:val="6F037D27"/>
    <w:rsid w:val="6F5E28F5"/>
    <w:rsid w:val="6F66704B"/>
    <w:rsid w:val="6FED0A65"/>
    <w:rsid w:val="73743EBF"/>
    <w:rsid w:val="73A7052A"/>
    <w:rsid w:val="774E471C"/>
    <w:rsid w:val="77910681"/>
    <w:rsid w:val="77AA55DC"/>
    <w:rsid w:val="78224CBF"/>
    <w:rsid w:val="7866488A"/>
    <w:rsid w:val="79243966"/>
    <w:rsid w:val="79857671"/>
    <w:rsid w:val="7A47299C"/>
    <w:rsid w:val="7A902B08"/>
    <w:rsid w:val="7AF84FAF"/>
    <w:rsid w:val="7B613513"/>
    <w:rsid w:val="7BFA04F2"/>
    <w:rsid w:val="7D471279"/>
    <w:rsid w:val="7EBC27ED"/>
    <w:rsid w:val="7EC64C74"/>
    <w:rsid w:val="7F696B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7" w:qFormat="1"/>
    <w:lsdException w:name="Normal Indent" w:uiPriority="99"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qFormat="1"/>
    <w:lsdException w:name="Body Text Indent" w:uiPriority="99" w:unhideWhenUsed="1" w:qFormat="1"/>
    <w:lsdException w:name="Subtitle" w:qFormat="1"/>
    <w:lsdException w:name="Body Text First Indent" w:qFormat="1"/>
    <w:lsdException w:name="Body Text First Indent 2" w:qFormat="1"/>
    <w:lsdException w:name="Body Text Indent 2"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Heading1"/>
    <w:qFormat/>
    <w:rsid w:val="00997F3B"/>
    <w:pPr>
      <w:widowControl w:val="0"/>
      <w:spacing w:line="360" w:lineRule="auto"/>
      <w:jc w:val="both"/>
    </w:pPr>
    <w:rPr>
      <w:rFonts w:asciiTheme="minorHAnsi" w:hAnsiTheme="minorHAnsi" w:cstheme="minorBidi"/>
      <w:kern w:val="2"/>
      <w:sz w:val="24"/>
      <w:szCs w:val="24"/>
    </w:rPr>
  </w:style>
  <w:style w:type="paragraph" w:styleId="Heading1">
    <w:name w:val="heading 1"/>
    <w:basedOn w:val="Normal"/>
    <w:next w:val="Normal"/>
    <w:qFormat/>
    <w:rsid w:val="00997F3B"/>
    <w:pPr>
      <w:outlineLvl w:val="0"/>
    </w:pPr>
    <w:rPr>
      <w:rFonts w:ascii="宋体" w:hAnsi="宋体"/>
      <w:b/>
      <w:bCs/>
      <w:sz w:val="28"/>
      <w:szCs w:val="30"/>
      <w:lang w:eastAsia="en-US"/>
    </w:rPr>
  </w:style>
  <w:style w:type="paragraph" w:styleId="Heading2">
    <w:name w:val="heading 2"/>
    <w:basedOn w:val="Normal"/>
    <w:next w:val="Normal"/>
    <w:qFormat/>
    <w:rsid w:val="00997F3B"/>
    <w:pPr>
      <w:keepNext/>
      <w:keepLines/>
      <w:outlineLvl w:val="1"/>
    </w:pPr>
    <w:rPr>
      <w:rFonts w:ascii="Times New Roman" w:hAnsi="Times New Roman" w:cs="Times New Roman"/>
      <w:b/>
      <w:sz w:val="28"/>
    </w:rPr>
  </w:style>
  <w:style w:type="paragraph" w:styleId="Heading3">
    <w:name w:val="heading 3"/>
    <w:basedOn w:val="Normal"/>
    <w:next w:val="Normal"/>
    <w:qFormat/>
    <w:rsid w:val="00997F3B"/>
    <w:pPr>
      <w:keepNext/>
      <w:keepLines/>
      <w:spacing w:before="260" w:after="260" w:line="416" w:lineRule="auto"/>
      <w:outlineLvl w:val="2"/>
    </w:pPr>
    <w:rPr>
      <w:b/>
      <w:bCs/>
      <w:sz w:val="32"/>
      <w:szCs w:val="32"/>
    </w:rPr>
  </w:style>
  <w:style w:type="paragraph" w:styleId="Heading4">
    <w:name w:val="heading 4"/>
    <w:basedOn w:val="Normal"/>
    <w:next w:val="Normal"/>
    <w:qFormat/>
    <w:rsid w:val="00997F3B"/>
    <w:pPr>
      <w:keepNext/>
      <w:keepLines/>
      <w:spacing w:before="280" w:after="290" w:line="376" w:lineRule="auto"/>
      <w:outlineLvl w:val="3"/>
    </w:pPr>
    <w:rPr>
      <w:rFonts w:ascii="Cambria" w:hAnsi="Cambria"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qFormat/>
    <w:rsid w:val="00997F3B"/>
    <w:pPr>
      <w:ind w:left="2520" w:leftChars="1200"/>
    </w:pPr>
  </w:style>
  <w:style w:type="paragraph" w:styleId="NormalIndent">
    <w:name w:val="Normal Indent"/>
    <w:basedOn w:val="Normal"/>
    <w:next w:val="Normal"/>
    <w:uiPriority w:val="99"/>
    <w:qFormat/>
    <w:rsid w:val="00997F3B"/>
    <w:pPr>
      <w:adjustRightInd w:val="0"/>
      <w:snapToGrid w:val="0"/>
      <w:ind w:firstLine="420" w:firstLineChars="200"/>
      <w:jc w:val="left"/>
    </w:pPr>
    <w:rPr>
      <w:rFonts w:ascii="Times New Roman" w:hAnsi="Times New Roman" w:cs="Times New Roman"/>
      <w:kern w:val="0"/>
    </w:rPr>
  </w:style>
  <w:style w:type="paragraph" w:styleId="CommentText">
    <w:name w:val="annotation text"/>
    <w:basedOn w:val="Normal"/>
    <w:link w:val="Char"/>
    <w:qFormat/>
    <w:rsid w:val="00997F3B"/>
    <w:pPr>
      <w:jc w:val="left"/>
    </w:pPr>
  </w:style>
  <w:style w:type="paragraph" w:styleId="BodyText">
    <w:name w:val="Body Text"/>
    <w:basedOn w:val="Normal"/>
    <w:qFormat/>
    <w:rsid w:val="00997F3B"/>
    <w:pPr>
      <w:spacing w:after="120"/>
    </w:pPr>
  </w:style>
  <w:style w:type="paragraph" w:styleId="BodyTextIndent">
    <w:name w:val="Body Text Indent"/>
    <w:basedOn w:val="Normal"/>
    <w:uiPriority w:val="99"/>
    <w:unhideWhenUsed/>
    <w:qFormat/>
    <w:rsid w:val="00997F3B"/>
    <w:pPr>
      <w:spacing w:after="120"/>
      <w:ind w:left="420" w:leftChars="200"/>
    </w:pPr>
  </w:style>
  <w:style w:type="paragraph" w:styleId="BodyTextIndent2">
    <w:name w:val="Body Text Indent 2"/>
    <w:basedOn w:val="Normal"/>
    <w:qFormat/>
    <w:rsid w:val="00997F3B"/>
    <w:pPr>
      <w:spacing w:after="120" w:line="480" w:lineRule="auto"/>
      <w:ind w:left="420" w:leftChars="200"/>
    </w:pPr>
  </w:style>
  <w:style w:type="paragraph" w:styleId="BalloonText">
    <w:name w:val="Balloon Text"/>
    <w:basedOn w:val="Normal"/>
    <w:link w:val="Char1"/>
    <w:qFormat/>
    <w:rsid w:val="00997F3B"/>
    <w:pPr>
      <w:spacing w:line="240" w:lineRule="auto"/>
    </w:pPr>
    <w:rPr>
      <w:sz w:val="18"/>
      <w:szCs w:val="18"/>
    </w:rPr>
  </w:style>
  <w:style w:type="paragraph" w:styleId="Footer">
    <w:name w:val="footer"/>
    <w:basedOn w:val="Normal"/>
    <w:qFormat/>
    <w:rsid w:val="00997F3B"/>
    <w:pPr>
      <w:tabs>
        <w:tab w:val="center" w:pos="4153"/>
        <w:tab w:val="right" w:pos="8306"/>
      </w:tabs>
      <w:snapToGrid w:val="0"/>
      <w:jc w:val="left"/>
    </w:pPr>
    <w:rPr>
      <w:sz w:val="18"/>
    </w:rPr>
  </w:style>
  <w:style w:type="paragraph" w:styleId="Header">
    <w:name w:val="header"/>
    <w:basedOn w:val="Normal"/>
    <w:qFormat/>
    <w:rsid w:val="00997F3B"/>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uiPriority w:val="39"/>
    <w:unhideWhenUsed/>
    <w:qFormat/>
    <w:rsid w:val="00997F3B"/>
  </w:style>
  <w:style w:type="paragraph" w:styleId="NormalWeb">
    <w:name w:val="Normal (Web)"/>
    <w:basedOn w:val="Normal"/>
    <w:qFormat/>
    <w:rsid w:val="00997F3B"/>
    <w:pPr>
      <w:spacing w:beforeAutospacing="1" w:afterAutospacing="1"/>
      <w:jc w:val="left"/>
    </w:pPr>
    <w:rPr>
      <w:rFonts w:cs="Times New Roman"/>
      <w:kern w:val="0"/>
    </w:rPr>
  </w:style>
  <w:style w:type="paragraph" w:styleId="CommentSubject">
    <w:name w:val="annotation subject"/>
    <w:basedOn w:val="CommentText"/>
    <w:next w:val="CommentText"/>
    <w:link w:val="Char0"/>
    <w:qFormat/>
    <w:rsid w:val="00997F3B"/>
    <w:rPr>
      <w:b/>
      <w:bCs/>
    </w:rPr>
  </w:style>
  <w:style w:type="paragraph" w:styleId="BodyTextFirstIndent">
    <w:name w:val="Body Text First Indent"/>
    <w:basedOn w:val="BodyText"/>
    <w:next w:val="Normal"/>
    <w:qFormat/>
    <w:rsid w:val="00997F3B"/>
    <w:pPr>
      <w:overflowPunct w:val="0"/>
      <w:autoSpaceDE w:val="0"/>
      <w:autoSpaceDN w:val="0"/>
      <w:adjustRightInd w:val="0"/>
      <w:ind w:firstLine="539"/>
      <w:textAlignment w:val="baseline"/>
    </w:pPr>
    <w:rPr>
      <w:kern w:val="0"/>
      <w:sz w:val="28"/>
      <w:szCs w:val="20"/>
    </w:rPr>
  </w:style>
  <w:style w:type="paragraph" w:styleId="BodyTextFirstIndent2">
    <w:name w:val="Body Text First Indent 2"/>
    <w:basedOn w:val="BodyTextIndent"/>
    <w:next w:val="BodyTextFirstIndent"/>
    <w:qFormat/>
    <w:rsid w:val="00997F3B"/>
    <w:pPr>
      <w:ind w:firstLine="420" w:firstLineChars="200"/>
    </w:pPr>
  </w:style>
  <w:style w:type="table" w:styleId="TableGrid">
    <w:name w:val="Table Grid"/>
    <w:basedOn w:val="TableNormal"/>
    <w:qFormat/>
    <w:rsid w:val="00997F3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character" w:styleId="Strong">
    <w:name w:val="Strong"/>
    <w:basedOn w:val="DefaultParagraphFont"/>
    <w:qFormat/>
    <w:rsid w:val="00997F3B"/>
    <w:rPr>
      <w:b/>
      <w:bCs/>
    </w:rPr>
  </w:style>
  <w:style w:type="character" w:styleId="FollowedHyperlink">
    <w:name w:val="FollowedHyperlink"/>
    <w:basedOn w:val="DefaultParagraphFont"/>
    <w:qFormat/>
    <w:rsid w:val="00997F3B"/>
    <w:rPr>
      <w:color w:val="333333"/>
      <w:u w:val="none"/>
    </w:rPr>
  </w:style>
  <w:style w:type="character" w:styleId="HTMLDefinition">
    <w:name w:val="HTML Definition"/>
    <w:basedOn w:val="DefaultParagraphFont"/>
    <w:qFormat/>
    <w:rsid w:val="00997F3B"/>
    <w:rPr>
      <w:i/>
      <w:iCs/>
    </w:rPr>
  </w:style>
  <w:style w:type="character" w:styleId="Hyperlink">
    <w:name w:val="Hyperlink"/>
    <w:basedOn w:val="DefaultParagraphFont"/>
    <w:qFormat/>
    <w:rsid w:val="00997F3B"/>
    <w:rPr>
      <w:color w:val="333333"/>
      <w:u w:val="none"/>
    </w:rPr>
  </w:style>
  <w:style w:type="character" w:styleId="HTMLCode">
    <w:name w:val="HTML Code"/>
    <w:basedOn w:val="DefaultParagraphFont"/>
    <w:qFormat/>
    <w:rsid w:val="00997F3B"/>
    <w:rPr>
      <w:rFonts w:ascii="Consolas" w:eastAsia="Consolas" w:hAnsi="Consolas" w:cs="Consolas"/>
      <w:sz w:val="21"/>
      <w:szCs w:val="21"/>
    </w:rPr>
  </w:style>
  <w:style w:type="character" w:styleId="CommentReference">
    <w:name w:val="annotation reference"/>
    <w:basedOn w:val="DefaultParagraphFont"/>
    <w:qFormat/>
    <w:rsid w:val="00997F3B"/>
    <w:rPr>
      <w:sz w:val="21"/>
      <w:szCs w:val="21"/>
    </w:rPr>
  </w:style>
  <w:style w:type="character" w:styleId="HTMLKeyboard">
    <w:name w:val="HTML Keyboard"/>
    <w:basedOn w:val="DefaultParagraphFont"/>
    <w:qFormat/>
    <w:rsid w:val="00997F3B"/>
    <w:rPr>
      <w:rFonts w:ascii="Consolas" w:eastAsia="Consolas" w:hAnsi="Consolas" w:cs="Consolas" w:hint="default"/>
      <w:sz w:val="21"/>
      <w:szCs w:val="21"/>
    </w:rPr>
  </w:style>
  <w:style w:type="character" w:styleId="HTMLSample">
    <w:name w:val="HTML Sample"/>
    <w:basedOn w:val="DefaultParagraphFont"/>
    <w:qFormat/>
    <w:rsid w:val="00997F3B"/>
    <w:rPr>
      <w:rFonts w:ascii="Consolas" w:eastAsia="Consolas" w:hAnsi="Consolas" w:cs="Consolas" w:hint="default"/>
      <w:sz w:val="21"/>
      <w:szCs w:val="21"/>
    </w:rPr>
  </w:style>
  <w:style w:type="paragraph" w:customStyle="1" w:styleId="Default">
    <w:name w:val="Default"/>
    <w:next w:val="TOC7"/>
    <w:qFormat/>
    <w:rsid w:val="00997F3B"/>
    <w:pPr>
      <w:widowControl w:val="0"/>
      <w:autoSpaceDE w:val="0"/>
      <w:autoSpaceDN w:val="0"/>
      <w:adjustRightInd w:val="0"/>
    </w:pPr>
    <w:rPr>
      <w:color w:val="000000"/>
      <w:sz w:val="24"/>
      <w:szCs w:val="24"/>
    </w:rPr>
  </w:style>
  <w:style w:type="paragraph" w:customStyle="1" w:styleId="Default1">
    <w:name w:val="Default1"/>
    <w:qFormat/>
    <w:rsid w:val="00997F3B"/>
    <w:pPr>
      <w:widowControl w:val="0"/>
      <w:autoSpaceDE w:val="0"/>
      <w:autoSpaceDN w:val="0"/>
      <w:adjustRightInd w:val="0"/>
    </w:pPr>
    <w:rPr>
      <w:rFonts w:ascii="宋体" w:cs="宋体"/>
      <w:color w:val="000000"/>
      <w:sz w:val="24"/>
      <w:szCs w:val="24"/>
    </w:rPr>
  </w:style>
  <w:style w:type="paragraph" w:customStyle="1" w:styleId="p0">
    <w:name w:val="p0"/>
    <w:basedOn w:val="Normal"/>
    <w:qFormat/>
    <w:rsid w:val="00997F3B"/>
    <w:pPr>
      <w:widowControl/>
      <w:spacing w:line="240" w:lineRule="auto"/>
    </w:pPr>
    <w:rPr>
      <w:kern w:val="0"/>
      <w:sz w:val="21"/>
      <w:szCs w:val="21"/>
    </w:rPr>
  </w:style>
  <w:style w:type="paragraph" w:customStyle="1" w:styleId="a">
    <w:name w:val="报告正文"/>
    <w:basedOn w:val="BodyTextIndent"/>
    <w:qFormat/>
    <w:rsid w:val="00997F3B"/>
    <w:pPr>
      <w:autoSpaceDE w:val="0"/>
      <w:autoSpaceDN w:val="0"/>
      <w:adjustRightInd w:val="0"/>
      <w:ind w:firstLine="479" w:firstLineChars="171"/>
      <w:textAlignment w:val="baseline"/>
    </w:pPr>
    <w:rPr>
      <w:sz w:val="28"/>
    </w:rPr>
  </w:style>
  <w:style w:type="character" w:customStyle="1" w:styleId="ivu-radio">
    <w:name w:val="ivu-radio+*"/>
    <w:basedOn w:val="DefaultParagraphFont"/>
    <w:qFormat/>
    <w:rsid w:val="00997F3B"/>
  </w:style>
  <w:style w:type="character" w:customStyle="1" w:styleId="namedata-v-f8f250ea">
    <w:name w:val="name[data-v-f8f250ea]"/>
    <w:basedOn w:val="DefaultParagraphFont"/>
    <w:qFormat/>
    <w:rsid w:val="00997F3B"/>
  </w:style>
  <w:style w:type="character" w:customStyle="1" w:styleId="namedata-v-1f6b0505">
    <w:name w:val="name[data-v-1f6b0505]"/>
    <w:basedOn w:val="DefaultParagraphFont"/>
    <w:qFormat/>
    <w:rsid w:val="00997F3B"/>
  </w:style>
  <w:style w:type="character" w:customStyle="1" w:styleId="ivu-date-picker-cells-cell">
    <w:name w:val="ivu-date-picker-cells-cell"/>
    <w:basedOn w:val="DefaultParagraphFont"/>
    <w:qFormat/>
    <w:rsid w:val="00997F3B"/>
  </w:style>
  <w:style w:type="paragraph" w:customStyle="1" w:styleId="0">
    <w:name w:val="0报告正文"/>
    <w:basedOn w:val="Normal"/>
    <w:qFormat/>
    <w:rsid w:val="00997F3B"/>
    <w:pPr>
      <w:ind w:firstLine="480"/>
    </w:pPr>
    <w:rPr>
      <w:kern w:val="24"/>
    </w:rPr>
  </w:style>
  <w:style w:type="paragraph" w:customStyle="1" w:styleId="D">
    <w:name w:val="D正文"/>
    <w:basedOn w:val="a0"/>
    <w:qFormat/>
    <w:rsid w:val="00997F3B"/>
    <w:pPr>
      <w:snapToGrid w:val="0"/>
      <w:spacing w:line="360" w:lineRule="auto"/>
    </w:pPr>
  </w:style>
  <w:style w:type="paragraph" w:customStyle="1" w:styleId="a0">
    <w:name w:val="正文对的"/>
    <w:basedOn w:val="Normal"/>
    <w:qFormat/>
    <w:rsid w:val="00997F3B"/>
    <w:pPr>
      <w:spacing w:line="500" w:lineRule="exact"/>
      <w:ind w:firstLine="200" w:firstLineChars="200"/>
    </w:pPr>
    <w:rPr>
      <w:rFonts w:hAnsi="宋体"/>
    </w:rPr>
  </w:style>
  <w:style w:type="character" w:customStyle="1" w:styleId="font31">
    <w:name w:val="font31"/>
    <w:basedOn w:val="DefaultParagraphFont"/>
    <w:qFormat/>
    <w:rsid w:val="00997F3B"/>
    <w:rPr>
      <w:rFonts w:ascii="宋体" w:eastAsia="宋体" w:hAnsi="宋体" w:cs="宋体" w:hint="eastAsia"/>
      <w:color w:val="000000"/>
      <w:sz w:val="21"/>
      <w:szCs w:val="21"/>
      <w:u w:val="none"/>
    </w:rPr>
  </w:style>
  <w:style w:type="character" w:customStyle="1" w:styleId="font21">
    <w:name w:val="font21"/>
    <w:basedOn w:val="DefaultParagraphFont"/>
    <w:qFormat/>
    <w:rsid w:val="00997F3B"/>
    <w:rPr>
      <w:rFonts w:ascii="宋体" w:eastAsia="宋体" w:hAnsi="宋体" w:cs="宋体" w:hint="eastAsia"/>
      <w:color w:val="000000"/>
      <w:sz w:val="21"/>
      <w:szCs w:val="21"/>
      <w:u w:val="none"/>
    </w:rPr>
  </w:style>
  <w:style w:type="character" w:customStyle="1" w:styleId="font11">
    <w:name w:val="font11"/>
    <w:basedOn w:val="DefaultParagraphFont"/>
    <w:qFormat/>
    <w:rsid w:val="00997F3B"/>
    <w:rPr>
      <w:rFonts w:ascii="Times New Roman" w:hAnsi="Times New Roman" w:cs="Times New Roman" w:hint="default"/>
      <w:color w:val="000000"/>
      <w:sz w:val="21"/>
      <w:szCs w:val="21"/>
      <w:u w:val="none"/>
    </w:rPr>
  </w:style>
  <w:style w:type="paragraph" w:customStyle="1" w:styleId="lcc1">
    <w:name w:val="正文lcc1"/>
    <w:basedOn w:val="Normal"/>
    <w:qFormat/>
    <w:rsid w:val="00997F3B"/>
    <w:pPr>
      <w:ind w:firstLine="200" w:firstLineChars="200"/>
    </w:pPr>
    <w:rPr>
      <w:rFonts w:ascii="Times New Roman" w:hAnsi="Times New Roman"/>
      <w:color w:val="000000"/>
      <w:szCs w:val="20"/>
    </w:rPr>
  </w:style>
  <w:style w:type="paragraph" w:customStyle="1" w:styleId="a1">
    <w:name w:val="表格"/>
    <w:basedOn w:val="Normal"/>
    <w:qFormat/>
    <w:rsid w:val="00997F3B"/>
    <w:pPr>
      <w:wordWrap w:val="0"/>
      <w:overflowPunct w:val="0"/>
      <w:topLinePunct/>
      <w:adjustRightInd w:val="0"/>
      <w:jc w:val="center"/>
    </w:pPr>
    <w:rPr>
      <w:rFonts w:ascii="等线" w:eastAsia="等线" w:hAnsi="等线" w:cs="Times New Roman"/>
    </w:rPr>
  </w:style>
  <w:style w:type="character" w:customStyle="1" w:styleId="15">
    <w:name w:val="15"/>
    <w:basedOn w:val="DefaultParagraphFont"/>
    <w:qFormat/>
    <w:rsid w:val="00997F3B"/>
    <w:rPr>
      <w:rFonts w:ascii="Times New Roman" w:hAnsi="Times New Roman" w:cs="Times New Roman" w:hint="default"/>
      <w:sz w:val="21"/>
      <w:szCs w:val="21"/>
    </w:rPr>
  </w:style>
  <w:style w:type="character" w:customStyle="1" w:styleId="10">
    <w:name w:val="10"/>
    <w:basedOn w:val="DefaultParagraphFont"/>
    <w:qFormat/>
    <w:rsid w:val="00997F3B"/>
    <w:rPr>
      <w:rFonts w:ascii="Times New Roman" w:hAnsi="Times New Roman" w:cs="Times New Roman" w:hint="default"/>
    </w:rPr>
  </w:style>
  <w:style w:type="character" w:customStyle="1" w:styleId="Char">
    <w:name w:val="批注文字 Char"/>
    <w:basedOn w:val="DefaultParagraphFont"/>
    <w:link w:val="CommentText"/>
    <w:qFormat/>
    <w:rsid w:val="00997F3B"/>
    <w:rPr>
      <w:rFonts w:asciiTheme="minorHAnsi" w:hAnsiTheme="minorHAnsi" w:cstheme="minorBidi"/>
      <w:kern w:val="2"/>
      <w:sz w:val="24"/>
      <w:szCs w:val="24"/>
    </w:rPr>
  </w:style>
  <w:style w:type="character" w:customStyle="1" w:styleId="Char0">
    <w:name w:val="批注主题 Char"/>
    <w:basedOn w:val="Char"/>
    <w:link w:val="CommentSubject"/>
    <w:qFormat/>
    <w:rsid w:val="00997F3B"/>
    <w:rPr>
      <w:rFonts w:asciiTheme="minorHAnsi" w:hAnsiTheme="minorHAnsi" w:cstheme="minorBidi"/>
      <w:b/>
      <w:bCs/>
      <w:kern w:val="2"/>
      <w:sz w:val="24"/>
      <w:szCs w:val="24"/>
    </w:rPr>
  </w:style>
  <w:style w:type="character" w:customStyle="1" w:styleId="Char1">
    <w:name w:val="批注框文本 Char"/>
    <w:basedOn w:val="DefaultParagraphFont"/>
    <w:link w:val="BalloonText"/>
    <w:qFormat/>
    <w:rsid w:val="00997F3B"/>
    <w:rPr>
      <w:rFonts w:asciiTheme="minorHAnsi" w:hAnsiTheme="minorHAnsi" w:cstheme="minorBidi"/>
      <w:kern w:val="2"/>
      <w:sz w:val="18"/>
      <w:szCs w:val="18"/>
    </w:rPr>
  </w:style>
  <w:style w:type="paragraph" w:customStyle="1" w:styleId="a2">
    <w:name w:val="表内容"/>
    <w:basedOn w:val="Normal"/>
    <w:qFormat/>
    <w:rsid w:val="00997F3B"/>
    <w:pPr>
      <w:spacing w:line="240" w:lineRule="auto"/>
      <w:jc w:val="center"/>
    </w:pPr>
    <w:rPr>
      <w:rFonts w:ascii="Times New Roman" w:hAnsi="Times New Roman" w:cs="Times New Roman"/>
      <w:sz w:val="21"/>
      <w:szCs w:val="21"/>
    </w:rPr>
  </w:style>
  <w:style w:type="paragraph" w:customStyle="1" w:styleId="5">
    <w:name w:val="5段落"/>
    <w:basedOn w:val="Normal"/>
    <w:link w:val="50"/>
    <w:qFormat/>
    <w:rsid w:val="00997F3B"/>
    <w:pPr>
      <w:ind w:firstLine="420" w:firstLineChars="200"/>
    </w:pPr>
    <w:rPr>
      <w:rFonts w:ascii="Times New Roman" w:hAnsi="Times New Roman" w:cs="Times New Roman"/>
      <w:sz w:val="21"/>
    </w:rPr>
  </w:style>
  <w:style w:type="character" w:customStyle="1" w:styleId="50">
    <w:name w:val="5段落 字符"/>
    <w:link w:val="5"/>
    <w:qFormat/>
    <w:rsid w:val="00997F3B"/>
    <w:rPr>
      <w:kern w:val="2"/>
      <w:sz w:val="21"/>
      <w:szCs w:val="24"/>
    </w:rPr>
  </w:style>
  <w:style w:type="paragraph" w:customStyle="1" w:styleId="BGZX">
    <w:name w:val="BGZX"/>
    <w:next w:val="Normal"/>
    <w:qFormat/>
    <w:rsid w:val="00997F3B"/>
    <w:pPr>
      <w:widowControl w:val="0"/>
      <w:adjustRightInd w:val="0"/>
      <w:snapToGrid w:val="0"/>
      <w:spacing w:line="360" w:lineRule="auto"/>
      <w:ind w:firstLine="480" w:firstLineChars="200"/>
      <w:jc w:val="both"/>
    </w:pPr>
    <w:rPr>
      <w:color w:val="000000"/>
      <w:sz w:val="24"/>
      <w:szCs w:val="22"/>
      <w:lang w:val="en-GB"/>
    </w:rPr>
  </w:style>
  <w:style w:type="paragraph" w:customStyle="1" w:styleId="a3">
    <w:name w:val="表头"/>
    <w:next w:val="Normal"/>
    <w:qFormat/>
    <w:rsid w:val="00997F3B"/>
    <w:pPr>
      <w:widowControl w:val="0"/>
      <w:suppressAutoHyphens/>
      <w:autoSpaceDE w:val="0"/>
      <w:spacing w:line="360" w:lineRule="auto"/>
      <w:jc w:val="center"/>
      <w:outlineLvl w:val="4"/>
    </w:pPr>
    <w:rPr>
      <w:b/>
      <w:sz w:val="24"/>
      <w:szCs w:val="21"/>
    </w:rPr>
  </w:style>
  <w:style w:type="paragraph" w:customStyle="1" w:styleId="51">
    <w:name w:val="表格5号居中"/>
    <w:next w:val="Normal"/>
    <w:uiPriority w:val="99"/>
    <w:qFormat/>
    <w:rsid w:val="00997F3B"/>
    <w:pPr>
      <w:widowControl w:val="0"/>
      <w:tabs>
        <w:tab w:val="right" w:pos="8640"/>
        <w:tab w:val="right" w:pos="8784"/>
      </w:tabs>
      <w:adjustRightInd w:val="0"/>
      <w:snapToGrid w:val="0"/>
      <w:jc w:val="center"/>
    </w:pPr>
    <w:rPr>
      <w:iCs/>
      <w:color w:val="000000"/>
      <w:sz w:val="21"/>
      <w:szCs w:val="24"/>
    </w:rPr>
  </w:style>
  <w:style w:type="paragraph" w:customStyle="1" w:styleId="CM11">
    <w:name w:val="CM11"/>
    <w:basedOn w:val="Normal"/>
    <w:next w:val="Normal"/>
    <w:qFormat/>
    <w:rsid w:val="00997F3B"/>
    <w:pPr>
      <w:autoSpaceDE w:val="0"/>
      <w:autoSpaceDN w:val="0"/>
      <w:adjustRightInd w:val="0"/>
      <w:spacing w:line="520" w:lineRule="atLeast"/>
      <w:jc w:val="left"/>
    </w:pPr>
    <w:rPr>
      <w:rFonts w:ascii="宋体"/>
      <w:kern w:val="0"/>
    </w:rPr>
  </w:style>
  <w:style w:type="paragraph" w:customStyle="1" w:styleId="TableParagraph">
    <w:name w:val="Table Paragraph"/>
    <w:basedOn w:val="Normal"/>
    <w:uiPriority w:val="1"/>
    <w:qFormat/>
    <w:rsid w:val="00997F3B"/>
  </w:style>
  <w:style w:type="table" w:customStyle="1" w:styleId="TableGrid0">
    <w:name w:val="Table Grid_0"/>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1">
    <w:name w:val="Table Grid_1"/>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2">
    <w:name w:val="Table Grid_2"/>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3">
    <w:name w:val="Table Grid_3"/>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4">
    <w:name w:val="Table Grid_4"/>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5">
    <w:name w:val="Table Grid_5"/>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6">
    <w:name w:val="Table Grid_6"/>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7">
    <w:name w:val="Table Grid_7"/>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8">
    <w:name w:val="Table Grid_8"/>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9">
    <w:name w:val="Table Grid_9"/>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10">
    <w:name w:val="Table Grid_10"/>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11">
    <w:name w:val="Table Grid_11"/>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12">
    <w:name w:val="Table Grid_12"/>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13">
    <w:name w:val="Table Grid_13"/>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14">
    <w:name w:val="Table Grid_14"/>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15">
    <w:name w:val="Table Grid_15"/>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16">
    <w:name w:val="Table Grid_16"/>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17">
    <w:name w:val="Table Grid_17"/>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18">
    <w:name w:val="Table Grid_18"/>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TableGrid19">
    <w:name w:val="Table Grid_19"/>
    <w:basedOn w:val="TableNormal"/>
    <w:qFormat/>
    <w:rsid w:val="00997F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image" Target="media/image1.wmf" /><Relationship Id="rId14" Type="http://schemas.openxmlformats.org/officeDocument/2006/relationships/oleObject" Target="embeddings/oleObject1.bin"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image" Target="media/image2.wmf" /><Relationship Id="rId25" Type="http://schemas.openxmlformats.org/officeDocument/2006/relationships/oleObject" Target="embeddings/oleObject2.bin" /><Relationship Id="rId26" Type="http://schemas.openxmlformats.org/officeDocument/2006/relationships/footer" Target="footer18.xml" /><Relationship Id="rId27" Type="http://schemas.openxmlformats.org/officeDocument/2006/relationships/image" Target="media/image3.wmf" /><Relationship Id="rId28" Type="http://schemas.openxmlformats.org/officeDocument/2006/relationships/oleObject" Target="embeddings/oleObject3.bin" /><Relationship Id="rId29" Type="http://schemas.openxmlformats.org/officeDocument/2006/relationships/image" Target="media/image4.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footer" Target="footer19.xml" /><Relationship Id="rId32" Type="http://schemas.openxmlformats.org/officeDocument/2006/relationships/hyperlink" Target="https://d.book118.com/178007005115006023" TargetMode="External" /><Relationship Id="rId33" Type="http://schemas.openxmlformats.org/officeDocument/2006/relationships/footer" Target="footer20.xm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22</Pages>
  <Words>3018</Words>
  <Characters>17209</Characters>
  <Application>Microsoft Office Word</Application>
  <DocSecurity>0</DocSecurity>
  <Lines>143</Lines>
  <Paragraphs>40</Paragraphs>
  <ScaleCrop>false</ScaleCrop>
  <Company>Microsoft</Company>
  <LinksUpToDate>false</LinksUpToDate>
  <CharactersWithSpaces>20187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秋风落叶</dc:creator>
  <cp:lastModifiedBy>Administrator</cp:lastModifiedBy>
  <cp:revision>2</cp:revision>
  <cp:lastPrinted>2021-10-18T02:26:00Z</cp:lastPrinted>
  <dcterms:created xsi:type="dcterms:W3CDTF">2021-05-14T09:00:00Z</dcterms:created>
  <dcterms:modified xsi:type="dcterms:W3CDTF">2022-03-24T02:41:00Z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42F9468171C247D891D5C7D5376FC76F</vt:lpwstr>
  </property>
  <property fmtid="{D5CDD505-2E9C-101B-9397-08002B2CF9AE}" pid="3" name="KSOProductBuildVer">
    <vt:lpwstr>2052-11.1.0.10938</vt:lpwstr>
  </property>
</Properties>
</file>