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2018-2023年枣庄科技职业学院高职单招（数学／语文／英语）历年常考试题库含答案解析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《西厢记·长亭送别》中，“泪添九曲黄河溢，恨压三峰华岳低”两句采用的修辞手法是（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B.比喻、通感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C.通感、夸张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“蜗角虚名，蝇头微利”的修辞手法是（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A.比喻、对偶、用典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B.排比、比喻、夸张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C.对偶、拟人、用典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D.拟人、对比、对偶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曹禺创作的第一部剧作是（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B.《原野》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《郑伯克段于鄢》中郑庄公的性格特征是（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A.贪婪狂妄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B.老谋深算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C.褊狭昏聩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D.恪守孝悌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“有毅力者成，反是者败”这段话所用的论证方法是（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下面不属于《论学问》一文提出的读书四种方法是（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A.精读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B.快速阅读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C.选读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D.全读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“乐府”最初的含义是（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A.先秦民歌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B.最早的格律诗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C.西汉王朝设立的掌管音乐的机构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D.宫廷里的歌舞厅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A.《鼓书艺人》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“我则或一日而返焉，或二三日而返焉，或五六日而返焉”所运用的修辞方法是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B.比喻、层递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C.层递、夸张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https://d.book118.com/178022133135006040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78022133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