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D18" w:rsidRPr="00C6446B">
      <w:pPr>
        <w:jc w:val="center"/>
        <w:rPr>
          <w:rFonts w:ascii="黑体" w:eastAsia="黑体" w:hAnsi="黑体" w:cs="黑体" w:hint="eastAsia"/>
          <w:b w:val="0"/>
          <w:color w:val="000000"/>
          <w:sz w:val="36"/>
        </w:rPr>
      </w:pPr>
      <w:r w:rsidRPr="00C6446B">
        <w:rPr>
          <w:rFonts w:ascii="黑体" w:eastAsia="黑体" w:hAnsi="黑体" w:cs="黑体" w:hint="eastAsia"/>
          <w:b w:val="0"/>
          <w:color w:val="000000"/>
          <w:sz w:val="36"/>
        </w:rPr>
        <w:t>咸宁市城市总体规划（2019</w:t>
      </w:r>
      <w:r w:rsidRPr="00C6446B">
        <w:rPr>
          <w:rFonts w:ascii="黑体" w:eastAsia="黑体" w:hAnsi="黑体" w:cs="黑体" w:hint="eastAsia"/>
          <w:b w:val="0"/>
          <w:color w:val="000000"/>
          <w:sz w:val="36"/>
        </w:rPr>
        <w:t>—</w:t>
      </w:r>
      <w:r w:rsidRPr="00C6446B">
        <w:rPr>
          <w:rFonts w:ascii="黑体" w:eastAsia="黑体" w:hAnsi="黑体" w:cs="黑体" w:hint="eastAsia"/>
          <w:b w:val="0"/>
          <w:color w:val="000000"/>
          <w:sz w:val="36"/>
        </w:rPr>
        <w:t>2030）</w:t>
      </w:r>
    </w:p>
    <w:p w:rsidR="00F15D18" w:rsidRPr="00C6446B" w:rsidP="00F15D18">
      <w:pPr>
        <w:rPr>
          <w:sz w:val="24"/>
        </w:rPr>
      </w:pPr>
      <w:r w:rsidRPr="00C6446B">
        <w:rPr>
          <w:rFonts w:ascii="宋体" w:eastAsia="宋体" w:hAnsi="宋体" w:cs="宋体" w:hint="eastAsia"/>
          <w:sz w:val="30"/>
        </w:rPr>
        <w:t>咸宁市政府在编制了《湖北咸宁战略规划》的基础上，组织修编了《咸宁城市总体规划（2019</w:t>
      </w:r>
      <w:r w:rsidRPr="00C6446B">
        <w:rPr>
          <w:rFonts w:ascii="宋体" w:eastAsia="宋体" w:hAnsi="宋体" w:cs="宋体" w:hint="eastAsia"/>
          <w:sz w:val="30"/>
        </w:rPr>
        <w:t>—</w:t>
      </w:r>
      <w:r w:rsidRPr="00C6446B">
        <w:rPr>
          <w:rFonts w:ascii="宋体" w:eastAsia="宋体" w:hAnsi="宋体" w:cs="宋体" w:hint="eastAsia"/>
          <w:sz w:val="30"/>
        </w:rPr>
        <w:t xml:space="preserve">2030）》。为了更好地谋划咸宁的长远发展，体现 </w:t>
      </w:r>
      <w:r w:rsidRPr="00C6446B">
        <w:rPr>
          <w:rFonts w:ascii="宋体" w:eastAsia="宋体" w:hAnsi="宋体" w:cs="宋体" w:hint="eastAsia"/>
          <w:sz w:val="30"/>
        </w:rPr>
        <w:t>“</w:t>
      </w:r>
      <w:r w:rsidRPr="00C6446B">
        <w:rPr>
          <w:rFonts w:ascii="宋体" w:eastAsia="宋体" w:hAnsi="宋体" w:cs="宋体" w:hint="eastAsia"/>
          <w:sz w:val="30"/>
        </w:rPr>
        <w:t>政府组织、专家领衔、部门合作、公众参及、科学决策</w:t>
      </w:r>
      <w:r w:rsidRPr="00C6446B">
        <w:rPr>
          <w:rFonts w:ascii="宋体" w:eastAsia="宋体" w:hAnsi="宋体" w:cs="宋体" w:hint="eastAsia"/>
          <w:sz w:val="30"/>
        </w:rPr>
        <w:t>”</w:t>
      </w:r>
      <w:r w:rsidRPr="00C6446B">
        <w:rPr>
          <w:rFonts w:ascii="宋体" w:eastAsia="宋体" w:hAnsi="宋体" w:cs="宋体" w:hint="eastAsia"/>
          <w:sz w:val="30"/>
        </w:rPr>
        <w:t>的规划编制方式，依据《中华人民共和国城乡规划法》相关规定，现将《咸宁城市总体规划（2019</w:t>
      </w:r>
      <w:r w:rsidRPr="00C6446B">
        <w:rPr>
          <w:rFonts w:ascii="宋体" w:eastAsia="宋体" w:hAnsi="宋体" w:cs="宋体" w:hint="eastAsia"/>
          <w:sz w:val="30"/>
        </w:rPr>
        <w:t>—</w:t>
      </w:r>
      <w:r w:rsidRPr="00C6446B">
        <w:rPr>
          <w:rFonts w:ascii="宋体" w:eastAsia="宋体" w:hAnsi="宋体" w:cs="宋体" w:hint="eastAsia"/>
          <w:sz w:val="30"/>
        </w:rPr>
        <w:t>2030）》成果予以公示，请广阔市民献计献策。</w:t>
      </w:r>
    </w:p>
    <w:p w:rsidR="00F15D18" w:rsidRPr="00C6446B" w:rsidP="00F15D18">
      <w:pPr>
        <w:rPr>
          <w:rFonts w:hint="eastAsia"/>
          <w:sz w:val="24"/>
        </w:rPr>
      </w:pPr>
      <w:r w:rsidRPr="00C6446B">
        <w:rPr>
          <w:rFonts w:ascii="宋体" w:eastAsia="宋体" w:hAnsi="宋体" w:cs="宋体" w:hint="eastAsia"/>
          <w:sz w:val="30"/>
        </w:rPr>
        <w:t>联系科室：咸宁市城乡规划局城乡规划编制科</w:t>
      </w:r>
    </w:p>
    <w:p w:rsidR="00F15D18" w:rsidRPr="00C6446B" w:rsidP="00F15D18">
      <w:pPr>
        <w:rPr>
          <w:rFonts w:hint="eastAsia"/>
          <w:sz w:val="24"/>
        </w:rPr>
      </w:pPr>
      <w:r w:rsidRPr="00C6446B">
        <w:rPr>
          <w:rFonts w:ascii="宋体" w:eastAsia="宋体" w:hAnsi="宋体" w:cs="宋体" w:hint="eastAsia"/>
          <w:sz w:val="30"/>
        </w:rPr>
        <w:t>联系电话：</w:t>
      </w:r>
    </w:p>
    <w:p w:rsidR="00F15D18" w:rsidRPr="00C6446B" w:rsidP="00F15D18">
      <w:pPr>
        <w:rPr>
          <w:rFonts w:hint="eastAsia"/>
          <w:sz w:val="24"/>
        </w:rPr>
      </w:pPr>
      <w:r w:rsidRPr="00C6446B">
        <w:rPr>
          <w:rFonts w:ascii="宋体" w:eastAsia="宋体" w:hAnsi="宋体" w:cs="宋体" w:hint="eastAsia"/>
          <w:sz w:val="30"/>
        </w:rPr>
        <w:t>联 系 人：杨剑、李哲</w:t>
      </w:r>
    </w:p>
    <w:p w:rsidR="00F15D18" w:rsidRPr="00C6446B" w:rsidP="00F15D18">
      <w:pPr>
        <w:rPr>
          <w:rFonts w:hint="eastAsia"/>
          <w:sz w:val="24"/>
        </w:rPr>
      </w:pPr>
      <w:r w:rsidRPr="00C6446B">
        <w:rPr>
          <w:rFonts w:ascii="宋体" w:eastAsia="宋体" w:hAnsi="宋体" w:cs="宋体" w:hint="eastAsia"/>
          <w:sz w:val="30"/>
        </w:rPr>
        <w:t>电子邮箱：</w:t>
      </w:r>
      <w:r w:rsidRPr="00C6446B">
        <w:rPr>
          <w:rFonts w:ascii="宋体" w:eastAsia="宋体" w:hAnsi="宋体" w:cs="宋体" w:hint="eastAsia"/>
          <w:sz w:val="30"/>
        </w:rPr>
        <w:t>  </w:t>
      </w:r>
      <w:r w:rsidRPr="00C6446B">
        <w:rPr>
          <w:rFonts w:ascii="宋体" w:eastAsia="宋体" w:hAnsi="宋体" w:cs="宋体" w:hint="eastAsia"/>
          <w:sz w:val="30"/>
        </w:rPr>
        <w:t>　　　　　　</w:t>
      </w:r>
      <w:r w:rsidRPr="00C6446B">
        <w:rPr>
          <w:rFonts w:ascii="宋体" w:eastAsia="宋体" w:hAnsi="宋体" w:cs="宋体" w:hint="eastAsia"/>
          <w:sz w:val="30"/>
        </w:rPr>
        <w:t> </w:t>
      </w:r>
      <w:r w:rsidRPr="00C6446B">
        <w:rPr>
          <w:rFonts w:ascii="宋体" w:eastAsia="宋体" w:hAnsi="宋体" w:cs="宋体" w:hint="eastAsia"/>
          <w:sz w:val="30"/>
        </w:rPr>
        <w:t xml:space="preserve">  </w:t>
      </w:r>
    </w:p>
    <w:p w:rsidR="00F15D18" w:rsidRPr="00C6446B" w:rsidP="00F15D18">
      <w:pPr>
        <w:widowControl/>
        <w:spacing w:before="100" w:beforeAutospacing="1" w:after="100" w:afterAutospacing="1" w:line="300" w:lineRule="atLeast"/>
        <w:jc w:val="center"/>
        <w:outlineLvl w:val="0"/>
        <w:rPr>
          <w:rFonts w:ascii="宋体" w:hAnsi="宋体" w:cs="宋体" w:hint="eastAsia"/>
          <w:b/>
          <w:bCs/>
          <w:color w:val="000000"/>
          <w:kern w:val="36"/>
          <w:sz w:val="24"/>
        </w:rPr>
      </w:pPr>
      <w:bookmarkStart w:id="0" w:name="_Toc279078316"/>
      <w:r w:rsidRPr="00C6446B">
        <w:rPr>
          <w:rFonts w:ascii="宋体" w:eastAsia="宋体" w:hAnsi="宋体" w:cs="宋体" w:hint="eastAsia"/>
          <w:b/>
          <w:bCs/>
          <w:color w:val="000000"/>
          <w:kern w:val="36"/>
          <w:sz w:val="30"/>
          <w:bdr w:val="single" w:sz="2" w:space="0" w:color="FFFFFF" w:frame="1"/>
        </w:rPr>
        <w:t>第一章</w:t>
      </w:r>
      <w:bookmarkEnd w:id="0"/>
      <w:r w:rsidRPr="00C6446B">
        <w:rPr>
          <w:rFonts w:ascii="宋体" w:eastAsia="宋体" w:hAnsi="宋体" w:cs="宋体" w:hint="eastAsia"/>
          <w:b/>
          <w:bCs/>
          <w:color w:val="000000"/>
          <w:kern w:val="36"/>
          <w:sz w:val="30"/>
        </w:rPr>
        <w:t> </w:t>
      </w:r>
      <w:r w:rsidRPr="00C6446B">
        <w:rPr>
          <w:rFonts w:ascii="宋体" w:eastAsia="宋体" w:hAnsi="宋体" w:cs="宋体" w:hint="eastAsia"/>
          <w:b/>
          <w:bCs/>
          <w:color w:val="000000"/>
          <w:kern w:val="36"/>
          <w:sz w:val="30"/>
        </w:rPr>
        <w:t xml:space="preserve"> 总则</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第1节</w:t>
      </w:r>
      <w:r w:rsidRPr="00C6446B">
        <w:rPr>
          <w:rFonts w:ascii="宋体" w:eastAsia="宋体" w:hAnsi="宋体" w:cs="宋体" w:hint="eastAsia"/>
          <w:b/>
          <w:bCs/>
          <w:color w:val="000000"/>
          <w:kern w:val="0"/>
          <w:sz w:val="30"/>
        </w:rPr>
        <w:t>  </w:t>
      </w:r>
      <w:r w:rsidRPr="00C6446B">
        <w:rPr>
          <w:rFonts w:ascii="宋体" w:eastAsia="宋体" w:hAnsi="宋体" w:cs="宋体" w:hint="eastAsia"/>
          <w:b/>
          <w:bCs/>
          <w:color w:val="000000"/>
          <w:kern w:val="0"/>
          <w:sz w:val="30"/>
        </w:rPr>
        <w:t>规划编制背景</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第1条　</w:t>
      </w:r>
      <w:r w:rsidRPr="00C6446B">
        <w:rPr>
          <w:rFonts w:ascii="宋体" w:eastAsia="宋体" w:hAnsi="宋体" w:cs="宋体" w:hint="eastAsia"/>
          <w:color w:val="000000"/>
          <w:kern w:val="0"/>
          <w:sz w:val="30"/>
        </w:rPr>
        <w:t>在国家中部崛起战略和武汉城市圈</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两型</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社会建设进程中，以</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  </w:t>
      </w:r>
      <w:r w:rsidRPr="00C6446B">
        <w:rPr>
          <w:rFonts w:ascii="宋体" w:eastAsia="宋体" w:hAnsi="宋体" w:cs="宋体" w:hint="eastAsia"/>
          <w:color w:val="000000"/>
          <w:kern w:val="0"/>
          <w:sz w:val="30"/>
        </w:rPr>
        <w:t xml:space="preserve"> </w:t>
      </w:r>
      <w:r w:rsidRPr="00C6446B">
        <w:rPr>
          <w:rFonts w:ascii="宋体" w:eastAsia="宋体" w:hAnsi="宋体" w:cs="宋体" w:hint="eastAsia"/>
          <w:color w:val="000000"/>
          <w:kern w:val="0"/>
          <w:sz w:val="30"/>
        </w:rPr>
        <w:t> </w:t>
      </w:r>
      <w:r w:rsidRPr="00C6446B">
        <w:rPr>
          <w:rFonts w:ascii="宋体" w:eastAsia="宋体" w:hAnsi="宋体" w:cs="宋体" w:hint="eastAsia"/>
          <w:color w:val="000000"/>
          <w:kern w:val="0"/>
          <w:sz w:val="30"/>
        </w:rPr>
        <w:t>京广高速铁路、城际铁路、大畈核电站等一批重大基础设施的上马为契机，地处</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武汉城市圈</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及</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长株潭城市群</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之间中心位置的咸宁，在产业发展、城市建设等方面</w:t>
      </w:r>
      <w:r w:rsidR="00B775C0">
        <w:rPr>
          <w:rFonts w:ascii="宋体" w:eastAsia="宋体" w:hAnsi="宋体" w:cs="宋体" w:hint="eastAsia"/>
          <w:color w:val="000000"/>
          <w:kern w:val="0"/>
          <w:sz w:val="30"/>
        </w:rPr>
        <w:tab/>
      </w:r>
      <w:r w:rsidRPr="00C6446B">
        <w:rPr>
          <w:rFonts w:ascii="宋体" w:eastAsia="宋体" w:hAnsi="宋体" w:cs="宋体" w:hint="eastAsia"/>
          <w:color w:val="000000"/>
          <w:kern w:val="0"/>
          <w:sz w:val="30"/>
        </w:rPr>
        <w:t>迎来巨大的发展机遇。依据咸宁市委、市政府提出的</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加快建设鄂南经济强市</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的战略确定和</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五个一工程</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为核心的战略目标，结合当前区域发展的新形势，完善城乡规划成为咸宁市立足武汉城市圈、提升城市综合竞争力的必定选择。2019年10月咸宁市政府组织开展了《湖北咸宁城市发展战略规划》的编制工作，并获专家评审通过。经湖北省住房和城乡建设厅批准，咸宁市人民政府组织编制了《咸宁城市总体规划（2019－2030年）》（以下简称总体规划）。</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第2节　规划指导思想及主要任务</w:t>
      </w:r>
    </w:p>
    <w:p w:rsidR="00F15D18" w:rsidRPr="00C6446B" w:rsidP="00F15D18">
      <w:pPr>
        <w:widowControl/>
        <w:spacing w:line="300" w:lineRule="atLeast"/>
        <w:jc w:val="left"/>
        <w:rPr>
          <w:rFonts w:ascii="宋体" w:hAnsi="宋体" w:cs="宋体" w:hint="eastAsia"/>
          <w:color w:val="000000"/>
          <w:kern w:val="0"/>
          <w:sz w:val="24"/>
        </w:rPr>
        <w:sectPr w:rsidSect="00F15D18">
          <w:pgSz w:w="11906" w:h="16838"/>
          <w:pgMar w:top="468" w:right="566" w:bottom="468" w:left="720" w:header="851" w:footer="992" w:gutter="0"/>
          <w:cols w:space="425"/>
          <w:titlePg w:val="0"/>
          <w:docGrid w:type="lines" w:linePitch="312"/>
        </w:sectPr>
      </w:pPr>
      <w:r w:rsidRPr="00C6446B">
        <w:rPr>
          <w:rFonts w:ascii="宋体" w:eastAsia="宋体" w:hAnsi="宋体" w:cs="宋体" w:hint="eastAsia"/>
          <w:b/>
          <w:bCs/>
          <w:color w:val="000000"/>
          <w:kern w:val="0"/>
          <w:sz w:val="30"/>
        </w:rPr>
        <w:t>第2条　</w:t>
      </w:r>
      <w:r w:rsidRPr="00C6446B">
        <w:rPr>
          <w:rFonts w:ascii="宋体" w:eastAsia="宋体" w:hAnsi="宋体" w:cs="宋体" w:hint="eastAsia"/>
          <w:color w:val="000000"/>
          <w:kern w:val="0"/>
          <w:sz w:val="30"/>
        </w:rPr>
        <w:t>总体规划的指导思想</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  </w:t>
      </w:r>
      <w:r w:rsidRPr="00C6446B">
        <w:rPr>
          <w:rFonts w:ascii="宋体" w:eastAsia="宋体" w:hAnsi="宋体" w:cs="宋体" w:hint="eastAsia"/>
          <w:color w:val="000000"/>
          <w:kern w:val="0"/>
          <w:sz w:val="30"/>
        </w:rPr>
        <w:t xml:space="preserve"> </w:t>
      </w:r>
      <w:r w:rsidRPr="00C6446B">
        <w:rPr>
          <w:rFonts w:ascii="宋体" w:eastAsia="宋体" w:hAnsi="宋体" w:cs="宋体" w:hint="eastAsia"/>
          <w:color w:val="000000"/>
          <w:kern w:val="0"/>
          <w:sz w:val="30"/>
        </w:rPr>
        <w:t> </w:t>
      </w:r>
      <w:r w:rsidRPr="00C6446B">
        <w:rPr>
          <w:rFonts w:ascii="宋体" w:eastAsia="宋体" w:hAnsi="宋体" w:cs="宋体" w:hint="eastAsia"/>
          <w:color w:val="000000"/>
          <w:kern w:val="0"/>
          <w:sz w:val="30"/>
        </w:rPr>
        <w:t>坚持以可持续发展的科学发展观为指导，全面落实省委省政府关于咸宁市发展的总体要求，强化咸宁在湖北省南部及中部城市群中心的辐射、带动及链接作用，坚持高标准、高质量、高水平的发展思路，提高自主创新实力，加快转变经济增长方式，大力发展生态型循环经济，推动经济结构的战略性调整，坚持集约发展、清洁发展、平安发展和可持续发展，构建资源节约型和环境友好型社会，建设相宜创业和居住的和谐城市。</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第3条　</w:t>
      </w:r>
      <w:r w:rsidRPr="00C6446B">
        <w:rPr>
          <w:rFonts w:ascii="宋体" w:eastAsia="宋体" w:hAnsi="宋体" w:cs="宋体" w:hint="eastAsia"/>
          <w:color w:val="000000"/>
          <w:kern w:val="0"/>
          <w:sz w:val="30"/>
        </w:rPr>
        <w:t>总体规划本着持续历史，面对将来，立足咸宁城市发展的新形势、</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  </w:t>
      </w:r>
      <w:r w:rsidRPr="00C6446B">
        <w:rPr>
          <w:rFonts w:ascii="宋体" w:eastAsia="宋体" w:hAnsi="宋体" w:cs="宋体" w:hint="eastAsia"/>
          <w:color w:val="000000"/>
          <w:kern w:val="0"/>
          <w:sz w:val="30"/>
        </w:rPr>
        <w:t xml:space="preserve"> </w:t>
      </w:r>
      <w:r w:rsidRPr="00C6446B">
        <w:rPr>
          <w:rFonts w:ascii="宋体" w:eastAsia="宋体" w:hAnsi="宋体" w:cs="宋体" w:hint="eastAsia"/>
          <w:color w:val="000000"/>
          <w:kern w:val="0"/>
          <w:sz w:val="30"/>
        </w:rPr>
        <w:t> </w:t>
      </w:r>
      <w:r w:rsidRPr="00C6446B">
        <w:rPr>
          <w:rFonts w:ascii="宋体" w:eastAsia="宋体" w:hAnsi="宋体" w:cs="宋体" w:hint="eastAsia"/>
          <w:color w:val="000000"/>
          <w:kern w:val="0"/>
          <w:sz w:val="30"/>
        </w:rPr>
        <w:t>新格局和新挑战，突出依据</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战略性、科学性、协调性、法制性和可操作性</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的规划原则，确定规划的主要任务是:</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（1）突出城市发展重点和方向，拉开城市空间发展框架，调整优化主城区空间布局，建立开放式城市空间结构体系。</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（2）促进产业结构调整和升级，优化产业空间布局，主动促进工业化发展，提高城市综合实力。</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（3）</w:t>
      </w:r>
      <w:r w:rsidRPr="0071225D">
        <w:rPr>
          <w:rFonts w:ascii="宋体" w:eastAsia="宋体" w:hAnsi="宋体" w:cs="宋体" w:hint="eastAsia"/>
          <w:color w:val="000000"/>
          <w:kern w:val="0"/>
          <w:sz w:val="30"/>
          <w:highlight w:val="yellow"/>
        </w:rPr>
        <w:t>培育和提升温泉旅游、交通物流、金融商贸、科教文化等产业功能，形成系统完整、特色突出、集聚力强、辐射面广的现代服务功能体系，增加城市多元化服务实力。</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（4）建设区域快速道路系统，构建现代化的城市交通体系和高效便捷的区域一体化交通网络，</w:t>
      </w:r>
      <w:r w:rsidRPr="00C6446B">
        <w:rPr>
          <w:rFonts w:ascii="宋体" w:eastAsia="宋体" w:hAnsi="宋体" w:cs="宋体" w:hint="eastAsia"/>
          <w:color w:val="000000"/>
          <w:kern w:val="0"/>
          <w:sz w:val="30"/>
          <w:highlight w:val="yellow"/>
        </w:rPr>
        <w:t>进一步提高市政基础设施的服务实力。</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（5）严格限制城市规模，爱护和合理利用土地资源、水资源和绿化等重要的生态资源，建立空间管制体系，构建科学平安的生态格局。</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（6）突出滨江滨湖特色，提升人居环境品质，彰显咸宁绿色生态魅力。</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（7）依据</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工业反哺农业、城市支持农村</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的方针，突出社会主义新农村建设，促进城乡统筹发展。</w:t>
      </w:r>
    </w:p>
    <w:p w:rsidR="00F15D18" w:rsidRPr="00C6446B" w:rsidP="00F15D18">
      <w:pPr>
        <w:widowControl/>
        <w:spacing w:line="300" w:lineRule="atLeast"/>
        <w:jc w:val="left"/>
        <w:rPr>
          <w:rFonts w:ascii="宋体" w:hAnsi="宋体" w:cs="宋体" w:hint="eastAsia"/>
          <w:color w:val="000000"/>
          <w:kern w:val="0"/>
          <w:sz w:val="24"/>
        </w:rPr>
        <w:sectPr w:rsidSect="00F15D18">
          <w:type w:val="nextPage"/>
          <w:pgSz w:w="11906" w:h="16838"/>
          <w:pgMar w:top="468" w:right="566" w:bottom="468" w:left="720" w:header="851" w:footer="992" w:gutter="0"/>
          <w:pgNumType w:start="2"/>
          <w:cols w:space="425"/>
          <w:titlePg w:val="0"/>
          <w:docGrid w:type="lines" w:linePitch="312"/>
        </w:sectPr>
      </w:pPr>
      <w:r w:rsidRPr="00C6446B">
        <w:rPr>
          <w:rFonts w:ascii="宋体" w:eastAsia="宋体" w:hAnsi="宋体" w:cs="宋体" w:hint="eastAsia"/>
          <w:color w:val="000000"/>
          <w:kern w:val="0"/>
          <w:sz w:val="30"/>
        </w:rPr>
        <w:t>（8）建立科学有效的规划实施机制，协调近远期发展要求，增加总体规划的宏观调控实力。</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第3节　规划依据、期限、层次及范围</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第4条</w:t>
      </w:r>
      <w:r w:rsidRPr="00C6446B">
        <w:rPr>
          <w:rFonts w:ascii="宋体" w:eastAsia="宋体" w:hAnsi="宋体" w:cs="宋体" w:hint="eastAsia"/>
          <w:color w:val="000000"/>
          <w:kern w:val="0"/>
          <w:sz w:val="30"/>
        </w:rPr>
        <w:t>《咸宁市城市总体规划（2019－2030年）》（以下简称总体规划）编</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制的基本依据是：</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（1）《中华人民共和国城乡规划法》(2019年)</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（2）《城市规划编制方法》（2019年）</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（3）《湖北省城镇体系规划（2019－2020年）》（2019年）</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（4）《武汉城市圈</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两型社会</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建设空间规划》（2019年）</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（5）《湖北咸宁城市发展战略规划》（2019年）</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（6）《湖北省住房和城乡建设厅关于同意咸宁市编制城市总体规划的批复》（鄂建函[2009]236）</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（7）《咸宁市城市总体规划（2019－2030年）纲要》</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（8）《咸宁市国民经济和社会发展第十二个五年总体规划纲要》</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第5条　</w:t>
      </w:r>
      <w:r w:rsidRPr="00C6446B">
        <w:rPr>
          <w:rFonts w:ascii="宋体" w:eastAsia="宋体" w:hAnsi="宋体" w:cs="宋体" w:hint="eastAsia"/>
          <w:color w:val="000000"/>
          <w:kern w:val="0"/>
          <w:sz w:val="30"/>
        </w:rPr>
        <w:t>总体规划期限为2019-2030年，近期为2019至2019年。</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第6条　总体规划范围分为市域、城市规划区以及主城区三个层次，其中市域规划范围即咸宁市行政辖区，面积9861平方公里；城市规划区范围为北至咸宁及武汉的行政界线，西接咸安及嘉鱼行政界线，南至咸安及赤壁行政界线以及汀泗桥镇的黄荆塘、古塘村的行政界线，东至贺胜桥镇的花坪、黄祠、万秀村，横沟桥镇的凉亭垴、群力村，马桥镇的高赛、曾铺、鳖山村，以及温泉生态旅游区的边界，总用地面积为674平方公里；主城区范围为现状城区以及向北及东北拓展至横沟桥镇，向南拓展至马桥镇区域，总用地面积为165平方公里。</w:t>
      </w:r>
    </w:p>
    <w:p w:rsidR="00F15D18" w:rsidRPr="00C6446B" w:rsidP="00F15D18">
      <w:pPr>
        <w:widowControl/>
        <w:spacing w:before="100" w:beforeAutospacing="1" w:after="100" w:afterAutospacing="1" w:line="300" w:lineRule="atLeast"/>
        <w:jc w:val="center"/>
        <w:outlineLvl w:val="0"/>
        <w:rPr>
          <w:rFonts w:ascii="宋体" w:hAnsi="宋体" w:cs="宋体" w:hint="eastAsia"/>
          <w:b/>
          <w:bCs/>
          <w:color w:val="000000"/>
          <w:kern w:val="36"/>
          <w:sz w:val="24"/>
        </w:rPr>
      </w:pPr>
      <w:bookmarkStart w:id="1" w:name="_Toc278981950"/>
      <w:bookmarkStart w:id="2" w:name="_Toc278965430"/>
      <w:bookmarkStart w:id="3" w:name="_Toc278965335"/>
      <w:bookmarkStart w:id="4" w:name="_Toc279078317"/>
      <w:bookmarkEnd w:id="1"/>
      <w:bookmarkEnd w:id="2"/>
      <w:bookmarkEnd w:id="3"/>
      <w:r w:rsidRPr="00C6446B">
        <w:rPr>
          <w:rFonts w:ascii="宋体" w:eastAsia="宋体" w:hAnsi="宋体" w:cs="宋体" w:hint="eastAsia"/>
          <w:b/>
          <w:bCs/>
          <w:color w:val="000000"/>
          <w:kern w:val="36"/>
          <w:sz w:val="30"/>
          <w:bdr w:val="single" w:sz="2" w:space="0" w:color="FFFFFF" w:frame="1"/>
        </w:rPr>
        <w:t>其次章</w:t>
      </w:r>
      <w:bookmarkEnd w:id="4"/>
      <w:r w:rsidRPr="00C6446B">
        <w:rPr>
          <w:rFonts w:ascii="宋体" w:eastAsia="宋体" w:hAnsi="宋体" w:cs="宋体" w:hint="eastAsia"/>
          <w:b/>
          <w:bCs/>
          <w:color w:val="000000"/>
          <w:kern w:val="36"/>
          <w:sz w:val="30"/>
        </w:rPr>
        <w:t> </w:t>
      </w:r>
      <w:r w:rsidRPr="00C6446B">
        <w:rPr>
          <w:rFonts w:ascii="宋体" w:eastAsia="宋体" w:hAnsi="宋体" w:cs="宋体" w:hint="eastAsia"/>
          <w:b/>
          <w:bCs/>
          <w:color w:val="000000"/>
          <w:kern w:val="36"/>
          <w:sz w:val="30"/>
        </w:rPr>
        <w:t xml:space="preserve"> 城市性质和规模</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第1节</w:t>
      </w:r>
      <w:r w:rsidRPr="00C6446B">
        <w:rPr>
          <w:rFonts w:ascii="宋体" w:eastAsia="宋体" w:hAnsi="宋体" w:cs="宋体" w:hint="eastAsia"/>
          <w:b/>
          <w:bCs/>
          <w:color w:val="000000"/>
          <w:kern w:val="0"/>
          <w:sz w:val="30"/>
        </w:rPr>
        <w:t>  </w:t>
      </w:r>
      <w:r w:rsidRPr="00C6446B">
        <w:rPr>
          <w:rFonts w:ascii="宋体" w:eastAsia="宋体" w:hAnsi="宋体" w:cs="宋体" w:hint="eastAsia"/>
          <w:b/>
          <w:bCs/>
          <w:color w:val="000000"/>
          <w:kern w:val="0"/>
          <w:sz w:val="30"/>
        </w:rPr>
        <w:t>城市性质及城市职能</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第7条　　</w:t>
      </w:r>
      <w:r w:rsidRPr="00C6446B">
        <w:rPr>
          <w:rFonts w:ascii="宋体" w:eastAsia="宋体" w:hAnsi="宋体" w:cs="宋体" w:hint="eastAsia"/>
          <w:b/>
          <w:bCs/>
          <w:color w:val="000000"/>
          <w:kern w:val="0"/>
          <w:sz w:val="30"/>
        </w:rPr>
        <w:t>  </w:t>
      </w:r>
      <w:r w:rsidRPr="00C6446B">
        <w:rPr>
          <w:rFonts w:ascii="宋体" w:eastAsia="宋体" w:hAnsi="宋体" w:cs="宋体" w:hint="eastAsia"/>
          <w:color w:val="000000"/>
          <w:kern w:val="0"/>
          <w:sz w:val="30"/>
        </w:rPr>
        <w:t>城市性质定位为：咸宁市域中心城市，湘鄂赣边界地区商贸物流</w:t>
      </w:r>
    </w:p>
    <w:p w:rsidR="00F15D18" w:rsidRPr="00C6446B" w:rsidP="00F15D18">
      <w:pPr>
        <w:widowControl/>
        <w:spacing w:line="300" w:lineRule="atLeast"/>
        <w:jc w:val="left"/>
        <w:rPr>
          <w:rFonts w:ascii="宋体" w:hAnsi="宋体" w:cs="宋体" w:hint="eastAsia"/>
          <w:color w:val="000000"/>
          <w:kern w:val="0"/>
          <w:sz w:val="24"/>
        </w:rPr>
        <w:sectPr w:rsidSect="00F15D18">
          <w:type w:val="nextPage"/>
          <w:pgSz w:w="11906" w:h="16838"/>
          <w:pgMar w:top="468" w:right="566" w:bottom="468" w:left="720" w:header="851" w:footer="992" w:gutter="0"/>
          <w:pgNumType w:start="3"/>
          <w:cols w:space="425"/>
          <w:titlePg w:val="0"/>
          <w:docGrid w:type="lines" w:linePitch="312"/>
        </w:sectPr>
      </w:pPr>
      <w:r w:rsidRPr="00C6446B">
        <w:rPr>
          <w:rFonts w:ascii="宋体" w:eastAsia="宋体" w:hAnsi="宋体" w:cs="宋体" w:hint="eastAsia"/>
          <w:color w:val="000000"/>
          <w:kern w:val="0"/>
          <w:sz w:val="30"/>
        </w:rPr>
        <w:t>中心，武汉城市圈生态宜居城市，中国温泉旅游名城。</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第8条　　</w:t>
      </w:r>
      <w:r w:rsidRPr="00C6446B">
        <w:rPr>
          <w:rFonts w:ascii="宋体" w:eastAsia="宋体" w:hAnsi="宋体" w:cs="宋体" w:hint="eastAsia"/>
          <w:b/>
          <w:bCs/>
          <w:color w:val="000000"/>
          <w:kern w:val="0"/>
          <w:sz w:val="30"/>
        </w:rPr>
        <w:t>  </w:t>
      </w:r>
      <w:r w:rsidRPr="00C6446B">
        <w:rPr>
          <w:rFonts w:ascii="宋体" w:eastAsia="宋体" w:hAnsi="宋体" w:cs="宋体" w:hint="eastAsia"/>
          <w:color w:val="000000"/>
          <w:kern w:val="0"/>
          <w:sz w:val="30"/>
        </w:rPr>
        <w:t>城市职能为：重点发展高效清洁能源、纺织、森林竹林加工、生</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物医药、绿色食品加工等现代轻型制造业和生态旅游等生态型产业，将其建设成为高效清洁能源基地、麻棉纺织基地，森工板材加工基地，生态食品加工基地、现代商贸物流基地和生态旅游及休闲度假养生基地，建成武汉城市圈的</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大花园</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，建设成为国家生态城市及和谐宜居城市。</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第2节</w:t>
      </w:r>
      <w:r w:rsidRPr="00C6446B">
        <w:rPr>
          <w:rFonts w:ascii="宋体" w:eastAsia="宋体" w:hAnsi="宋体" w:cs="宋体" w:hint="eastAsia"/>
          <w:b/>
          <w:bCs/>
          <w:color w:val="000000"/>
          <w:kern w:val="0"/>
          <w:sz w:val="30"/>
        </w:rPr>
        <w:t>  </w:t>
      </w:r>
      <w:r w:rsidRPr="00C6446B">
        <w:rPr>
          <w:rFonts w:ascii="宋体" w:eastAsia="宋体" w:hAnsi="宋体" w:cs="宋体" w:hint="eastAsia"/>
          <w:b/>
          <w:bCs/>
          <w:color w:val="000000"/>
          <w:kern w:val="0"/>
          <w:sz w:val="30"/>
        </w:rPr>
        <w:t>城市人口规模</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第9条　　</w:t>
      </w:r>
      <w:r w:rsidRPr="00C6446B">
        <w:rPr>
          <w:rFonts w:ascii="宋体" w:eastAsia="宋体" w:hAnsi="宋体" w:cs="宋体" w:hint="eastAsia"/>
          <w:b/>
          <w:bCs/>
          <w:color w:val="000000"/>
          <w:kern w:val="0"/>
          <w:sz w:val="30"/>
        </w:rPr>
        <w:t>  </w:t>
      </w:r>
      <w:r w:rsidRPr="00C6446B">
        <w:rPr>
          <w:rFonts w:ascii="宋体" w:eastAsia="宋体" w:hAnsi="宋体" w:cs="宋体" w:hint="eastAsia"/>
          <w:color w:val="000000"/>
          <w:kern w:val="0"/>
          <w:sz w:val="30"/>
        </w:rPr>
        <w:t>落实城乡统筹相关政策，科学应对旅游服务人口需求，加强对人</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口增长的管理和引导。规划区作为将来城市化发展重点区域和城市人口的重要承载地，至2030年，规划区城镇人口98万人，其中主城区城市人口72万人，新城（梓山湖新城、向阳湖新城、汀泗新城、贺胜新城等）城市人口为26万人。</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第3节</w:t>
      </w:r>
      <w:r w:rsidRPr="00C6446B">
        <w:rPr>
          <w:rFonts w:ascii="宋体" w:eastAsia="宋体" w:hAnsi="宋体" w:cs="宋体" w:hint="eastAsia"/>
          <w:b/>
          <w:bCs/>
          <w:color w:val="000000"/>
          <w:kern w:val="0"/>
          <w:sz w:val="30"/>
        </w:rPr>
        <w:t> </w:t>
      </w:r>
      <w:r w:rsidRPr="00C6446B">
        <w:rPr>
          <w:rFonts w:ascii="宋体" w:eastAsia="宋体" w:hAnsi="宋体" w:cs="宋体" w:hint="eastAsia"/>
          <w:b/>
          <w:bCs/>
          <w:color w:val="000000"/>
          <w:kern w:val="0"/>
          <w:sz w:val="30"/>
        </w:rPr>
        <w:t>城市用地规模</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第10条　</w:t>
      </w:r>
      <w:r w:rsidRPr="00C6446B">
        <w:rPr>
          <w:rFonts w:ascii="宋体" w:eastAsia="宋体" w:hAnsi="宋体" w:cs="宋体" w:hint="eastAsia"/>
          <w:b/>
          <w:bCs/>
          <w:color w:val="000000"/>
          <w:kern w:val="0"/>
          <w:sz w:val="30"/>
        </w:rPr>
        <w:t>  </w:t>
      </w:r>
      <w:r w:rsidRPr="00C6446B">
        <w:rPr>
          <w:rFonts w:ascii="宋体" w:eastAsia="宋体" w:hAnsi="宋体" w:cs="宋体" w:hint="eastAsia"/>
          <w:b/>
          <w:bCs/>
          <w:color w:val="000000"/>
          <w:kern w:val="0"/>
          <w:sz w:val="30"/>
        </w:rPr>
        <w:t>规划2030年规划区内城镇建设用地总规模限制在110平方公里，</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其中主城区城市建设用地总规模80平方公里，人均城市建设用地110平方米，新城城市建设用地总规模30平方公里，人均城镇建设用地以115平方米。</w:t>
      </w:r>
    </w:p>
    <w:p w:rsidR="00F15D18" w:rsidRPr="00C6446B" w:rsidP="00F15D18">
      <w:pPr>
        <w:widowControl/>
        <w:spacing w:before="100" w:beforeAutospacing="1" w:after="100" w:afterAutospacing="1" w:line="300" w:lineRule="atLeast"/>
        <w:jc w:val="center"/>
        <w:outlineLvl w:val="0"/>
        <w:rPr>
          <w:rFonts w:ascii="宋体" w:hAnsi="宋体" w:cs="宋体" w:hint="eastAsia"/>
          <w:b/>
          <w:bCs/>
          <w:color w:val="000000"/>
          <w:kern w:val="36"/>
          <w:sz w:val="24"/>
        </w:rPr>
      </w:pPr>
      <w:bookmarkStart w:id="5" w:name="_Toc279078318"/>
      <w:r w:rsidRPr="00C6446B">
        <w:rPr>
          <w:rFonts w:ascii="宋体" w:eastAsia="宋体" w:hAnsi="宋体" w:cs="宋体" w:hint="eastAsia"/>
          <w:b/>
          <w:bCs/>
          <w:color w:val="000000"/>
          <w:kern w:val="36"/>
          <w:sz w:val="30"/>
          <w:bdr w:val="single" w:sz="2" w:space="0" w:color="FFFFFF" w:frame="1"/>
        </w:rPr>
        <w:t>第三章</w:t>
      </w:r>
      <w:bookmarkEnd w:id="5"/>
      <w:r w:rsidRPr="00C6446B">
        <w:rPr>
          <w:rFonts w:ascii="宋体" w:eastAsia="宋体" w:hAnsi="宋体" w:cs="宋体" w:hint="eastAsia"/>
          <w:b/>
          <w:bCs/>
          <w:color w:val="000000"/>
          <w:kern w:val="36"/>
          <w:sz w:val="30"/>
        </w:rPr>
        <w:t> </w:t>
      </w:r>
      <w:r w:rsidRPr="00C6446B">
        <w:rPr>
          <w:rFonts w:ascii="宋体" w:eastAsia="宋体" w:hAnsi="宋体" w:cs="宋体" w:hint="eastAsia"/>
          <w:b/>
          <w:bCs/>
          <w:color w:val="000000"/>
          <w:kern w:val="36"/>
          <w:sz w:val="30"/>
        </w:rPr>
        <w:t xml:space="preserve"> 城市发展目标及发展战略</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第1节</w:t>
      </w:r>
      <w:r w:rsidRPr="00C6446B">
        <w:rPr>
          <w:rFonts w:ascii="宋体" w:eastAsia="宋体" w:hAnsi="宋体" w:cs="宋体" w:hint="eastAsia"/>
          <w:b/>
          <w:bCs/>
          <w:color w:val="000000"/>
          <w:kern w:val="0"/>
          <w:sz w:val="30"/>
        </w:rPr>
        <w:t>  </w:t>
      </w:r>
      <w:r w:rsidRPr="00C6446B">
        <w:rPr>
          <w:rFonts w:ascii="宋体" w:eastAsia="宋体" w:hAnsi="宋体" w:cs="宋体" w:hint="eastAsia"/>
          <w:b/>
          <w:bCs/>
          <w:color w:val="000000"/>
          <w:kern w:val="0"/>
          <w:sz w:val="30"/>
        </w:rPr>
        <w:t>发展目标</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第11条　</w:t>
      </w:r>
      <w:r w:rsidRPr="00C6446B">
        <w:rPr>
          <w:rFonts w:ascii="宋体" w:eastAsia="宋体" w:hAnsi="宋体" w:cs="宋体" w:hint="eastAsia"/>
          <w:b/>
          <w:bCs/>
          <w:color w:val="000000"/>
          <w:kern w:val="0"/>
          <w:sz w:val="30"/>
        </w:rPr>
        <w:t>  </w:t>
      </w:r>
      <w:r w:rsidRPr="00C6446B">
        <w:rPr>
          <w:rFonts w:ascii="宋体" w:eastAsia="宋体" w:hAnsi="宋体" w:cs="宋体" w:hint="eastAsia"/>
          <w:color w:val="000000"/>
          <w:kern w:val="0"/>
          <w:sz w:val="30"/>
        </w:rPr>
        <w:t>总体发展目标</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坚持以人为本、推动科学发展，主动抢抓机遇、实施跨越式发展；坚持依托武汉、服务湖北、辐射湘赣、面对全国，深化改革、扩大开放，加快发展新型制造业、高效清洁能源、现代商贸物流和旅游休闲度假等主导产业，统筹区域和城乡发展，努力将咸宁建设成为武汉城市圈和长珠潭城市群联结线上引人注目的节点城市、湖北省名副其实的门户城市、武汉城市圈独具特色的生态城市和以温泉为特色的旅游文化城市。</w:t>
      </w:r>
    </w:p>
    <w:p w:rsidR="00F15D18" w:rsidRPr="00C6446B" w:rsidP="00F15D18">
      <w:pPr>
        <w:widowControl/>
        <w:spacing w:line="300" w:lineRule="atLeast"/>
        <w:jc w:val="left"/>
        <w:rPr>
          <w:rFonts w:ascii="宋体" w:hAnsi="宋体" w:cs="宋体" w:hint="eastAsia"/>
          <w:color w:val="000000"/>
          <w:kern w:val="0"/>
          <w:sz w:val="24"/>
        </w:rPr>
        <w:sectPr w:rsidSect="00F15D18">
          <w:type w:val="nextPage"/>
          <w:pgSz w:w="11906" w:h="16838"/>
          <w:pgMar w:top="468" w:right="566" w:bottom="468" w:left="720" w:header="851" w:footer="992" w:gutter="0"/>
          <w:pgNumType w:start="4"/>
          <w:cols w:space="425"/>
          <w:titlePg w:val="0"/>
          <w:docGrid w:type="lines" w:linePitch="312"/>
        </w:sectPr>
      </w:pPr>
      <w:r w:rsidRPr="00C6446B">
        <w:rPr>
          <w:rFonts w:ascii="宋体" w:eastAsia="宋体" w:hAnsi="宋体" w:cs="宋体" w:hint="eastAsia"/>
          <w:b/>
          <w:bCs/>
          <w:color w:val="000000"/>
          <w:kern w:val="0"/>
          <w:sz w:val="30"/>
        </w:rPr>
        <w:t>第12条　</w:t>
      </w:r>
      <w:r w:rsidRPr="00C6446B">
        <w:rPr>
          <w:rFonts w:ascii="宋体" w:eastAsia="宋体" w:hAnsi="宋体" w:cs="宋体" w:hint="eastAsia"/>
          <w:b/>
          <w:bCs/>
          <w:color w:val="000000"/>
          <w:kern w:val="0"/>
          <w:sz w:val="30"/>
        </w:rPr>
        <w:t>  </w:t>
      </w:r>
      <w:r w:rsidRPr="00C6446B">
        <w:rPr>
          <w:rFonts w:ascii="宋体" w:eastAsia="宋体" w:hAnsi="宋体" w:cs="宋体" w:hint="eastAsia"/>
          <w:color w:val="000000"/>
          <w:kern w:val="0"/>
          <w:sz w:val="30"/>
        </w:rPr>
        <w:t>经济发展目标</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建设鄂南经济强市。到2019年,</w:t>
      </w:r>
      <w:r w:rsidRPr="00C6446B">
        <w:rPr>
          <w:rFonts w:ascii="宋体" w:eastAsia="宋体" w:hAnsi="宋体" w:cs="宋体" w:hint="eastAsia"/>
          <w:color w:val="000000"/>
          <w:kern w:val="0"/>
          <w:sz w:val="30"/>
        </w:rPr>
        <w:t> </w:t>
      </w:r>
      <w:r w:rsidRPr="00C6446B">
        <w:rPr>
          <w:rFonts w:ascii="宋体" w:eastAsia="宋体" w:hAnsi="宋体" w:cs="宋体" w:hint="eastAsia"/>
          <w:color w:val="000000"/>
          <w:kern w:val="0"/>
          <w:sz w:val="30"/>
        </w:rPr>
        <w:t>在优化结构、提高效益和降低消耗的基础上，全市生产总值超过1000亿元，人均GDP超过30000元，实现由武汉城市圈中等发展水平向先进发展水平的跨越。到2030年，实现全面小康，将咸宁市打造成名副其实的</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鄂南经济强市</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，地区生产总值达到3172亿元，人均GDP超过90000元，达到湖北省乃至中部地区领先水平。</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第13条　</w:t>
      </w:r>
      <w:r w:rsidRPr="00C6446B">
        <w:rPr>
          <w:rFonts w:ascii="宋体" w:eastAsia="宋体" w:hAnsi="宋体" w:cs="宋体" w:hint="eastAsia"/>
          <w:b/>
          <w:bCs/>
          <w:color w:val="000000"/>
          <w:kern w:val="0"/>
          <w:sz w:val="30"/>
        </w:rPr>
        <w:t>  </w:t>
      </w:r>
      <w:r w:rsidRPr="00C6446B">
        <w:rPr>
          <w:rFonts w:ascii="宋体" w:eastAsia="宋体" w:hAnsi="宋体" w:cs="宋体" w:hint="eastAsia"/>
          <w:color w:val="000000"/>
          <w:kern w:val="0"/>
          <w:sz w:val="30"/>
        </w:rPr>
        <w:t>城市建设目标</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宜居城市：以人为本，创建优越的生活居住环境、多元化多层次的服务选择和高效便捷的交通体系，提高城市平安保障水平和城市管理水平，成为湖北省最相宜居住的城市。</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创业城市：围绕主城，大力促进</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两型</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导向的新型产业基地建设，逐步构筑</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高增值、强辐射、广就业</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的现代服务体系，形成</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三二一</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产业空间格局，成为湖北省最相宜创业的城市。</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绿色生态城市：爱护</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南山北水</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的自然生态格局，建成拥江抱湖、城林相间、山川秀美、人及自然和谐的绿色生态城市。</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旅游文化城市：彰显城市温泉旅游、三国文化特色，提升城市文化内涵，改善城市旅游及人文环境，形成以温泉旅游及温泉文化为主、多元文化兼容并蓄的文化旅游名城。</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第2节</w:t>
      </w:r>
      <w:r w:rsidRPr="00C6446B">
        <w:rPr>
          <w:rFonts w:ascii="宋体" w:eastAsia="宋体" w:hAnsi="宋体" w:cs="宋体" w:hint="eastAsia"/>
          <w:b/>
          <w:bCs/>
          <w:color w:val="000000"/>
          <w:kern w:val="0"/>
          <w:sz w:val="30"/>
        </w:rPr>
        <w:t>  </w:t>
      </w:r>
      <w:r w:rsidRPr="00C6446B">
        <w:rPr>
          <w:rFonts w:ascii="宋体" w:eastAsia="宋体" w:hAnsi="宋体" w:cs="宋体" w:hint="eastAsia"/>
          <w:b/>
          <w:bCs/>
          <w:color w:val="000000"/>
          <w:kern w:val="0"/>
          <w:sz w:val="30"/>
        </w:rPr>
        <w:t>城市发展战略</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b/>
          <w:bCs/>
          <w:color w:val="000000"/>
          <w:kern w:val="0"/>
          <w:sz w:val="30"/>
        </w:rPr>
        <w:t>第14条　</w:t>
      </w:r>
      <w:r w:rsidRPr="00C6446B">
        <w:rPr>
          <w:rFonts w:ascii="宋体" w:eastAsia="宋体" w:hAnsi="宋体" w:cs="宋体" w:hint="eastAsia"/>
          <w:b/>
          <w:bCs/>
          <w:color w:val="000000"/>
          <w:kern w:val="0"/>
          <w:sz w:val="30"/>
        </w:rPr>
        <w:t>  </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自主创新，内优外联</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的产业提升战略</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eastAsia="宋体" w:hAnsi="宋体" w:cs="宋体" w:hint="eastAsia"/>
          <w:color w:val="000000"/>
          <w:kern w:val="0"/>
          <w:sz w:val="30"/>
        </w:rPr>
        <w:t>自主创新，打造</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两型</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产业基地。以汲取产业及创业服务的政策创新、催化有自主学问产权和市场竞争力企业发展的技术创新为驱动，促进产业结构的生态化转型，构建咸宁</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两型</w:t>
      </w:r>
      <w:r w:rsidRPr="00C6446B">
        <w:rPr>
          <w:rFonts w:ascii="宋体" w:eastAsia="宋体" w:hAnsi="宋体" w:cs="宋体" w:hint="eastAsia"/>
          <w:color w:val="000000"/>
          <w:kern w:val="0"/>
          <w:sz w:val="30"/>
        </w:rPr>
        <w:t>”</w:t>
      </w:r>
      <w:r w:rsidRPr="00C6446B">
        <w:rPr>
          <w:rFonts w:ascii="宋体" w:eastAsia="宋体" w:hAnsi="宋体" w:cs="宋体" w:hint="eastAsia"/>
          <w:color w:val="000000"/>
          <w:kern w:val="0"/>
          <w:sz w:val="30"/>
        </w:rPr>
        <w:t>产业基地。</w:t>
      </w:r>
    </w:p>
    <w:p w:rsidR="00F15D18" w:rsidRPr="00C6446B" w:rsidP="00F15D18">
      <w:pPr>
        <w:widowControl/>
        <w:spacing w:line="300" w:lineRule="atLeast"/>
        <w:jc w:val="left"/>
        <w:rPr>
          <w:rFonts w:ascii="宋体" w:hAnsi="宋体" w:cs="宋体" w:hint="eastAsia"/>
          <w:color w:val="000000"/>
          <w:kern w:val="0"/>
          <w:sz w:val="24"/>
        </w:rPr>
      </w:pPr>
      <w:r w:rsidRPr="00C6446B">
        <w:rPr>
          <w:rFonts w:ascii="宋体" w:hAnsi="宋体" w:cs="宋体" w:hint="eastAsia"/>
          <w:color w:val="000000"/>
          <w:kern w:val="0"/>
          <w:sz w:val="24"/>
        </w:rPr>
        <w:br/>
      </w:r>
      <w:r w:rsidRPr="00C6446B">
        <w:rPr>
          <w:rFonts w:ascii="宋体" w:hAnsi="宋体" w:cs="宋体" w:hint="eastAsia"/>
          <w:color w:val="000000"/>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https://d.book118.com/178031031111006043</w:t>
        </w:r>
      </w:hyperlink>
    </w:p>
    <w:p w:rsidR="00F15D18" w:rsidRPr="00C6446B" w:rsidP="00F15D18">
      <w:pPr>
        <w:widowControl/>
        <w:spacing w:line="300" w:lineRule="atLeast"/>
        <w:jc w:val="left"/>
        <w:rPr>
          <w:rFonts w:ascii="宋体" w:hAnsi="宋体" w:cs="宋体" w:hint="eastAsia"/>
          <w:color w:val="000000"/>
          <w:kern w:val="0"/>
          <w:sz w:val="24"/>
        </w:rPr>
      </w:pPr>
    </w:p>
    <w:sectPr w:rsidSect="00F15D18">
      <w:type w:val="nextPage"/>
      <w:pgSz w:w="11906" w:h="16838"/>
      <w:pgMar w:top="468" w:right="566" w:bottom="468" w:left="72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gency FB">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5D18"/>
    <w:rsid w:val="003769DA"/>
    <w:rsid w:val="005C6318"/>
    <w:rsid w:val="0071225D"/>
    <w:rsid w:val="00B775C0"/>
    <w:rsid w:val="00C6446B"/>
    <w:rsid w:val="00F15D1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F15D18"/>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F15D18"/>
    <w:pPr>
      <w:tabs>
        <w:tab w:val="center" w:pos="4153"/>
        <w:tab w:val="right" w:pos="8306"/>
      </w:tabs>
      <w:snapToGrid w:val="0"/>
      <w:jc w:val="left"/>
    </w:pPr>
    <w:rPr>
      <w:sz w:val="18"/>
      <w:szCs w:val="18"/>
    </w:rPr>
  </w:style>
  <w:style w:type="character" w:styleId="Hyperlink">
    <w:name w:val="Hyperlink"/>
    <w:basedOn w:val="DefaultParagraphFont"/>
    <w:rsid w:val="00F15D18"/>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7803103111100604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