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2015-2023年内蒙古电子信息职业技术学院高职单招（数学／语文／英语）历年参考题库带答案解析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A.19世纪俄国作家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B.19世纪法国作家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C.19世纪英国作家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D.19世纪德国作家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D.说理散文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下列诗作中，具有飘逸清丽艺术风格的是（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李煜《虞美人》的主题是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B.亡国之恨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C.伤春悲秋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D.怀古伤今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孟子和孔子同属（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D.名家学派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下列作品选自宋代郭茂倩编辑的《乐府诗集》的是（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下列《季氏将伐颛臾》本文所运用的论据中，属于历史材料的是（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A.且在邦域之中矣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B.先王以为东蒙主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C.是社稷之臣也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D.虎兕出于柙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C.《清真词》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https://d.book118.com/178053000034006041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78053000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