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0F2">
      <w:pPr>
        <w:pStyle w:val="a82"/>
        <w:framePr w:vAnchor="margin" w:hAnchor="text"/>
        <w:rPr>
          <w:color w:val="000000"/>
        </w:rPr>
      </w:pPr>
      <w:r>
        <w:rPr>
          <w:rFonts w:ascii="Times New Roman"/>
          <w:color w:val="000000"/>
        </w:rPr>
        <w:t>ICS</w:t>
      </w:r>
      <w:r>
        <w:rPr>
          <w:rFonts w:hAnsi="黑体"/>
          <w:color w:val="000000"/>
        </w:rPr>
        <w:t> </w:t>
      </w:r>
      <w:r>
        <w:rPr>
          <w:color w:val="000000"/>
        </w:rPr>
        <w:fldChar w:fldCharType="begin">
          <w:ffData>
            <w:name w:val="ICS"/>
            <w:enabled/>
            <w:calcOnExit w:val="0"/>
            <w:helpText w:type="text" w:val="请输入正确的ICS号："/>
            <w:textInput>
              <w:default w:val="43.020"/>
            </w:textInput>
          </w:ffData>
        </w:fldChar>
      </w:r>
      <w:bookmarkStart w:id="0" w:name="ICS"/>
      <w:r>
        <w:rPr>
          <w:color w:val="000000"/>
        </w:rPr>
        <w:instrText xml:space="preserve"> FORMTEXT </w:instrText>
      </w:r>
      <w:r>
        <w:rPr>
          <w:color w:val="000000"/>
        </w:rPr>
        <w:fldChar w:fldCharType="separate"/>
      </w:r>
      <w:r>
        <w:rPr>
          <w:color w:val="000000"/>
        </w:rPr>
        <w:t>43.020</w:t>
      </w:r>
      <w:r>
        <w:rPr>
          <w:color w:val="000000"/>
        </w:rPr>
        <w:fldChar w:fldCharType="end"/>
      </w:r>
      <w:bookmarkEnd w:id="0"/>
    </w:p>
    <w:p w:rsidR="00A200F2">
      <w:pPr>
        <w:pStyle w:val="a82"/>
        <w:framePr w:vAnchor="margin" w:hAnchor="text"/>
        <w:rPr>
          <w:color w:val="000000"/>
        </w:rPr>
      </w:pPr>
      <w:r>
        <w:rPr>
          <w:color w:val="000000"/>
        </w:rPr>
        <w:fldChar w:fldCharType="begin">
          <w:ffData>
            <w:name w:val="WXFLH"/>
            <w:enabled/>
            <w:calcOnExit w:val="0"/>
            <w:helpText w:type="text" w:val="请输入中国标准文献分类号："/>
            <w:textInput>
              <w:default w:val="T09"/>
            </w:textInput>
          </w:ffData>
        </w:fldChar>
      </w:r>
      <w:bookmarkStart w:id="1" w:name="WXFLH"/>
      <w:r>
        <w:rPr>
          <w:color w:val="000000"/>
        </w:rPr>
        <w:instrText xml:space="preserve"> FORMTEXT </w:instrText>
      </w:r>
      <w:r>
        <w:rPr>
          <w:color w:val="000000"/>
        </w:rPr>
        <w:fldChar w:fldCharType="separate"/>
      </w:r>
      <w:r>
        <w:rPr>
          <w:color w:val="000000"/>
        </w:rPr>
        <w:t>T09</w:t>
      </w:r>
      <w:r>
        <w:rPr>
          <w:color w:val="000000"/>
        </w:rPr>
        <w:fldChar w:fldCharType="end"/>
      </w:r>
      <w:bookmarkEnd w:id="1"/>
    </w:p>
    <w:p w:rsidR="00A200F2">
      <w:pPr>
        <w:pStyle w:val="a47"/>
        <w:framePr w:vAnchor="margin" w:hAnchor="text" w:y="1"/>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GB" style="width:113.32pt;height:56.36pt;mso-position-horizontal-relative:page;mso-position-vertical-relative:page" o:preferrelative="t" filled="f" stroked="f">
            <v:fill o:detectmouseclick="t"/>
            <v:imagedata r:id="rId4" o:title="GB"/>
            <v:path o:extrusionok="f"/>
            <o:lock v:ext="edit" aspectratio="t"/>
          </v:shape>
        </w:pict>
      </w:r>
    </w:p>
    <w:p w:rsidR="00A200F2">
      <w:pPr>
        <w:pStyle w:val="a64"/>
        <w:framePr w:hAnchor="page" w:x="1216" w:y="1918"/>
        <w:rPr>
          <w:color w:val="000000"/>
        </w:rPr>
      </w:pPr>
      <w:r>
        <w:rPr>
          <w:rFonts w:hint="eastAsia"/>
          <w:color w:val="000000"/>
        </w:rPr>
        <w:t>中华人民共和国国家标准</w:t>
      </w:r>
    </w:p>
    <w:p w:rsidR="00A200F2">
      <w:pPr>
        <w:pStyle w:val="26"/>
        <w:framePr w:hAnchor="page" w:x="1782" w:y="2498"/>
        <w:rPr>
          <w:color w:val="000000"/>
        </w:rPr>
      </w:pPr>
      <w:r>
        <w:rPr>
          <w:rFonts w:ascii="Times New Roman"/>
          <w:color w:val="000000"/>
        </w:rPr>
        <w:t>GB</w:t>
      </w:r>
      <w:bookmarkStart w:id="2" w:name="StdNo1"/>
      <w:r>
        <w:rPr>
          <w:rFonts w:ascii="Times New Roman"/>
          <w:color w:val="000000"/>
        </w:rPr>
        <w:t>20072</w:t>
      </w:r>
      <w:bookmarkEnd w:id="2"/>
      <w:r>
        <w:rPr>
          <w:color w:val="000000"/>
        </w:rPr>
        <w:t>—</w:t>
      </w:r>
      <w:bookmarkStart w:id="3" w:name="StdNo2"/>
      <w:r>
        <w:rPr>
          <w:color w:val="000000"/>
        </w:rPr>
        <w:fldChar w:fldCharType="begin">
          <w:ffData>
            <w:name w:val="StdNo2"/>
            <w:enabled/>
            <w:calcOnExit w:val="0"/>
            <w:textInput>
              <w:default w:val="202X"/>
              <w:maxLength w:val="4"/>
            </w:textInput>
          </w:ffData>
        </w:fldChar>
      </w:r>
      <w:r>
        <w:rPr>
          <w:color w:val="000000"/>
        </w:rPr>
        <w:instrText>FORMTEXT</w:instrText>
      </w:r>
      <w:r>
        <w:rPr>
          <w:color w:val="000000"/>
        </w:rPr>
        <w:fldChar w:fldCharType="separate"/>
      </w:r>
      <w:r>
        <w:rPr>
          <w:color w:val="000000"/>
        </w:rPr>
        <w:t>202X</w:t>
      </w:r>
      <w:r>
        <w:rPr>
          <w:color w:val="000000"/>
        </w:rPr>
        <w:fldChar w:fldCharType="end"/>
      </w:r>
      <w:bookmarkEnd w:id="3"/>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356"/>
      </w:tblGrid>
      <w:tr>
        <w:tblPrEx>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c>
          <w:tcPr>
            <w:tcW w:w="9356" w:type="dxa"/>
            <w:tcBorders>
              <w:top w:val="nil"/>
              <w:left w:val="nil"/>
              <w:bottom w:val="nil"/>
              <w:right w:val="nil"/>
            </w:tcBorders>
          </w:tcPr>
          <w:p w:rsidR="00A200F2">
            <w:pPr>
              <w:pStyle w:val="a69"/>
              <w:framePr w:hAnchor="page" w:x="1782" w:y="2498"/>
              <w:rPr>
                <w:color w:val="000000"/>
              </w:rPr>
            </w:pPr>
            <w:bookmarkStart w:id="4" w:name="DT"/>
            <w:r>
              <w:rPr>
                <w:color w:val="000000"/>
              </w:rPr>
              <w:pict>
                <v:rect id="DT" o:spid="_x0000_s1026" style="width:90pt;height:18pt;margin-top:2.7pt;margin-left:372.8pt;position:absolute;z-index:-251658240" filled="t" stroked="f">
                  <o:lock v:ext="edit" aspectratio="f"/>
                </v:rect>
              </w:pict>
            </w:r>
            <w:r>
              <w:rPr>
                <w:color w:val="000000"/>
              </w:rPr>
              <w:fldChar w:fldCharType="begin">
                <w:ffData>
                  <w:name w:val="DT"/>
                  <w:enabled/>
                  <w:calcOnExit w:val="0"/>
                  <w:textInput/>
                </w:ffData>
              </w:fldChar>
            </w:r>
            <w:r>
              <w:rPr>
                <w:color w:val="000000"/>
              </w:rPr>
              <w:instrText xml:space="preserve"> FORMTEXT </w:instrText>
            </w:r>
            <w:r>
              <w:rPr>
                <w:color w:val="000000"/>
              </w:rPr>
              <w:fldChar w:fldCharType="separate"/>
            </w:r>
            <w:r>
              <w:rPr>
                <w:color w:val="000000"/>
              </w:rPr>
              <w:t> </w:t>
            </w:r>
            <w:bookmarkStart w:id="5" w:name="Text1"/>
            <w:r>
              <w:rPr>
                <w:rFonts w:ascii="黑体" w:eastAsia="黑体" w:hAnsi="黑体"/>
                <w:color w:val="000000"/>
              </w:rPr>
              <w:fldChar w:fldCharType="begin">
                <w:ffData>
                  <w:name w:val="Text1"/>
                  <w:enabled/>
                  <w:calcOnExit w:val="0"/>
                  <w:textInput>
                    <w:default w:val="代替GB 20071-2006"/>
                  </w:textInput>
                </w:ffData>
              </w:fldChar>
            </w:r>
            <w:r>
              <w:rPr>
                <w:rFonts w:ascii="黑体" w:eastAsia="黑体" w:hAnsi="黑体"/>
                <w:color w:val="000000"/>
              </w:rPr>
              <w:instrText>FORMTEXT</w:instrText>
            </w:r>
            <w:r>
              <w:rPr>
                <w:rFonts w:ascii="黑体" w:eastAsia="黑体" w:hAnsi="黑体"/>
                <w:color w:val="000000"/>
              </w:rPr>
              <w:fldChar w:fldCharType="separate"/>
            </w:r>
            <w:r>
              <w:rPr>
                <w:rFonts w:ascii="黑体" w:eastAsia="黑体" w:hAnsi="黑体"/>
                <w:color w:val="000000"/>
              </w:rPr>
              <w:t>代替GB 2007</w:t>
            </w:r>
            <w:r>
              <w:rPr>
                <w:rFonts w:ascii="黑体" w:eastAsia="黑体" w:hAnsi="黑体" w:hint="eastAsia"/>
                <w:color w:val="000000"/>
              </w:rPr>
              <w:t>2</w:t>
            </w:r>
            <w:r>
              <w:rPr>
                <w:rFonts w:ascii="黑体" w:eastAsia="黑体" w:hAnsi="黑体"/>
                <w:color w:val="000000"/>
              </w:rPr>
              <w:t>-2006</w:t>
            </w:r>
            <w:r>
              <w:rPr>
                <w:rFonts w:ascii="黑体" w:eastAsia="黑体" w:hAnsi="黑体"/>
                <w:color w:val="000000"/>
              </w:rPr>
              <w:fldChar w:fldCharType="end"/>
            </w:r>
            <w:bookmarkEnd w:id="5"/>
            <w:r>
              <w:rPr>
                <w:color w:val="000000"/>
              </w:rPr>
              <w:t> </w:t>
            </w:r>
            <w:r>
              <w:rPr>
                <w:color w:val="000000"/>
              </w:rPr>
              <w:fldChar w:fldCharType="end"/>
            </w:r>
            <w:bookmarkEnd w:id="4"/>
          </w:p>
        </w:tc>
      </w:tr>
    </w:tbl>
    <w:p w:rsidR="00A200F2">
      <w:pPr>
        <w:pStyle w:val="26"/>
        <w:framePr w:hAnchor="page" w:x="1782" w:y="2498"/>
        <w:rPr>
          <w:color w:val="000000"/>
        </w:rPr>
      </w:pPr>
    </w:p>
    <w:p w:rsidR="00A200F2">
      <w:pPr>
        <w:pStyle w:val="26"/>
        <w:framePr w:hAnchor="page" w:x="1782" w:y="2498"/>
        <w:rPr>
          <w:color w:val="000000"/>
        </w:rPr>
      </w:pPr>
    </w:p>
    <w:bookmarkStart w:id="6" w:name="StdName"/>
    <w:p w:rsidR="00A200F2">
      <w:pPr>
        <w:pStyle w:val="a22"/>
        <w:framePr w:hAnchor="page" w:x="1269" w:y="5983"/>
        <w:rPr>
          <w:color w:val="000000"/>
        </w:rPr>
      </w:pPr>
      <w:r>
        <w:rPr>
          <w:rFonts w:hint="eastAsia"/>
          <w:color w:val="000000"/>
        </w:rPr>
        <w:fldChar w:fldCharType="begin">
          <w:ffData>
            <w:name w:val="StdName"/>
            <w:enabled/>
            <w:calcOnExit w:val="0"/>
            <w:textInput>
              <w:default w:val="乘用车后碰撞安全要求"/>
            </w:textInput>
          </w:ffData>
        </w:fldChar>
      </w:r>
      <w:r>
        <w:rPr>
          <w:rFonts w:hint="eastAsia"/>
          <w:color w:val="000000"/>
        </w:rPr>
        <w:instrText>FORMTEXT</w:instrText>
      </w:r>
      <w:r>
        <w:rPr>
          <w:rFonts w:hint="eastAsia"/>
          <w:color w:val="000000"/>
        </w:rPr>
        <w:fldChar w:fldCharType="separate"/>
      </w:r>
      <w:r>
        <w:rPr>
          <w:rFonts w:hint="eastAsia"/>
          <w:color w:val="000000"/>
        </w:rPr>
        <w:t>乘用车后碰撞安全要求</w:t>
      </w:r>
      <w:r>
        <w:rPr>
          <w:rFonts w:hint="eastAsia"/>
          <w:color w:val="000000"/>
        </w:rPr>
        <w:fldChar w:fldCharType="end"/>
      </w:r>
      <w:bookmarkEnd w:id="6"/>
    </w:p>
    <w:p w:rsidR="00A200F2">
      <w:pPr>
        <w:pStyle w:val="a23"/>
        <w:framePr w:hAnchor="page" w:x="1269" w:y="5983"/>
        <w:rPr>
          <w:rFonts w:ascii="Times New Roman" w:eastAsia="黑体"/>
          <w:b/>
          <w:bCs/>
          <w:color w:val="000000"/>
        </w:rPr>
      </w:pPr>
      <w:r>
        <w:rPr>
          <w:rFonts w:ascii="Times New Roman" w:eastAsia="黑体" w:hint="eastAsia"/>
          <w:b/>
          <w:bCs/>
          <w:color w:val="000000"/>
        </w:rPr>
        <w:t>The requirements of safety in the event of rear-end collision for passenger car</w:t>
      </w:r>
    </w:p>
    <w:p w:rsidR="00A200F2">
      <w:pPr>
        <w:pStyle w:val="a24"/>
        <w:framePr w:hAnchor="page" w:x="1269" w:y="5983"/>
        <w:rPr>
          <w:color w:val="000000"/>
        </w:rPr>
      </w:pP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639"/>
      </w:tblGrid>
      <w:tr>
        <w:tblPrEx>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c>
          <w:tcPr>
            <w:tcW w:w="9639" w:type="dxa"/>
            <w:tcBorders>
              <w:top w:val="nil"/>
              <w:left w:val="nil"/>
              <w:bottom w:val="nil"/>
              <w:right w:val="nil"/>
            </w:tcBorders>
          </w:tcPr>
          <w:p w:rsidR="00A200F2">
            <w:pPr>
              <w:pStyle w:val="a56"/>
              <w:framePr w:hAnchor="page" w:x="1269" w:y="5983"/>
              <w:rPr>
                <w:color w:val="000000"/>
              </w:rPr>
            </w:pPr>
            <w:r>
              <w:rPr>
                <w:rFonts w:ascii="黑体" w:eastAsia="黑体" w:hAnsi="黑体" w:hint="eastAsia"/>
                <w:color w:val="000000"/>
              </w:rPr>
              <w:t>征求意见稿</w:t>
            </w:r>
            <w:r>
              <w:rPr>
                <w:color w:val="000000"/>
              </w:rPr>
              <w:pict>
                <v:rect id="RQ" o:spid="_x0000_s1027" style="width:150pt;height:20pt;margin-top:45.15pt;margin-left:173.3pt;position:absolute;z-index:-251656192" filled="t" stroked="f">
                  <o:lock v:ext="edit" aspectratio="f"/>
                  <w10:anchorlock/>
                </v:rect>
              </w:pict>
            </w:r>
            <w:r>
              <w:rPr>
                <w:color w:val="000000"/>
              </w:rPr>
              <w:pict>
                <v:rect id="LB" o:spid="_x0000_s1028" style="width:100pt;height:24pt;margin-top:20.15pt;margin-left:193.3pt;position:absolute;z-index:-251657216" filled="t" stroked="f">
                  <o:lock v:ext="edit" aspectratio="f"/>
                </v:rect>
              </w:pict>
            </w:r>
          </w:p>
        </w:tc>
      </w:tr>
      <w:tr>
        <w:tblPrEx>
          <w:tblW w:w="0" w:type="auto"/>
          <w:tblInd w:w="0" w:type="dxa"/>
          <w:tblLook w:val="0000"/>
        </w:tblPrEx>
        <w:tc>
          <w:tcPr>
            <w:tcW w:w="9639" w:type="dxa"/>
            <w:tcBorders>
              <w:top w:val="nil"/>
              <w:left w:val="nil"/>
              <w:bottom w:val="nil"/>
              <w:right w:val="nil"/>
            </w:tcBorders>
          </w:tcPr>
          <w:p w:rsidR="00A200F2">
            <w:pPr>
              <w:pStyle w:val="a55"/>
              <w:framePr w:hAnchor="page" w:x="1269" w:y="5983"/>
              <w:rPr>
                <w:rFonts w:ascii="黑体" w:eastAsia="黑体" w:hAnsi="黑体" w:hint="eastAsia"/>
                <w:color w:val="000000"/>
                <w:sz w:val="18"/>
              </w:rPr>
            </w:pPr>
            <w:r>
              <w:rPr>
                <w:rFonts w:ascii="黑体" w:eastAsia="黑体" w:hAnsi="黑体"/>
                <w:color w:val="000000"/>
                <w:sz w:val="18"/>
              </w:rPr>
              <w:t>本稿完成日期</w:t>
            </w:r>
            <w:r>
              <w:rPr>
                <w:rFonts w:ascii="黑体" w:eastAsia="黑体" w:hAnsi="黑体" w:hint="eastAsia"/>
                <w:color w:val="000000"/>
                <w:sz w:val="18"/>
              </w:rPr>
              <w:t>：2023年</w:t>
            </w:r>
            <w:r>
              <w:rPr>
                <w:rFonts w:ascii="黑体" w:eastAsia="黑体" w:hAnsi="黑体"/>
                <w:color w:val="000000"/>
                <w:sz w:val="18"/>
              </w:rPr>
              <w:t>0</w:t>
            </w:r>
            <w:r>
              <w:rPr>
                <w:rFonts w:ascii="黑体" w:eastAsia="黑体" w:hAnsi="黑体" w:hint="eastAsia"/>
                <w:color w:val="000000"/>
                <w:sz w:val="18"/>
              </w:rPr>
              <w:t>8</w:t>
            </w:r>
            <w:r>
              <w:rPr>
                <w:rFonts w:ascii="黑体" w:eastAsia="黑体" w:hAnsi="黑体" w:hint="eastAsia"/>
                <w:color w:val="000000"/>
                <w:sz w:val="18"/>
              </w:rPr>
              <w:t>月</w:t>
            </w:r>
            <w:r>
              <w:rPr>
                <w:rFonts w:ascii="黑体" w:eastAsia="黑体" w:hAnsi="黑体" w:hint="eastAsia"/>
                <w:color w:val="000000"/>
                <w:sz w:val="18"/>
              </w:rPr>
              <w:t>30</w:t>
            </w:r>
            <w:r>
              <w:rPr>
                <w:rFonts w:ascii="黑体" w:eastAsia="黑体" w:hAnsi="黑体" w:hint="eastAsia"/>
                <w:color w:val="000000"/>
                <w:sz w:val="18"/>
              </w:rPr>
              <w:t>日</w:t>
            </w:r>
          </w:p>
          <w:p w:rsidR="00A200F2">
            <w:pPr>
              <w:pStyle w:val="a55"/>
              <w:framePr w:hAnchor="page" w:x="1269" w:y="5983"/>
              <w:rPr>
                <w:rFonts w:ascii="黑体" w:eastAsia="黑体" w:hAnsi="黑体" w:hint="eastAsia"/>
                <w:color w:val="000000"/>
                <w:sz w:val="18"/>
              </w:rPr>
            </w:pPr>
          </w:p>
          <w:p w:rsidR="00A200F2">
            <w:pPr>
              <w:pStyle w:val="a55"/>
              <w:framePr w:hAnchor="page" w:x="1269" w:y="5983"/>
              <w:rPr>
                <w:rFonts w:ascii="黑体" w:eastAsia="黑体" w:hAnsi="黑体" w:hint="eastAsia"/>
                <w:color w:val="000000"/>
                <w:sz w:val="18"/>
              </w:rPr>
            </w:pPr>
            <w:r>
              <w:rPr>
                <w:rFonts w:ascii="黑体" w:eastAsia="黑体" w:hAnsi="黑体" w:hint="eastAsia"/>
                <w:sz w:val="18"/>
              </w:rPr>
              <w:t>在提交反馈意见时，请将您知道的相关专利连同支持性文件一并附上。</w:t>
            </w:r>
          </w:p>
        </w:tc>
      </w:tr>
    </w:tbl>
    <w:bookmarkStart w:id="7" w:name="FY"/>
    <w:bookmarkStart w:id="8" w:name="SY"/>
    <w:p w:rsidR="00A200F2">
      <w:pPr>
        <w:pStyle w:val="a38"/>
        <w:framePr w:vAnchor="page" w:hAnchor="page" w:x="1442" w:y="13636"/>
        <w:rPr>
          <w:rFonts w:ascii="黑体" w:hAnsi="黑体"/>
          <w:color w:val="000000"/>
        </w:rPr>
      </w:pPr>
      <w:r>
        <w:rPr>
          <w:rFonts w:ascii="黑体" w:hAnsi="黑体"/>
          <w:color w:val="000000"/>
        </w:rPr>
        <w:fldChar w:fldCharType="begin">
          <w:ffData>
            <w:name w:val="FY"/>
            <w:enabled/>
            <w:calcOnExit w:val="0"/>
            <w:textInput>
              <w:default w:val="202X"/>
              <w:maxLength w:val="4"/>
            </w:textInput>
          </w:ffData>
        </w:fldChar>
      </w:r>
      <w:r>
        <w:rPr>
          <w:rFonts w:ascii="黑体" w:hAnsi="黑体"/>
          <w:color w:val="000000"/>
        </w:rPr>
        <w:instrText>FORMTEXT</w:instrText>
      </w:r>
      <w:r>
        <w:rPr>
          <w:rFonts w:ascii="黑体" w:hAnsi="黑体"/>
          <w:color w:val="000000"/>
        </w:rPr>
        <w:fldChar w:fldCharType="separate"/>
      </w:r>
      <w:r>
        <w:rPr>
          <w:rFonts w:ascii="黑体" w:hAnsi="黑体"/>
          <w:color w:val="000000"/>
        </w:rPr>
        <w:t>202X</w:t>
      </w:r>
      <w:r>
        <w:rPr>
          <w:rFonts w:ascii="黑体" w:hAnsi="黑体"/>
          <w:color w:val="000000"/>
        </w:rPr>
        <w:fldChar w:fldCharType="end"/>
      </w:r>
      <w:bookmarkEnd w:id="7"/>
      <w:r>
        <w:rPr>
          <w:rFonts w:ascii="黑体" w:hAnsi="黑体"/>
          <w:color w:val="000000"/>
        </w:rPr>
        <w:t xml:space="preserve"> - </w:t>
      </w:r>
      <w:bookmarkStart w:id="9" w:name="FM"/>
      <w:r>
        <w:rPr>
          <w:rFonts w:ascii="黑体" w:hAnsi="黑体"/>
          <w:color w:val="000000"/>
        </w:rPr>
        <w:fldChar w:fldCharType="begin">
          <w:ffData>
            <w:name w:val="FM"/>
            <w:enabled/>
            <w:calcOnExit w:val="0"/>
            <w:entryMacro w:val="ShowHelp8"/>
            <w:textInput>
              <w:default w:val="XX"/>
              <w:maxLength w:val="2"/>
            </w:textInput>
          </w:ffData>
        </w:fldChar>
      </w:r>
      <w:r>
        <w:rPr>
          <w:rFonts w:ascii="黑体" w:hAnsi="黑体"/>
          <w:color w:val="000000"/>
        </w:rPr>
        <w:instrText xml:space="preserve"> FORMTEXT </w:instrText>
      </w:r>
      <w:r>
        <w:rPr>
          <w:rFonts w:ascii="黑体" w:hAnsi="黑体"/>
          <w:color w:val="000000"/>
        </w:rPr>
        <w:fldChar w:fldCharType="separate"/>
      </w:r>
      <w:r>
        <w:rPr>
          <w:rFonts w:ascii="黑体" w:hAnsi="黑体"/>
          <w:color w:val="000000"/>
        </w:rPr>
        <w:t>XX</w:t>
      </w:r>
      <w:r>
        <w:rPr>
          <w:rFonts w:ascii="黑体" w:hAnsi="黑体"/>
          <w:color w:val="000000"/>
        </w:rPr>
        <w:fldChar w:fldCharType="end"/>
      </w:r>
      <w:bookmarkEnd w:id="9"/>
      <w:r>
        <w:rPr>
          <w:rFonts w:ascii="黑体" w:hAnsi="黑体"/>
          <w:color w:val="000000"/>
        </w:rPr>
        <w:t xml:space="preserve"> - </w:t>
      </w:r>
      <w:bookmarkStart w:id="10" w:name="FD"/>
      <w:r>
        <w:rPr>
          <w:rFonts w:ascii="黑体" w:hAnsi="黑体"/>
          <w:color w:val="000000"/>
        </w:rPr>
        <w:fldChar w:fldCharType="begin">
          <w:ffData>
            <w:name w:val="FD"/>
            <w:enabled/>
            <w:calcOnExit w:val="0"/>
            <w:entryMacro w:val="ShowHelp8"/>
            <w:textInput>
              <w:default w:val="XX"/>
              <w:maxLength w:val="2"/>
            </w:textInput>
          </w:ffData>
        </w:fldChar>
      </w:r>
      <w:r>
        <w:rPr>
          <w:rFonts w:ascii="黑体" w:hAnsi="黑体"/>
          <w:color w:val="000000"/>
        </w:rPr>
        <w:instrText xml:space="preserve"> FORMTEXT </w:instrText>
      </w:r>
      <w:r>
        <w:rPr>
          <w:rFonts w:ascii="黑体" w:hAnsi="黑体"/>
          <w:color w:val="000000"/>
        </w:rPr>
        <w:fldChar w:fldCharType="separate"/>
      </w:r>
      <w:r>
        <w:rPr>
          <w:rFonts w:ascii="黑体" w:hAnsi="黑体"/>
          <w:color w:val="000000"/>
        </w:rPr>
        <w:t>XX</w:t>
      </w:r>
      <w:r>
        <w:rPr>
          <w:rFonts w:ascii="黑体" w:hAnsi="黑体"/>
          <w:color w:val="000000"/>
        </w:rPr>
        <w:fldChar w:fldCharType="end"/>
      </w:r>
      <w:bookmarkEnd w:id="10"/>
      <w:r>
        <w:rPr>
          <w:rFonts w:ascii="黑体" w:hAnsi="黑体" w:hint="eastAsia"/>
          <w:color w:val="000000"/>
        </w:rPr>
        <w:t>发布</w:t>
      </w:r>
    </w:p>
    <w:p w:rsidR="00A200F2">
      <w:pPr>
        <w:pStyle w:val="a18"/>
        <w:framePr w:vAnchor="page" w:hAnchor="page" w:x="6870" w:y="13614"/>
        <w:rPr>
          <w:rFonts w:ascii="黑体" w:hAnsi="黑体"/>
          <w:color w:val="000000"/>
        </w:rPr>
      </w:pPr>
      <w:r>
        <w:rPr>
          <w:rFonts w:ascii="黑体" w:hAnsi="黑体"/>
          <w:color w:val="000000"/>
        </w:rPr>
        <w:fldChar w:fldCharType="begin">
          <w:ffData>
            <w:name w:val="SY"/>
            <w:enabled/>
            <w:calcOnExit w:val="0"/>
            <w:textInput>
              <w:default w:val="202X"/>
              <w:maxLength w:val="4"/>
            </w:textInput>
          </w:ffData>
        </w:fldChar>
      </w:r>
      <w:r>
        <w:rPr>
          <w:rFonts w:ascii="黑体" w:hAnsi="黑体"/>
          <w:color w:val="000000"/>
        </w:rPr>
        <w:instrText>FORMTEXT</w:instrText>
      </w:r>
      <w:r>
        <w:rPr>
          <w:rFonts w:ascii="黑体" w:hAnsi="黑体"/>
          <w:color w:val="000000"/>
        </w:rPr>
        <w:fldChar w:fldCharType="separate"/>
      </w:r>
      <w:r>
        <w:rPr>
          <w:rFonts w:ascii="黑体" w:hAnsi="黑体"/>
          <w:color w:val="000000"/>
        </w:rPr>
        <w:t>202X</w:t>
      </w:r>
      <w:r>
        <w:rPr>
          <w:rFonts w:ascii="黑体" w:hAnsi="黑体"/>
          <w:color w:val="000000"/>
        </w:rPr>
        <w:fldChar w:fldCharType="end"/>
      </w:r>
      <w:bookmarkEnd w:id="8"/>
      <w:r>
        <w:rPr>
          <w:rFonts w:ascii="黑体" w:hAnsi="黑体"/>
          <w:color w:val="000000"/>
        </w:rPr>
        <w:t xml:space="preserve"> - </w:t>
      </w:r>
      <w:bookmarkStart w:id="11" w:name="SM"/>
      <w:r>
        <w:rPr>
          <w:rFonts w:ascii="黑体" w:hAnsi="黑体"/>
          <w:color w:val="000000"/>
        </w:rPr>
        <w:fldChar w:fldCharType="begin">
          <w:ffData>
            <w:name w:val="SM"/>
            <w:enabled/>
            <w:calcOnExit w:val="0"/>
            <w:entryMacro w:val="ShowHelp9"/>
            <w:textInput>
              <w:default w:val="XX"/>
              <w:maxLength w:val="2"/>
            </w:textInput>
          </w:ffData>
        </w:fldChar>
      </w:r>
      <w:r>
        <w:rPr>
          <w:rFonts w:ascii="黑体" w:hAnsi="黑体"/>
          <w:color w:val="000000"/>
        </w:rPr>
        <w:instrText xml:space="preserve"> FORMTEXT </w:instrText>
      </w:r>
      <w:r>
        <w:rPr>
          <w:rFonts w:ascii="黑体" w:hAnsi="黑体"/>
          <w:color w:val="000000"/>
        </w:rPr>
        <w:fldChar w:fldCharType="separate"/>
      </w:r>
      <w:r>
        <w:rPr>
          <w:rFonts w:ascii="黑体" w:hAnsi="黑体"/>
          <w:color w:val="000000"/>
        </w:rPr>
        <w:t>XX</w:t>
      </w:r>
      <w:r>
        <w:rPr>
          <w:rFonts w:ascii="黑体" w:hAnsi="黑体"/>
          <w:color w:val="000000"/>
        </w:rPr>
        <w:fldChar w:fldCharType="end"/>
      </w:r>
      <w:bookmarkEnd w:id="11"/>
      <w:r>
        <w:rPr>
          <w:rFonts w:ascii="黑体" w:hAnsi="黑体"/>
          <w:color w:val="000000"/>
        </w:rPr>
        <w:t xml:space="preserve"> - </w:t>
      </w:r>
      <w:bookmarkStart w:id="12" w:name="SD"/>
      <w:r>
        <w:rPr>
          <w:rFonts w:ascii="黑体" w:hAnsi="黑体"/>
          <w:color w:val="000000"/>
        </w:rPr>
        <w:fldChar w:fldCharType="begin">
          <w:ffData>
            <w:name w:val="SD"/>
            <w:enabled/>
            <w:calcOnExit w:val="0"/>
            <w:entryMacro w:val="ShowHelp9"/>
            <w:textInput>
              <w:default w:val="XX"/>
              <w:maxLength w:val="2"/>
            </w:textInput>
          </w:ffData>
        </w:fldChar>
      </w:r>
      <w:r>
        <w:rPr>
          <w:rFonts w:ascii="黑体" w:hAnsi="黑体"/>
          <w:color w:val="000000"/>
        </w:rPr>
        <w:instrText xml:space="preserve"> FORMTEXT </w:instrText>
      </w:r>
      <w:r>
        <w:rPr>
          <w:rFonts w:ascii="黑体" w:hAnsi="黑体"/>
          <w:color w:val="000000"/>
        </w:rPr>
        <w:fldChar w:fldCharType="separate"/>
      </w:r>
      <w:r>
        <w:rPr>
          <w:rFonts w:ascii="黑体" w:hAnsi="黑体"/>
          <w:color w:val="000000"/>
        </w:rPr>
        <w:t>XX</w:t>
      </w:r>
      <w:r>
        <w:rPr>
          <w:rFonts w:ascii="黑体" w:hAnsi="黑体"/>
          <w:color w:val="000000"/>
        </w:rPr>
        <w:fldChar w:fldCharType="end"/>
      </w:r>
      <w:bookmarkEnd w:id="12"/>
      <w:r>
        <w:rPr>
          <w:rFonts w:ascii="黑体" w:hAnsi="黑体" w:hint="eastAsia"/>
          <w:color w:val="000000"/>
        </w:rPr>
        <w:t>实施</w:t>
      </w:r>
    </w:p>
    <w:p w:rsidR="00A200F2">
      <w:pPr>
        <w:pStyle w:val="a2"/>
        <w:ind w:firstLine="0" w:firstLineChars="0"/>
        <w:rPr>
          <w:rFonts w:ascii="Arial Unicode MS" w:eastAsia="等线" w:hAnsi="Arial Unicode MS" w:cs="Arial Unicode MS"/>
          <w:color w:val="000000"/>
        </w:rPr>
        <w:sectPr w:rsidSect="00A200F2">
          <w:pgSz w:w="11906" w:h="16838"/>
          <w:pgMar w:top="567" w:right="850" w:bottom="1134" w:left="1418" w:header="0" w:footer="0" w:gutter="0"/>
          <w:pgNumType w:start="1"/>
          <w:cols w:space="720"/>
          <w:docGrid w:type="lines" w:linePitch="312"/>
        </w:sectPr>
      </w:pPr>
      <w:r>
        <w:rPr>
          <w:rFonts w:ascii="Arial Unicode MS" w:eastAsia="Arial Unicode MS" w:hAnsi="Arial Unicode MS" w:cs="Arial Unicode MS"/>
          <w:color w:val="000000"/>
        </w:rPr>
        <w:pict>
          <v:shapetype id="_x0000_t202" coordsize="21600,21600" o:spt="202" path="m,l,21600r21600,l21600,xe">
            <v:stroke joinstyle="miter"/>
            <v:path gradientshapeok="t" o:connecttype="rect"/>
          </v:shapetype>
          <v:shape id="文本框 28" o:spid="_x0000_s1029" type="#_x0000_t202" style="width:233.05pt;height:52.05pt;margin-top:689.2pt;margin-left:110.3pt;position:absolute;z-index:251664384" filled="f" stroked="f">
            <v:fill o:detectmouseclick="t"/>
            <o:lock v:ext="edit" aspectratio="f"/>
            <v:textbox>
              <w:txbxContent>
                <w:p w:rsidR="00A200F2">
                  <w:pPr>
                    <w:spacing w:line="400" w:lineRule="exact"/>
                    <w:jc w:val="distribute"/>
                    <w:rPr>
                      <w:rFonts w:ascii="方正小标宋简体" w:eastAsia="方正小标宋简体"/>
                      <w:b/>
                      <w:w w:val="90"/>
                      <w:sz w:val="36"/>
                      <w:szCs w:val="36"/>
                    </w:rPr>
                  </w:pPr>
                  <w:r>
                    <w:rPr>
                      <w:rFonts w:ascii="方正小标宋简体" w:eastAsia="方正小标宋简体" w:hint="eastAsia"/>
                      <w:b/>
                      <w:w w:val="90"/>
                      <w:sz w:val="36"/>
                      <w:szCs w:val="36"/>
                    </w:rPr>
                    <w:t>国家市场监督管理总局</w:t>
                  </w:r>
                </w:p>
                <w:p w:rsidR="00A200F2">
                  <w:pPr>
                    <w:spacing w:line="400" w:lineRule="exact"/>
                    <w:jc w:val="distribute"/>
                    <w:rPr>
                      <w:rFonts w:ascii="方正小标宋简体" w:eastAsia="方正小标宋简体"/>
                      <w:b/>
                      <w:w w:val="90"/>
                      <w:sz w:val="36"/>
                      <w:szCs w:val="36"/>
                    </w:rPr>
                  </w:pPr>
                  <w:r>
                    <w:rPr>
                      <w:rFonts w:ascii="方正小标宋简体" w:eastAsia="方正小标宋简体" w:hint="eastAsia"/>
                      <w:b/>
                      <w:w w:val="90"/>
                      <w:sz w:val="36"/>
                      <w:szCs w:val="36"/>
                    </w:rPr>
                    <w:t>国家标准化管理委员会</w:t>
                  </w:r>
                </w:p>
              </w:txbxContent>
            </v:textbox>
          </v:shape>
        </w:pict>
      </w:r>
      <w:r>
        <w:rPr>
          <w:rFonts w:ascii="Arial Unicode MS" w:eastAsia="Arial Unicode MS" w:hAnsi="Arial Unicode MS" w:cs="Arial Unicode MS"/>
          <w:color w:val="000000"/>
        </w:rPr>
        <w:pict>
          <v:shapetype id="_x0000_t32" coordsize="21600,21600" o:spt="32" o:oned="t" path="m,l21600,21600e" filled="f">
            <v:path arrowok="t" fillok="f" o:connecttype="none"/>
            <o:lock v:ext="edit" shapetype="t"/>
          </v:shapetype>
          <v:shape id="直接箭头连接符 27" o:spid="_x0000_s1030" type="#_x0000_t32" style="width:479.5pt;height:0.05pt;margin-top:165.15pt;margin-left:-4.4pt;flip:x;position:absolute;z-index:251663360" filled="f" stroked="t">
            <v:fill o:detectmouseclick="t"/>
            <v:path arrowok="t" fillok="f"/>
            <o:lock v:ext="edit" aspectratio="f"/>
          </v:shape>
        </w:pict>
      </w:r>
      <w:r>
        <w:rPr>
          <w:rFonts w:ascii="Arial Unicode MS" w:eastAsia="Arial Unicode MS" w:hAnsi="Arial Unicode MS" w:cs="Arial Unicode MS"/>
          <w:color w:val="000000"/>
        </w:rPr>
        <w:pict>
          <v:shape id="直接箭头连接符 26" o:spid="_x0000_s1031" type="#_x0000_t32" style="width:474.5pt;height:1pt;margin-top:679.15pt;margin-left:-0.4pt;flip:y;position:absolute;z-index:251662336" filled="f" stroked="t">
            <v:fill o:detectmouseclick="t"/>
            <v:path arrowok="t" fillok="f"/>
            <o:lock v:ext="edit" aspectratio="f"/>
          </v:shape>
        </w:pict>
      </w:r>
      <w:r>
        <w:rPr>
          <w:rFonts w:ascii="Arial Unicode MS" w:eastAsia="Arial Unicode MS" w:hAnsi="Arial Unicode MS" w:cs="Arial Unicode MS"/>
          <w:color w:val="000000"/>
        </w:rPr>
        <w:pict>
          <v:shape id="文本框 25" o:spid="_x0000_s1032" type="#_x0000_t202" style="width:57.75pt;height:35.45pt;margin-top:696.15pt;margin-left:391.85pt;mso-position-horizontal-relative:margin;mso-position-vertical-relative:margin;position:absolute;z-index:251661312" filled="t" stroked="f">
            <o:lock v:ext="edit" aspectratio="f"/>
            <v:textbox inset="0,0,0,0">
              <w:txbxContent>
                <w:p w:rsidR="00A200F2">
                  <w:pPr>
                    <w:pStyle w:val="a17"/>
                    <w:jc w:val="both"/>
                    <w:rPr>
                      <w:rFonts w:ascii="黑体" w:eastAsia="黑体" w:hAnsi="黑体"/>
                      <w:spacing w:val="0"/>
                      <w:w w:val="100"/>
                      <w:szCs w:val="36"/>
                    </w:rPr>
                  </w:pPr>
                  <w:r>
                    <w:rPr>
                      <w:rFonts w:ascii="黑体" w:eastAsia="黑体" w:hAnsi="黑体" w:hint="eastAsia"/>
                      <w:spacing w:val="0"/>
                      <w:w w:val="100"/>
                      <w:szCs w:val="36"/>
                    </w:rPr>
                    <w:t xml:space="preserve">发 </w:t>
                  </w:r>
                  <w:r>
                    <w:rPr>
                      <w:rFonts w:ascii="黑体" w:eastAsia="黑体" w:hAnsi="黑体"/>
                      <w:spacing w:val="0"/>
                      <w:w w:val="100"/>
                      <w:szCs w:val="36"/>
                    </w:rPr>
                    <w:t xml:space="preserve"> </w:t>
                  </w:r>
                  <w:r>
                    <w:rPr>
                      <w:rFonts w:ascii="黑体" w:eastAsia="黑体" w:hAnsi="黑体" w:hint="eastAsia"/>
                      <w:spacing w:val="0"/>
                      <w:w w:val="100"/>
                      <w:szCs w:val="36"/>
                    </w:rPr>
                    <w:t>布</w:t>
                  </w:r>
                </w:p>
              </w:txbxContent>
            </v:textbox>
            <w10:wrap anchorx="margin" anchory="margin"/>
            <w10:anchorlock/>
          </v:shape>
        </w:pict>
      </w:r>
    </w:p>
    <w:p w:rsidR="00A200F2">
      <w:pPr>
        <w:pStyle w:val="a78"/>
        <w:rPr>
          <w:color w:val="000000"/>
        </w:rPr>
      </w:pPr>
      <w:bookmarkStart w:id="13" w:name="_Toc35929716"/>
      <w:bookmarkStart w:id="14" w:name="_Toc21438209"/>
      <w:bookmarkStart w:id="15" w:name="_Toc22630073"/>
      <w:r>
        <w:rPr>
          <w:rFonts w:hint="eastAsia"/>
          <w:color w:val="000000"/>
        </w:rPr>
        <w:t>目</w:t>
      </w:r>
      <w:bookmarkStart w:id="16" w:name="BKML"/>
      <w:r>
        <w:rPr>
          <w:rFonts w:hAnsi="黑体"/>
          <w:color w:val="000000"/>
        </w:rPr>
        <w:t>  </w:t>
      </w:r>
      <w:r>
        <w:rPr>
          <w:rFonts w:hint="eastAsia"/>
          <w:color w:val="000000"/>
        </w:rPr>
        <w:t>次</w:t>
      </w:r>
      <w:bookmarkEnd w:id="13"/>
      <w:bookmarkEnd w:id="14"/>
      <w:bookmarkEnd w:id="15"/>
      <w:bookmarkEnd w:id="16"/>
      <w:r>
        <w:rPr>
          <w:color w:val="000000"/>
        </w:rPr>
        <w:fldChar w:fldCharType="begin"/>
      </w:r>
      <w:r>
        <w:rPr>
          <w:color w:val="000000"/>
        </w:rPr>
        <w:instrText xml:space="preserve"> </w:instrText>
      </w:r>
      <w:r>
        <w:rPr>
          <w:rFonts w:hint="eastAsia"/>
          <w:color w:val="000000"/>
        </w:rPr>
        <w:instrText>TOC \o "1-3" \h \z \u</w:instrText>
      </w:r>
      <w:r>
        <w:rPr>
          <w:color w:val="000000"/>
        </w:rPr>
        <w:instrText xml:space="preserve"> </w:instrText>
      </w:r>
      <w:r>
        <w:rPr>
          <w:color w:val="000000"/>
        </w:rPr>
        <w:fldChar w:fldCharType="separate"/>
      </w:r>
    </w:p>
    <w:p w:rsidR="00A200F2">
      <w:pPr>
        <w:pStyle w:val="TOC1"/>
        <w:tabs>
          <w:tab w:val="right" w:leader="dot" w:pos="9345"/>
        </w:tabs>
        <w:rPr>
          <w:rFonts w:ascii="等线" w:eastAsia="等线" w:hAnsi="等线" w:cs="Arial"/>
          <w:color w:val="000000"/>
          <w:szCs w:val="22"/>
        </w:rPr>
      </w:pPr>
      <w:hyperlink w:anchor="_Toc35929717" w:history="1">
        <w:r>
          <w:rPr>
            <w:rStyle w:val="Hyperlink"/>
            <w:color w:val="000000"/>
          </w:rPr>
          <w:t>前</w:t>
        </w:r>
        <w:r>
          <w:rPr>
            <w:rStyle w:val="Hyperlink"/>
            <w:rFonts w:hint="eastAsia"/>
            <w:color w:val="000000"/>
          </w:rPr>
          <w:t xml:space="preserve"> </w:t>
        </w:r>
        <w:r>
          <w:rPr>
            <w:rStyle w:val="Hyperlink"/>
            <w:rFonts w:hAnsi="黑体"/>
            <w:color w:val="000000"/>
          </w:rPr>
          <w:t xml:space="preserve"> </w:t>
        </w:r>
        <w:r>
          <w:rPr>
            <w:rStyle w:val="Hyperlink"/>
            <w:color w:val="000000"/>
          </w:rPr>
          <w:t>言</w:t>
        </w:r>
        <w:r>
          <w:rPr>
            <w:color w:val="000000"/>
          </w:rPr>
          <w:tab/>
        </w:r>
        <w:r>
          <w:rPr>
            <w:color w:val="000000"/>
          </w:rPr>
          <w:fldChar w:fldCharType="begin"/>
        </w:r>
        <w:r>
          <w:rPr>
            <w:color w:val="000000"/>
          </w:rPr>
          <w:instrText xml:space="preserve"> PAGEREF _Toc35929717 \h </w:instrText>
        </w:r>
        <w:r>
          <w:rPr>
            <w:color w:val="000000"/>
          </w:rPr>
          <w:fldChar w:fldCharType="separate"/>
        </w:r>
        <w:r>
          <w:rPr>
            <w:color w:val="000000"/>
          </w:rPr>
          <w:t>II</w:t>
        </w:r>
        <w:r>
          <w:rPr>
            <w:color w:val="000000"/>
          </w:rPr>
          <w:fldChar w:fldCharType="end"/>
        </w:r>
      </w:hyperlink>
    </w:p>
    <w:p w:rsidR="00A200F2">
      <w:pPr>
        <w:pStyle w:val="TOC2"/>
        <w:tabs>
          <w:tab w:val="right" w:leader="dot" w:pos="9345"/>
        </w:tabs>
        <w:ind w:left="0" w:leftChars="0"/>
        <w:rPr>
          <w:rFonts w:ascii="等线" w:eastAsia="等线" w:hAnsi="等线" w:cs="Arial"/>
          <w:color w:val="000000"/>
          <w:szCs w:val="22"/>
        </w:rPr>
      </w:pPr>
      <w:hyperlink w:anchor="_Toc35929719" w:history="1">
        <w:r>
          <w:rPr>
            <w:rStyle w:val="Hyperlink"/>
            <w:color w:val="000000"/>
          </w:rPr>
          <w:t>1 范围</w:t>
        </w:r>
        <w:r>
          <w:rPr>
            <w:color w:val="000000"/>
          </w:rPr>
          <w:tab/>
        </w:r>
        <w:r>
          <w:rPr>
            <w:color w:val="000000"/>
          </w:rPr>
          <w:fldChar w:fldCharType="begin"/>
        </w:r>
        <w:r>
          <w:rPr>
            <w:color w:val="000000"/>
          </w:rPr>
          <w:instrText xml:space="preserve"> PAGEREF _Toc35929719 \h </w:instrText>
        </w:r>
        <w:r>
          <w:rPr>
            <w:color w:val="000000"/>
          </w:rPr>
          <w:fldChar w:fldCharType="separate"/>
        </w:r>
        <w:r>
          <w:rPr>
            <w:color w:val="000000"/>
          </w:rPr>
          <w:t>1</w:t>
        </w:r>
        <w:r>
          <w:rPr>
            <w:color w:val="000000"/>
          </w:rPr>
          <w:fldChar w:fldCharType="end"/>
        </w:r>
      </w:hyperlink>
    </w:p>
    <w:p w:rsidR="00A200F2">
      <w:pPr>
        <w:pStyle w:val="TOC2"/>
        <w:tabs>
          <w:tab w:val="right" w:leader="dot" w:pos="9345"/>
        </w:tabs>
        <w:ind w:left="0" w:leftChars="0"/>
        <w:rPr>
          <w:rFonts w:ascii="等线" w:eastAsia="等线" w:hAnsi="等线" w:cs="Arial"/>
          <w:color w:val="000000"/>
          <w:szCs w:val="22"/>
        </w:rPr>
      </w:pPr>
      <w:hyperlink w:anchor="_Toc35929720" w:history="1">
        <w:r>
          <w:rPr>
            <w:rStyle w:val="Hyperlink"/>
            <w:color w:val="000000"/>
          </w:rPr>
          <w:t>2 规范性引用文件</w:t>
        </w:r>
        <w:r>
          <w:rPr>
            <w:color w:val="000000"/>
          </w:rPr>
          <w:tab/>
        </w:r>
        <w:r>
          <w:rPr>
            <w:color w:val="000000"/>
          </w:rPr>
          <w:fldChar w:fldCharType="begin"/>
        </w:r>
        <w:r>
          <w:rPr>
            <w:color w:val="000000"/>
          </w:rPr>
          <w:instrText xml:space="preserve"> PAGEREF _Toc35929720 \h </w:instrText>
        </w:r>
        <w:r>
          <w:rPr>
            <w:color w:val="000000"/>
          </w:rPr>
          <w:fldChar w:fldCharType="separate"/>
        </w:r>
        <w:r>
          <w:rPr>
            <w:color w:val="000000"/>
          </w:rPr>
          <w:t>1</w:t>
        </w:r>
        <w:r>
          <w:rPr>
            <w:color w:val="000000"/>
          </w:rPr>
          <w:fldChar w:fldCharType="end"/>
        </w:r>
      </w:hyperlink>
    </w:p>
    <w:p w:rsidR="00A200F2">
      <w:pPr>
        <w:pStyle w:val="TOC2"/>
        <w:tabs>
          <w:tab w:val="right" w:leader="dot" w:pos="9345"/>
        </w:tabs>
        <w:ind w:left="0" w:leftChars="0"/>
        <w:rPr>
          <w:rFonts w:ascii="等线" w:eastAsia="等线" w:hAnsi="等线" w:cs="Arial"/>
          <w:color w:val="000000"/>
          <w:szCs w:val="22"/>
        </w:rPr>
      </w:pPr>
      <w:hyperlink w:anchor="_Toc35929721" w:history="1">
        <w:r>
          <w:rPr>
            <w:rStyle w:val="Hyperlink"/>
            <w:color w:val="000000"/>
          </w:rPr>
          <w:t>3 术语和定义</w:t>
        </w:r>
        <w:r>
          <w:rPr>
            <w:color w:val="000000"/>
          </w:rPr>
          <w:tab/>
        </w:r>
        <w:r>
          <w:rPr>
            <w:color w:val="000000"/>
          </w:rPr>
          <w:fldChar w:fldCharType="begin"/>
        </w:r>
        <w:r>
          <w:rPr>
            <w:color w:val="000000"/>
          </w:rPr>
          <w:instrText xml:space="preserve"> PAGEREF _Toc35929721 \h </w:instrText>
        </w:r>
        <w:r>
          <w:rPr>
            <w:color w:val="000000"/>
          </w:rPr>
          <w:fldChar w:fldCharType="separate"/>
        </w:r>
        <w:r>
          <w:rPr>
            <w:color w:val="000000"/>
          </w:rPr>
          <w:t>1</w:t>
        </w:r>
        <w:r>
          <w:rPr>
            <w:color w:val="000000"/>
          </w:rPr>
          <w:fldChar w:fldCharType="end"/>
        </w:r>
      </w:hyperlink>
    </w:p>
    <w:p w:rsidR="00A200F2">
      <w:pPr>
        <w:pStyle w:val="TOC2"/>
        <w:tabs>
          <w:tab w:val="right" w:leader="dot" w:pos="9345"/>
        </w:tabs>
        <w:ind w:left="0" w:leftChars="0"/>
        <w:rPr>
          <w:rFonts w:ascii="等线" w:eastAsia="等线" w:hAnsi="等线" w:cs="Arial"/>
          <w:color w:val="000000"/>
          <w:szCs w:val="22"/>
        </w:rPr>
      </w:pPr>
      <w:hyperlink w:anchor="_Toc35929727" w:history="1">
        <w:r>
          <w:rPr>
            <w:rStyle w:val="Hyperlink"/>
            <w:color w:val="000000"/>
          </w:rPr>
          <w:t>4 一般要求</w:t>
        </w:r>
        <w:r>
          <w:rPr>
            <w:color w:val="000000"/>
          </w:rPr>
          <w:tab/>
        </w:r>
        <w:r>
          <w:rPr>
            <w:color w:val="000000"/>
          </w:rPr>
          <w:fldChar w:fldCharType="begin"/>
        </w:r>
        <w:r>
          <w:rPr>
            <w:color w:val="000000"/>
          </w:rPr>
          <w:instrText xml:space="preserve"> PAGERE</w:instrText>
        </w:r>
        <w:r>
          <w:rPr>
            <w:color w:val="000000"/>
          </w:rPr>
          <w:instrText xml:space="preserve">F _Toc35929727 \h </w:instrText>
        </w:r>
        <w:r>
          <w:rPr>
            <w:color w:val="000000"/>
          </w:rPr>
          <w:fldChar w:fldCharType="separate"/>
        </w:r>
        <w:r>
          <w:rPr>
            <w:color w:val="000000"/>
          </w:rPr>
          <w:t>1</w:t>
        </w:r>
        <w:r>
          <w:rPr>
            <w:color w:val="000000"/>
          </w:rPr>
          <w:fldChar w:fldCharType="end"/>
        </w:r>
      </w:hyperlink>
    </w:p>
    <w:p w:rsidR="00A200F2">
      <w:pPr>
        <w:pStyle w:val="TOC2"/>
        <w:tabs>
          <w:tab w:val="right" w:leader="dot" w:pos="9345"/>
        </w:tabs>
        <w:ind w:left="0" w:leftChars="0"/>
        <w:rPr>
          <w:rFonts w:ascii="等线" w:eastAsia="等线" w:hAnsi="等线" w:cs="Arial"/>
          <w:color w:val="000000"/>
          <w:szCs w:val="22"/>
        </w:rPr>
      </w:pPr>
      <w:hyperlink w:anchor="_Toc35929730" w:history="1">
        <w:r>
          <w:rPr>
            <w:rStyle w:val="Hyperlink"/>
            <w:color w:val="000000"/>
          </w:rPr>
          <w:t>5 技术要求</w:t>
        </w:r>
        <w:r>
          <w:rPr>
            <w:color w:val="000000"/>
          </w:rPr>
          <w:tab/>
        </w:r>
        <w:r>
          <w:rPr>
            <w:color w:val="000000"/>
          </w:rPr>
          <w:fldChar w:fldCharType="begin"/>
        </w:r>
        <w:r>
          <w:rPr>
            <w:color w:val="000000"/>
          </w:rPr>
          <w:instrText xml:space="preserve"> PAGEREF _Toc35929730 \h </w:instrText>
        </w:r>
        <w:r>
          <w:rPr>
            <w:color w:val="000000"/>
          </w:rPr>
          <w:fldChar w:fldCharType="separate"/>
        </w:r>
        <w:r>
          <w:rPr>
            <w:color w:val="000000"/>
          </w:rPr>
          <w:t>2</w:t>
        </w:r>
        <w:r>
          <w:rPr>
            <w:color w:val="000000"/>
          </w:rPr>
          <w:fldChar w:fldCharType="end"/>
        </w:r>
      </w:hyperlink>
    </w:p>
    <w:p w:rsidR="00A200F2">
      <w:pPr>
        <w:pStyle w:val="TOC2"/>
        <w:tabs>
          <w:tab w:val="right" w:leader="dot" w:pos="9345"/>
        </w:tabs>
        <w:ind w:left="0" w:leftChars="0"/>
        <w:rPr>
          <w:rFonts w:ascii="等线" w:eastAsia="等线" w:hAnsi="等线" w:cs="Arial"/>
          <w:color w:val="000000"/>
          <w:szCs w:val="22"/>
        </w:rPr>
      </w:pPr>
      <w:hyperlink w:anchor="_Toc35929736" w:history="1">
        <w:r>
          <w:rPr>
            <w:rStyle w:val="Hyperlink"/>
            <w:color w:val="000000"/>
          </w:rPr>
          <w:t>6 试验方法</w:t>
        </w:r>
        <w:r>
          <w:rPr>
            <w:color w:val="000000"/>
          </w:rPr>
          <w:tab/>
        </w:r>
        <w:r>
          <w:rPr>
            <w:color w:val="000000"/>
          </w:rPr>
          <w:fldChar w:fldCharType="begin"/>
        </w:r>
        <w:r>
          <w:rPr>
            <w:color w:val="000000"/>
          </w:rPr>
          <w:instrText xml:space="preserve"> PAGEREF _Toc35929736 \h </w:instrText>
        </w:r>
        <w:r>
          <w:rPr>
            <w:color w:val="000000"/>
          </w:rPr>
          <w:fldChar w:fldCharType="separate"/>
        </w:r>
        <w:r>
          <w:rPr>
            <w:color w:val="000000"/>
          </w:rPr>
          <w:t>2</w:t>
        </w:r>
        <w:r>
          <w:rPr>
            <w:color w:val="000000"/>
          </w:rPr>
          <w:fldChar w:fldCharType="end"/>
        </w:r>
      </w:hyperlink>
    </w:p>
    <w:p w:rsidR="00A200F2">
      <w:pPr>
        <w:pStyle w:val="TOC2"/>
        <w:tabs>
          <w:tab w:val="right" w:leader="dot" w:pos="9345"/>
        </w:tabs>
        <w:ind w:left="0" w:leftChars="0"/>
        <w:rPr>
          <w:rFonts w:hint="eastAsia"/>
          <w:color w:val="000000"/>
        </w:rPr>
      </w:pPr>
      <w:hyperlink w:anchor="_Toc35929740" w:history="1">
        <w:r>
          <w:rPr>
            <w:rStyle w:val="Hyperlink"/>
            <w:color w:val="000000"/>
          </w:rPr>
          <w:t xml:space="preserve">7 </w:t>
        </w:r>
        <w:r>
          <w:rPr>
            <w:rFonts w:hint="eastAsia"/>
            <w:color w:val="000000"/>
          </w:rPr>
          <w:t>同一型式判定</w:t>
        </w:r>
        <w:r>
          <w:rPr>
            <w:color w:val="000000"/>
          </w:rPr>
          <w:tab/>
        </w:r>
      </w:hyperlink>
      <w:r>
        <w:rPr>
          <w:rFonts w:hint="eastAsia"/>
          <w:color w:val="000000"/>
        </w:rPr>
        <w:t>4</w:t>
      </w:r>
    </w:p>
    <w:p w:rsidR="00A200F2">
      <w:pPr>
        <w:pStyle w:val="TOC2"/>
        <w:tabs>
          <w:tab w:val="right" w:leader="dot" w:pos="9345"/>
        </w:tabs>
        <w:ind w:left="0" w:leftChars="0"/>
        <w:rPr>
          <w:rFonts w:ascii="等线" w:eastAsia="等线" w:hAnsi="等线" w:cs="Arial"/>
          <w:color w:val="000000"/>
          <w:szCs w:val="22"/>
        </w:rPr>
      </w:pPr>
      <w:hyperlink w:anchor="_Toc35929740" w:history="1">
        <w:r>
          <w:rPr>
            <w:rStyle w:val="Hyperlink"/>
            <w:rFonts w:hint="eastAsia"/>
            <w:color w:val="000000"/>
          </w:rPr>
          <w:t>8</w:t>
        </w:r>
        <w:r>
          <w:rPr>
            <w:rStyle w:val="Hyperlink"/>
            <w:color w:val="000000"/>
          </w:rPr>
          <w:t xml:space="preserve"> </w:t>
        </w:r>
        <w:r>
          <w:rPr>
            <w:rStyle w:val="Hyperlink"/>
            <w:rFonts w:hint="eastAsia"/>
            <w:color w:val="000000"/>
          </w:rPr>
          <w:t>实施过渡期</w:t>
        </w:r>
        <w:r>
          <w:rPr>
            <w:color w:val="000000"/>
          </w:rPr>
          <w:tab/>
        </w:r>
      </w:hyperlink>
      <w:r>
        <w:rPr>
          <w:rFonts w:hint="eastAsia"/>
          <w:color w:val="000000"/>
        </w:rPr>
        <w:t>4</w:t>
      </w:r>
    </w:p>
    <w:p w:rsidR="00A200F2"/>
    <w:p w:rsidR="00A200F2">
      <w:pPr>
        <w:pStyle w:val="a2"/>
        <w:rPr>
          <w:color w:val="000000"/>
        </w:rPr>
      </w:pPr>
      <w:r>
        <w:rPr>
          <w:color w:val="000000"/>
        </w:rPr>
        <w:fldChar w:fldCharType="end"/>
      </w:r>
    </w:p>
    <w:p w:rsidR="00A200F2">
      <w:pPr>
        <w:tabs>
          <w:tab w:val="left" w:pos="5677"/>
        </w:tabs>
        <w:jc w:val="left"/>
        <w:rPr>
          <w:rFonts w:hint="eastAsia"/>
        </w:rPr>
        <w:sectPr w:rsidSect="00A200F2">
          <w:headerReference w:type="default" r:id="rId5"/>
          <w:footerReference w:type="default" r:id="rId6"/>
          <w:pgSz w:w="11906" w:h="16838"/>
          <w:pgMar w:top="567" w:right="1134" w:bottom="1134" w:left="1418" w:header="1418" w:footer="1134" w:gutter="0"/>
          <w:pgNumType w:fmt="upperRoman" w:start="1"/>
          <w:cols w:space="720"/>
          <w:formProt w:val="0"/>
          <w:docGrid w:type="lines" w:linePitch="312"/>
        </w:sectPr>
      </w:pPr>
      <w:r>
        <w:rPr>
          <w:rFonts w:hint="eastAsia"/>
        </w:rPr>
        <w:tab/>
      </w:r>
    </w:p>
    <w:p w:rsidR="00A200F2">
      <w:pPr>
        <w:pStyle w:val="a79"/>
        <w:rPr>
          <w:color w:val="000000"/>
        </w:rPr>
      </w:pPr>
      <w:bookmarkStart w:id="17" w:name="_Toc35929717"/>
      <w:bookmarkStart w:id="18" w:name="_Toc21425509"/>
      <w:r>
        <w:rPr>
          <w:rFonts w:hint="eastAsia"/>
          <w:color w:val="000000"/>
        </w:rPr>
        <w:t>前</w:t>
      </w:r>
      <w:bookmarkStart w:id="19" w:name="BKQY"/>
      <w:r>
        <w:rPr>
          <w:rFonts w:hAnsi="黑体"/>
          <w:color w:val="000000"/>
        </w:rPr>
        <w:t xml:space="preserve">    </w:t>
      </w:r>
      <w:r>
        <w:rPr>
          <w:rFonts w:hint="eastAsia"/>
          <w:color w:val="000000"/>
        </w:rPr>
        <w:t>言</w:t>
      </w:r>
      <w:bookmarkEnd w:id="17"/>
      <w:bookmarkEnd w:id="18"/>
      <w:bookmarkEnd w:id="19"/>
    </w:p>
    <w:p w:rsidR="00A200F2">
      <w:pPr>
        <w:pStyle w:val="a2"/>
        <w:rPr>
          <w:rFonts w:hAnsi="宋体"/>
          <w:color w:val="000000"/>
        </w:rPr>
      </w:pPr>
    </w:p>
    <w:p w:rsidR="00A200F2">
      <w:pPr>
        <w:pStyle w:val="a2"/>
        <w:rPr>
          <w:rFonts w:hAnsi="宋体" w:cs="宋体" w:hint="eastAsia"/>
          <w:color w:val="000000"/>
        </w:rPr>
      </w:pPr>
      <w:r>
        <w:rPr>
          <w:rFonts w:hAnsi="宋体" w:cs="宋体" w:hint="eastAsia"/>
          <w:color w:val="000000"/>
        </w:rPr>
        <w:t xml:space="preserve">本文件按照 </w:t>
      </w:r>
      <w:r>
        <w:rPr>
          <w:rFonts w:ascii="Times New Roman" w:hint="eastAsia"/>
          <w:color w:val="000000"/>
          <w:kern w:val="2"/>
          <w:szCs w:val="24"/>
        </w:rPr>
        <w:t>GB/T 1.1</w:t>
      </w:r>
      <w:r>
        <w:rPr>
          <w:rFonts w:ascii="Times New Roman" w:hint="eastAsia"/>
          <w:color w:val="000000"/>
          <w:kern w:val="2"/>
          <w:szCs w:val="24"/>
        </w:rPr>
        <w:t>—</w:t>
      </w:r>
      <w:r>
        <w:rPr>
          <w:rFonts w:ascii="Times New Roman" w:hint="eastAsia"/>
          <w:color w:val="000000"/>
          <w:kern w:val="2"/>
          <w:szCs w:val="24"/>
        </w:rPr>
        <w:t>2020</w:t>
      </w:r>
      <w:r>
        <w:rPr>
          <w:rFonts w:hAnsi="宋体" w:cs="宋体" w:hint="eastAsia"/>
          <w:color w:val="000000"/>
        </w:rPr>
        <w:t>《标准化工作导则 第1部分：标准文件的结构和起草规则》的规定起草。</w:t>
      </w:r>
    </w:p>
    <w:p w:rsidR="00A200F2">
      <w:pPr>
        <w:ind w:left="420" w:leftChars="200"/>
        <w:rPr>
          <w:rFonts w:hint="eastAsia"/>
          <w:color w:val="000000"/>
        </w:rPr>
      </w:pPr>
      <w:r>
        <w:rPr>
          <w:rFonts w:hint="eastAsia"/>
          <w:color w:val="000000"/>
        </w:rPr>
        <w:t>本文件代替GB 20072</w:t>
      </w:r>
      <w:r>
        <w:rPr>
          <w:rFonts w:hint="eastAsia"/>
          <w:color w:val="000000"/>
        </w:rPr>
        <w:t>—</w:t>
      </w:r>
      <w:r>
        <w:rPr>
          <w:rFonts w:hint="eastAsia"/>
          <w:color w:val="000000"/>
        </w:rPr>
        <w:t>2006《乘用车后碰撞燃油系统安全要求》。</w:t>
      </w:r>
    </w:p>
    <w:p w:rsidR="00A200F2">
      <w:pPr>
        <w:ind w:left="420" w:leftChars="200"/>
        <w:rPr>
          <w:rFonts w:hint="eastAsia"/>
          <w:color w:val="000000"/>
        </w:rPr>
      </w:pPr>
      <w:r>
        <w:rPr>
          <w:rFonts w:hAnsi="宋体" w:cs="宋体" w:hint="eastAsia"/>
          <w:color w:val="000000"/>
        </w:rPr>
        <w:t>本文件</w:t>
      </w:r>
      <w:r>
        <w:rPr>
          <w:rFonts w:hint="eastAsia"/>
          <w:color w:val="000000"/>
        </w:rPr>
        <w:t>与</w:t>
      </w:r>
      <w:r>
        <w:rPr>
          <w:color w:val="000000"/>
        </w:rPr>
        <w:t>GB</w:t>
      </w:r>
      <w:r>
        <w:rPr>
          <w:rFonts w:hint="eastAsia"/>
          <w:color w:val="000000"/>
        </w:rPr>
        <w:t xml:space="preserve"> </w:t>
      </w:r>
      <w:r>
        <w:rPr>
          <w:color w:val="000000"/>
        </w:rPr>
        <w:t>2</w:t>
      </w:r>
      <w:r>
        <w:rPr>
          <w:rFonts w:hint="eastAsia"/>
          <w:color w:val="000000"/>
        </w:rPr>
        <w:t>0072</w:t>
      </w:r>
      <w:r>
        <w:rPr>
          <w:color w:val="000000"/>
        </w:rPr>
        <w:t>-200</w:t>
      </w:r>
      <w:r>
        <w:rPr>
          <w:rFonts w:hint="eastAsia"/>
          <w:color w:val="000000"/>
        </w:rPr>
        <w:t>6相比，除编辑性修改外的主要技术差异如下：</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等线" w:hAnsi="等线" w:cs="等线" w:hint="eastAsia"/>
          <w:color w:val="000000"/>
          <w:szCs w:val="21"/>
        </w:rPr>
        <w:t>删除</w:t>
      </w:r>
      <w:r>
        <w:rPr>
          <w:rFonts w:ascii="等线" w:hAnsi="等线" w:cs="等线" w:hint="eastAsia"/>
          <w:color w:val="000000"/>
          <w:szCs w:val="21"/>
        </w:rPr>
        <w:t>了车辆型式</w:t>
      </w:r>
      <w:r>
        <w:rPr>
          <w:rFonts w:ascii="等线" w:hAnsi="等线" w:cs="等线" w:hint="eastAsia"/>
          <w:color w:val="000000"/>
          <w:szCs w:val="21"/>
        </w:rPr>
        <w:t>的</w:t>
      </w:r>
      <w:r>
        <w:rPr>
          <w:rFonts w:ascii="等线" w:hAnsi="等线" w:cs="等线" w:hint="eastAsia"/>
          <w:color w:val="000000"/>
          <w:szCs w:val="21"/>
        </w:rPr>
        <w:t>定义</w:t>
      </w:r>
      <w:r>
        <w:rPr>
          <w:rFonts w:ascii="宋体" w:hAnsi="宋体" w:cs="宋体" w:hint="eastAsia"/>
          <w:color w:val="000000"/>
          <w:szCs w:val="21"/>
        </w:rPr>
        <w:t>（</w:t>
      </w:r>
      <w:r>
        <w:rPr>
          <w:rFonts w:ascii="宋体" w:hAnsi="宋体" w:cs="宋体" w:hint="eastAsia"/>
          <w:color w:val="000000"/>
          <w:szCs w:val="21"/>
        </w:rPr>
        <w:t>见</w:t>
      </w:r>
      <w:r>
        <w:rPr>
          <w:rFonts w:hint="eastAsia"/>
          <w:color w:val="000000"/>
        </w:rPr>
        <w:t>2006</w:t>
      </w:r>
      <w:r>
        <w:rPr>
          <w:rFonts w:hint="eastAsia"/>
          <w:color w:val="000000"/>
        </w:rPr>
        <w:t>年版的</w:t>
      </w:r>
      <w:r>
        <w:rPr>
          <w:rFonts w:ascii="宋体" w:hAnsi="宋体" w:cs="宋体" w:hint="eastAsia"/>
          <w:color w:val="000000"/>
          <w:szCs w:val="21"/>
        </w:rPr>
        <w:t>3.1）</w:t>
      </w:r>
      <w:r>
        <w:rPr>
          <w:rFonts w:ascii="等线" w:hAnsi="等线" w:cs="等线"/>
          <w:color w:val="000000"/>
          <w:szCs w:val="21"/>
        </w:rPr>
        <w:t>；</w:t>
      </w:r>
    </w:p>
    <w:p w:rsidR="00A200F2">
      <w:pPr>
        <w:numPr>
          <w:ilvl w:val="0"/>
          <w:numId w:val="20"/>
        </w:numPr>
        <w:tabs>
          <w:tab w:val="clear" w:pos="312"/>
        </w:tabs>
        <w:ind w:firstLine="424" w:firstLineChars="202"/>
        <w:outlineLvl w:val="0"/>
        <w:rPr>
          <w:rFonts w:ascii="宋体" w:hAnsi="宋体" w:cs="宋体" w:hint="eastAsia"/>
          <w:color w:val="000000"/>
          <w:szCs w:val="21"/>
        </w:rPr>
      </w:pPr>
      <w:r>
        <w:rPr>
          <w:rFonts w:ascii="等线" w:hAnsi="等线" w:cs="等线" w:hint="eastAsia"/>
          <w:color w:val="000000"/>
          <w:szCs w:val="21"/>
        </w:rPr>
        <w:t>删除</w:t>
      </w:r>
      <w:r>
        <w:rPr>
          <w:rFonts w:ascii="等线" w:hAnsi="等线" w:cs="等线" w:hint="eastAsia"/>
          <w:color w:val="000000"/>
          <w:szCs w:val="21"/>
        </w:rPr>
        <w:t>了</w:t>
      </w:r>
      <w:r>
        <w:rPr>
          <w:rFonts w:ascii="等线" w:hAnsi="等线" w:cs="等线" w:hint="eastAsia"/>
          <w:color w:val="000000"/>
          <w:szCs w:val="21"/>
        </w:rPr>
        <w:t>横向平面的</w:t>
      </w:r>
      <w:r>
        <w:rPr>
          <w:rFonts w:ascii="等线" w:hAnsi="等线" w:cs="等线" w:hint="eastAsia"/>
          <w:color w:val="000000"/>
          <w:szCs w:val="21"/>
        </w:rPr>
        <w:t>定义</w:t>
      </w:r>
      <w:r>
        <w:rPr>
          <w:rFonts w:ascii="宋体" w:hAnsi="宋体" w:cs="宋体" w:hint="eastAsia"/>
          <w:color w:val="000000"/>
          <w:szCs w:val="21"/>
        </w:rPr>
        <w:t>（见</w:t>
      </w:r>
      <w:r>
        <w:rPr>
          <w:rFonts w:hint="eastAsia"/>
          <w:color w:val="000000"/>
        </w:rPr>
        <w:t>2006</w:t>
      </w:r>
      <w:r>
        <w:rPr>
          <w:rFonts w:hint="eastAsia"/>
          <w:color w:val="000000"/>
        </w:rPr>
        <w:t>年版的</w:t>
      </w:r>
      <w:r>
        <w:rPr>
          <w:rFonts w:ascii="宋体" w:hAnsi="宋体" w:cs="宋体" w:hint="eastAsia"/>
          <w:color w:val="000000"/>
          <w:szCs w:val="21"/>
        </w:rPr>
        <w:t>3.</w:t>
      </w:r>
      <w:r>
        <w:rPr>
          <w:rFonts w:ascii="宋体" w:hAnsi="宋体" w:cs="宋体" w:hint="eastAsia"/>
          <w:color w:val="000000"/>
          <w:szCs w:val="21"/>
        </w:rPr>
        <w:t>2</w:t>
      </w:r>
      <w:r>
        <w:rPr>
          <w:rFonts w:ascii="宋体" w:hAnsi="宋体" w:cs="宋体" w:hint="eastAsia"/>
          <w:color w:val="000000"/>
          <w:szCs w:val="21"/>
        </w:rPr>
        <w:t>）</w:t>
      </w:r>
      <w:r>
        <w:rPr>
          <w:rFonts w:ascii="等线" w:hAnsi="等线" w:cs="等线"/>
          <w:color w:val="000000"/>
          <w:szCs w:val="21"/>
        </w:rPr>
        <w:t>；</w:t>
      </w:r>
    </w:p>
    <w:p w:rsidR="00A200F2">
      <w:pPr>
        <w:numPr>
          <w:ilvl w:val="0"/>
          <w:numId w:val="20"/>
        </w:numPr>
        <w:tabs>
          <w:tab w:val="clear"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w:t>
      </w:r>
      <w:r>
        <w:rPr>
          <w:rFonts w:ascii="宋体" w:hAnsi="宋体" w:cs="宋体" w:hint="eastAsia"/>
          <w:color w:val="000000"/>
          <w:szCs w:val="21"/>
        </w:rPr>
        <w:t>乘员舱的</w:t>
      </w:r>
      <w:r>
        <w:rPr>
          <w:rFonts w:ascii="宋体" w:hAnsi="宋体" w:cs="宋体" w:hint="eastAsia"/>
          <w:color w:val="000000"/>
          <w:szCs w:val="21"/>
        </w:rPr>
        <w:t>定义（见3.</w:t>
      </w:r>
      <w:r>
        <w:rPr>
          <w:rFonts w:ascii="宋体" w:hAnsi="宋体" w:cs="宋体" w:hint="eastAsia"/>
          <w:color w:val="000000"/>
          <w:szCs w:val="21"/>
        </w:rPr>
        <w:t>1</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增加了燃油箱</w:t>
      </w:r>
      <w:r>
        <w:rPr>
          <w:rFonts w:ascii="宋体" w:hAnsi="宋体" w:cs="宋体" w:hint="eastAsia"/>
          <w:color w:val="000000"/>
          <w:szCs w:val="21"/>
        </w:rPr>
        <w:t>的</w:t>
      </w:r>
      <w:r>
        <w:rPr>
          <w:rFonts w:ascii="宋体" w:hAnsi="宋体" w:cs="宋体" w:hint="eastAsia"/>
          <w:color w:val="000000"/>
          <w:szCs w:val="21"/>
        </w:rPr>
        <w:t>定义（见3.3）；</w:t>
      </w:r>
    </w:p>
    <w:p w:rsidR="00A200F2">
      <w:pPr>
        <w:numPr>
          <w:ilvl w:val="0"/>
          <w:numId w:val="20"/>
        </w:numPr>
        <w:tabs>
          <w:tab w:val="clear" w:pos="312"/>
        </w:tabs>
        <w:ind w:firstLine="424" w:firstLineChars="202"/>
        <w:outlineLvl w:val="0"/>
        <w:rPr>
          <w:rFonts w:ascii="宋体" w:hAnsi="宋体" w:cs="宋体" w:hint="eastAsia"/>
          <w:color w:val="000000"/>
          <w:szCs w:val="21"/>
        </w:rPr>
      </w:pPr>
      <w:r>
        <w:rPr>
          <w:rFonts w:ascii="等线" w:hAnsi="等线" w:cs="等线" w:hint="eastAsia"/>
          <w:color w:val="000000"/>
          <w:szCs w:val="21"/>
        </w:rPr>
        <w:t>删除</w:t>
      </w:r>
      <w:r>
        <w:rPr>
          <w:rFonts w:ascii="等线" w:hAnsi="等线" w:cs="等线" w:hint="eastAsia"/>
          <w:color w:val="000000"/>
          <w:szCs w:val="21"/>
        </w:rPr>
        <w:t>了</w:t>
      </w:r>
      <w:r>
        <w:rPr>
          <w:rFonts w:ascii="等线" w:hAnsi="等线" w:cs="等线" w:hint="eastAsia"/>
          <w:color w:val="000000"/>
          <w:szCs w:val="21"/>
        </w:rPr>
        <w:t>燃油箱容量的</w:t>
      </w:r>
      <w:r>
        <w:rPr>
          <w:rFonts w:ascii="等线" w:hAnsi="等线" w:cs="等线" w:hint="eastAsia"/>
          <w:color w:val="000000"/>
          <w:szCs w:val="21"/>
        </w:rPr>
        <w:t>定义</w:t>
      </w:r>
      <w:r>
        <w:rPr>
          <w:rFonts w:ascii="宋体" w:hAnsi="宋体" w:cs="宋体" w:hint="eastAsia"/>
          <w:color w:val="000000"/>
          <w:szCs w:val="21"/>
        </w:rPr>
        <w:t>（见</w:t>
      </w:r>
      <w:r>
        <w:rPr>
          <w:rFonts w:hint="eastAsia"/>
          <w:color w:val="000000"/>
        </w:rPr>
        <w:t>2006</w:t>
      </w:r>
      <w:r>
        <w:rPr>
          <w:rFonts w:hint="eastAsia"/>
          <w:color w:val="000000"/>
        </w:rPr>
        <w:t>年版的</w:t>
      </w:r>
      <w:r>
        <w:rPr>
          <w:rFonts w:ascii="宋体" w:hAnsi="宋体" w:cs="宋体" w:hint="eastAsia"/>
          <w:color w:val="000000"/>
          <w:szCs w:val="21"/>
        </w:rPr>
        <w:t>3</w:t>
      </w:r>
      <w:r>
        <w:rPr>
          <w:rFonts w:ascii="宋体" w:hAnsi="宋体" w:cs="宋体" w:hint="eastAsia"/>
          <w:color w:val="000000"/>
          <w:szCs w:val="21"/>
        </w:rPr>
        <w:t>.4</w:t>
      </w:r>
      <w:r>
        <w:rPr>
          <w:rFonts w:ascii="宋体" w:hAnsi="宋体" w:cs="宋体" w:hint="eastAsia"/>
          <w:color w:val="000000"/>
          <w:szCs w:val="21"/>
        </w:rPr>
        <w:t>）</w:t>
      </w:r>
      <w:r>
        <w:rPr>
          <w:rFonts w:ascii="等线" w:hAnsi="等线" w:cs="等线"/>
          <w:color w:val="000000"/>
          <w:szCs w:val="21"/>
        </w:rPr>
        <w:t>；</w:t>
      </w:r>
    </w:p>
    <w:p w:rsidR="00A200F2">
      <w:pPr>
        <w:numPr>
          <w:ilvl w:val="0"/>
          <w:numId w:val="20"/>
        </w:numPr>
        <w:tabs>
          <w:tab w:val="clear" w:pos="312"/>
        </w:tabs>
        <w:ind w:firstLine="424" w:firstLineChars="202"/>
        <w:outlineLvl w:val="0"/>
        <w:rPr>
          <w:rFonts w:ascii="宋体" w:hAnsi="宋体" w:cs="宋体" w:hint="eastAsia"/>
          <w:color w:val="000000"/>
          <w:szCs w:val="21"/>
        </w:rPr>
      </w:pPr>
      <w:r>
        <w:rPr>
          <w:rFonts w:ascii="等线" w:hAnsi="等线" w:cs="等线" w:hint="eastAsia"/>
          <w:color w:val="000000"/>
          <w:szCs w:val="21"/>
        </w:rPr>
        <w:t>删除</w:t>
      </w:r>
      <w:r>
        <w:rPr>
          <w:rFonts w:ascii="等线" w:hAnsi="等线" w:cs="等线" w:hint="eastAsia"/>
          <w:color w:val="000000"/>
          <w:szCs w:val="21"/>
        </w:rPr>
        <w:t>了</w:t>
      </w:r>
      <w:r>
        <w:rPr>
          <w:rFonts w:ascii="等线" w:hAnsi="等线" w:cs="等线" w:hint="eastAsia"/>
          <w:color w:val="000000"/>
          <w:szCs w:val="21"/>
        </w:rPr>
        <w:t>液体燃料的</w:t>
      </w:r>
      <w:r>
        <w:rPr>
          <w:rFonts w:ascii="等线" w:hAnsi="等线" w:cs="等线" w:hint="eastAsia"/>
          <w:color w:val="000000"/>
          <w:szCs w:val="21"/>
        </w:rPr>
        <w:t>定义</w:t>
      </w:r>
      <w:r>
        <w:rPr>
          <w:rFonts w:ascii="宋体" w:hAnsi="宋体" w:cs="宋体" w:hint="eastAsia"/>
          <w:color w:val="000000"/>
          <w:szCs w:val="21"/>
        </w:rPr>
        <w:t>（见</w:t>
      </w:r>
      <w:r>
        <w:rPr>
          <w:rFonts w:hint="eastAsia"/>
          <w:color w:val="000000"/>
        </w:rPr>
        <w:t>2006</w:t>
      </w:r>
      <w:r>
        <w:rPr>
          <w:rFonts w:hint="eastAsia"/>
          <w:color w:val="000000"/>
        </w:rPr>
        <w:t>年版的</w:t>
      </w:r>
      <w:r>
        <w:rPr>
          <w:rFonts w:ascii="宋体" w:hAnsi="宋体" w:cs="宋体" w:hint="eastAsia"/>
          <w:color w:val="000000"/>
          <w:szCs w:val="21"/>
        </w:rPr>
        <w:t>3</w:t>
      </w:r>
      <w:r>
        <w:rPr>
          <w:rFonts w:ascii="宋体" w:hAnsi="宋体" w:cs="宋体" w:hint="eastAsia"/>
          <w:color w:val="000000"/>
          <w:szCs w:val="21"/>
        </w:rPr>
        <w:t>.5</w:t>
      </w:r>
      <w:r>
        <w:rPr>
          <w:rFonts w:ascii="宋体" w:hAnsi="宋体" w:cs="宋体" w:hint="eastAsia"/>
          <w:color w:val="000000"/>
          <w:szCs w:val="21"/>
        </w:rPr>
        <w:t>）</w:t>
      </w:r>
      <w:r>
        <w:rPr>
          <w:rFonts w:ascii="等线" w:hAnsi="等线" w:cs="等线"/>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增加了可充电储能系统</w:t>
      </w:r>
      <w:r>
        <w:rPr>
          <w:rFonts w:ascii="宋体" w:hAnsi="宋体" w:cs="宋体" w:hint="eastAsia"/>
          <w:color w:val="000000"/>
          <w:szCs w:val="21"/>
        </w:rPr>
        <w:t>的</w:t>
      </w:r>
      <w:r>
        <w:rPr>
          <w:rFonts w:ascii="宋体" w:hAnsi="宋体" w:cs="宋体" w:hint="eastAsia"/>
          <w:color w:val="000000"/>
          <w:szCs w:val="21"/>
        </w:rPr>
        <w:t>定义（见3.</w:t>
      </w:r>
      <w:r>
        <w:rPr>
          <w:rFonts w:ascii="宋体" w:hAnsi="宋体" w:cs="宋体" w:hint="eastAsia"/>
          <w:color w:val="000000"/>
          <w:szCs w:val="21"/>
        </w:rPr>
        <w:t>4</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w:t>
      </w:r>
      <w:r>
        <w:rPr>
          <w:rFonts w:ascii="宋体" w:hAnsi="宋体" w:cs="宋体" w:hint="eastAsia"/>
          <w:color w:val="000000"/>
        </w:rPr>
        <w:t>电动汽车及混合动力汽车</w:t>
      </w:r>
      <w:r>
        <w:rPr>
          <w:rFonts w:ascii="宋体" w:hAnsi="宋体" w:cs="宋体" w:hint="eastAsia"/>
          <w:color w:val="000000"/>
        </w:rPr>
        <w:t>的</w:t>
      </w:r>
      <w:r>
        <w:rPr>
          <w:rFonts w:ascii="宋体" w:hAnsi="宋体" w:cs="宋体" w:hint="eastAsia"/>
          <w:color w:val="000000"/>
          <w:szCs w:val="21"/>
        </w:rPr>
        <w:t>技术要求（见5</w:t>
      </w:r>
      <w:r>
        <w:rPr>
          <w:rFonts w:ascii="宋体" w:hAnsi="宋体" w:cs="宋体" w:hint="eastAsia"/>
          <w:color w:val="000000"/>
          <w:szCs w:val="21"/>
        </w:rPr>
        <w:t>.6</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增加了碰撞试验后车门</w:t>
      </w:r>
      <w:r>
        <w:rPr>
          <w:rFonts w:ascii="宋体" w:hAnsi="宋体" w:cs="宋体" w:hint="eastAsia"/>
          <w:color w:val="000000"/>
        </w:rPr>
        <w:t>的</w:t>
      </w:r>
      <w:r>
        <w:rPr>
          <w:rFonts w:ascii="宋体" w:hAnsi="宋体" w:cs="宋体" w:hint="eastAsia"/>
          <w:color w:val="000000"/>
          <w:szCs w:val="21"/>
        </w:rPr>
        <w:t>技术要求（见5</w:t>
      </w:r>
      <w:r>
        <w:rPr>
          <w:rFonts w:ascii="宋体" w:hAnsi="宋体" w:cs="宋体" w:hint="eastAsia"/>
          <w:color w:val="000000"/>
          <w:szCs w:val="21"/>
        </w:rPr>
        <w:t>.7、5.8和5.9</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增加了碰撞试验后车身结构</w:t>
      </w:r>
      <w:r>
        <w:rPr>
          <w:rFonts w:ascii="宋体" w:hAnsi="宋体" w:cs="宋体" w:hint="eastAsia"/>
          <w:color w:val="000000"/>
        </w:rPr>
        <w:t>的</w:t>
      </w:r>
      <w:r>
        <w:rPr>
          <w:rFonts w:ascii="宋体" w:hAnsi="宋体" w:cs="宋体" w:hint="eastAsia"/>
          <w:color w:val="000000"/>
          <w:szCs w:val="21"/>
        </w:rPr>
        <w:t>技术要求（见</w:t>
      </w:r>
      <w:r>
        <w:rPr>
          <w:rFonts w:ascii="宋体" w:hAnsi="宋体" w:cs="宋体" w:hint="eastAsia"/>
          <w:color w:val="000000"/>
          <w:szCs w:val="21"/>
        </w:rPr>
        <w:t>5.10</w:t>
      </w:r>
      <w:r>
        <w:rPr>
          <w:rFonts w:ascii="宋体" w:hAnsi="宋体" w:cs="宋体" w:hint="eastAsia"/>
          <w:color w:val="000000"/>
          <w:szCs w:val="21"/>
        </w:rPr>
        <w:t>）</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增加了碰撞试验后电路系统</w:t>
      </w:r>
      <w:r>
        <w:rPr>
          <w:rFonts w:ascii="宋体" w:hAnsi="宋体" w:cs="宋体" w:hint="eastAsia"/>
          <w:color w:val="000000"/>
        </w:rPr>
        <w:t>的</w:t>
      </w:r>
      <w:r>
        <w:rPr>
          <w:rFonts w:ascii="宋体" w:hAnsi="宋体" w:cs="宋体" w:hint="eastAsia"/>
          <w:color w:val="000000"/>
          <w:szCs w:val="21"/>
        </w:rPr>
        <w:t>技术要求（见</w:t>
      </w:r>
      <w:r>
        <w:rPr>
          <w:rFonts w:ascii="宋体" w:hAnsi="宋体" w:cs="宋体" w:hint="eastAsia"/>
          <w:color w:val="000000"/>
          <w:szCs w:val="21"/>
        </w:rPr>
        <w:t>5.11</w:t>
      </w:r>
      <w:r>
        <w:rPr>
          <w:rFonts w:ascii="宋体" w:hAnsi="宋体" w:cs="宋体" w:hint="eastAsia"/>
          <w:color w:val="000000"/>
          <w:szCs w:val="21"/>
        </w:rPr>
        <w:t>）</w:t>
      </w:r>
      <w:r>
        <w:rPr>
          <w:rFonts w:ascii="宋体" w:hAnsi="宋体" w:cs="宋体" w:hint="eastAsia"/>
          <w:color w:val="000000"/>
          <w:szCs w:val="21"/>
        </w:rPr>
        <w:t>；</w:t>
      </w:r>
    </w:p>
    <w:p w:rsidR="00A200F2">
      <w:pPr>
        <w:numPr>
          <w:ilvl w:val="0"/>
          <w:numId w:val="20"/>
        </w:numPr>
        <w:tabs>
          <w:tab w:val="clear"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增加了碰撞试验后车辆</w:t>
      </w:r>
      <w:r>
        <w:rPr>
          <w:rFonts w:ascii="宋体" w:hAnsi="宋体" w:cs="宋体" w:hint="eastAsia"/>
          <w:color w:val="000000"/>
        </w:rPr>
        <w:t>开启危险警告信号灯</w:t>
      </w:r>
      <w:r>
        <w:rPr>
          <w:rFonts w:ascii="宋体" w:hAnsi="宋体" w:cs="宋体" w:hint="eastAsia"/>
          <w:color w:val="000000"/>
        </w:rPr>
        <w:t>的</w:t>
      </w:r>
      <w:r>
        <w:rPr>
          <w:rFonts w:ascii="宋体" w:hAnsi="宋体" w:cs="宋体" w:hint="eastAsia"/>
          <w:color w:val="000000"/>
          <w:szCs w:val="21"/>
        </w:rPr>
        <w:t>技术要求（见</w:t>
      </w:r>
      <w:r>
        <w:rPr>
          <w:rFonts w:ascii="宋体" w:hAnsi="宋体" w:cs="宋体" w:hint="eastAsia"/>
          <w:color w:val="000000"/>
          <w:szCs w:val="21"/>
        </w:rPr>
        <w:t>5.12</w:t>
      </w:r>
      <w:r>
        <w:rPr>
          <w:rFonts w:ascii="宋体" w:hAnsi="宋体" w:cs="宋体" w:hint="eastAsia"/>
          <w:color w:val="000000"/>
          <w:szCs w:val="21"/>
        </w:rPr>
        <w:t>）</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ascii="宋体" w:hAnsi="宋体" w:cs="宋体" w:hint="eastAsia"/>
          <w:color w:val="000000"/>
          <w:szCs w:val="21"/>
        </w:rPr>
      </w:pPr>
      <w:r>
        <w:rPr>
          <w:rFonts w:ascii="宋体" w:hAnsi="宋体" w:cs="宋体" w:hint="eastAsia"/>
          <w:color w:val="000000"/>
          <w:szCs w:val="21"/>
        </w:rPr>
        <w:t>删除了使用摆锤的要求（见</w:t>
      </w:r>
      <w:r>
        <w:rPr>
          <w:rFonts w:hint="eastAsia"/>
          <w:color w:val="000000"/>
        </w:rPr>
        <w:t>2006</w:t>
      </w:r>
      <w:r>
        <w:rPr>
          <w:rFonts w:hint="eastAsia"/>
          <w:color w:val="000000"/>
        </w:rPr>
        <w:t>年版的</w:t>
      </w:r>
      <w:r>
        <w:rPr>
          <w:rFonts w:hint="eastAsia"/>
          <w:color w:val="000000"/>
        </w:rPr>
        <w:t>6</w:t>
      </w:r>
      <w:r>
        <w:rPr>
          <w:rFonts w:ascii="宋体" w:hAnsi="宋体" w:cs="宋体" w:hint="eastAsia"/>
          <w:color w:val="000000"/>
          <w:szCs w:val="21"/>
        </w:rPr>
        <w:t>.</w:t>
      </w:r>
      <w:r>
        <w:rPr>
          <w:rFonts w:hint="eastAsia"/>
          <w:color w:val="000000"/>
        </w:rPr>
        <w:t>2</w:t>
      </w:r>
      <w:r>
        <w:rPr>
          <w:rFonts w:ascii="宋体" w:hAnsi="宋体" w:cs="宋体" w:hint="eastAsia"/>
          <w:color w:val="000000"/>
          <w:szCs w:val="21"/>
        </w:rPr>
        <w:t>.5）；</w:t>
      </w:r>
    </w:p>
    <w:p w:rsidR="00A200F2">
      <w:pPr>
        <w:numPr>
          <w:ilvl w:val="0"/>
          <w:numId w:val="20"/>
        </w:numPr>
        <w:tabs>
          <w:tab w:val="left" w:pos="312"/>
        </w:tabs>
        <w:ind w:firstLine="424" w:firstLineChars="202"/>
        <w:outlineLvl w:val="0"/>
        <w:rPr>
          <w:rFonts w:ascii="等线" w:hAnsi="等线" w:cs="等线"/>
          <w:color w:val="000000"/>
          <w:szCs w:val="21"/>
        </w:rPr>
      </w:pPr>
      <w:r>
        <w:rPr>
          <w:rFonts w:ascii="等线" w:hAnsi="等线" w:cs="等线" w:hint="eastAsia"/>
          <w:color w:val="000000"/>
          <w:szCs w:val="21"/>
        </w:rPr>
        <w:t>更改了</w:t>
      </w:r>
      <w:r>
        <w:rPr>
          <w:rFonts w:ascii="等线" w:hAnsi="等线" w:cs="等线" w:hint="eastAsia"/>
          <w:color w:val="000000"/>
          <w:szCs w:val="21"/>
        </w:rPr>
        <w:t>碰撞装置</w:t>
      </w:r>
      <w:r>
        <w:rPr>
          <w:rFonts w:ascii="等线" w:hAnsi="等线" w:cs="等线" w:hint="eastAsia"/>
          <w:color w:val="000000"/>
          <w:szCs w:val="21"/>
        </w:rPr>
        <w:t>的</w:t>
      </w:r>
      <w:r>
        <w:rPr>
          <w:rFonts w:ascii="等线" w:hAnsi="等线" w:cs="等线" w:hint="eastAsia"/>
          <w:color w:val="000000"/>
          <w:szCs w:val="21"/>
        </w:rPr>
        <w:t>驱动方式</w:t>
      </w:r>
      <w:r>
        <w:rPr>
          <w:rFonts w:ascii="宋体" w:hAnsi="宋体" w:cs="宋体" w:hint="eastAsia"/>
          <w:color w:val="000000"/>
          <w:szCs w:val="21"/>
        </w:rPr>
        <w:t>（见6.</w:t>
      </w:r>
      <w:r>
        <w:rPr>
          <w:rFonts w:ascii="宋体" w:hAnsi="宋体" w:cs="宋体" w:hint="eastAsia"/>
          <w:color w:val="000000"/>
          <w:szCs w:val="21"/>
        </w:rPr>
        <w:t>2.</w:t>
      </w:r>
      <w:r>
        <w:rPr>
          <w:rFonts w:ascii="宋体" w:hAnsi="宋体" w:cs="宋体" w:hint="eastAsia"/>
          <w:color w:val="000000"/>
          <w:szCs w:val="21"/>
        </w:rPr>
        <w:t>3</w:t>
      </w:r>
      <w:r>
        <w:rPr>
          <w:rFonts w:ascii="宋体" w:hAnsi="宋体" w:cs="宋体" w:hint="eastAsia"/>
          <w:color w:val="000000"/>
          <w:szCs w:val="21"/>
        </w:rPr>
        <w:t>，</w:t>
      </w:r>
      <w:r>
        <w:rPr>
          <w:rFonts w:hint="eastAsia"/>
          <w:color w:val="000000"/>
        </w:rPr>
        <w:t>2006</w:t>
      </w:r>
      <w:r>
        <w:rPr>
          <w:rFonts w:hint="eastAsia"/>
          <w:color w:val="000000"/>
        </w:rPr>
        <w:t>年版的</w:t>
      </w:r>
      <w:r>
        <w:rPr>
          <w:rFonts w:hint="eastAsia"/>
          <w:color w:val="000000"/>
        </w:rPr>
        <w:t>6</w:t>
      </w:r>
      <w:r>
        <w:rPr>
          <w:rFonts w:ascii="宋体" w:hAnsi="宋体" w:cs="宋体" w:hint="eastAsia"/>
          <w:color w:val="000000"/>
          <w:szCs w:val="21"/>
        </w:rPr>
        <w:t>.</w:t>
      </w:r>
      <w:r>
        <w:rPr>
          <w:rFonts w:hint="eastAsia"/>
          <w:color w:val="000000"/>
        </w:rPr>
        <w:t>2</w:t>
      </w:r>
      <w:r>
        <w:rPr>
          <w:rFonts w:ascii="宋体" w:hAnsi="宋体" w:cs="宋体" w:hint="eastAsia"/>
          <w:color w:val="000000"/>
          <w:szCs w:val="21"/>
        </w:rPr>
        <w:t>.3</w:t>
      </w:r>
      <w:r>
        <w:rPr>
          <w:rFonts w:ascii="宋体" w:hAnsi="宋体" w:cs="宋体" w:hint="eastAsia"/>
          <w:color w:val="000000"/>
          <w:szCs w:val="21"/>
        </w:rPr>
        <w:t>）</w:t>
      </w:r>
      <w:r>
        <w:rPr>
          <w:rFonts w:ascii="等线" w:hAnsi="等线" w:cs="等线" w:hint="eastAsia"/>
          <w:color w:val="000000"/>
          <w:szCs w:val="21"/>
        </w:rPr>
        <w:t>；</w:t>
      </w:r>
    </w:p>
    <w:p w:rsidR="00A200F2">
      <w:pPr>
        <w:numPr>
          <w:ilvl w:val="0"/>
          <w:numId w:val="20"/>
        </w:numPr>
        <w:tabs>
          <w:tab w:val="left" w:pos="312"/>
        </w:tabs>
        <w:ind w:firstLine="424" w:firstLineChars="202"/>
        <w:outlineLvl w:val="0"/>
        <w:rPr>
          <w:rFonts w:hAnsi="宋体" w:cs="宋体" w:hint="eastAsia"/>
          <w:color w:val="000000"/>
        </w:rPr>
      </w:pPr>
      <w:r>
        <w:rPr>
          <w:rFonts w:ascii="等线" w:hAnsi="等线" w:cs="等线" w:hint="eastAsia"/>
          <w:color w:val="000000"/>
          <w:szCs w:val="21"/>
        </w:rPr>
        <w:t>更改了移动壁障的尺寸和质量</w:t>
      </w:r>
      <w:r>
        <w:rPr>
          <w:rFonts w:ascii="宋体" w:hAnsi="宋体" w:cs="宋体" w:hint="eastAsia"/>
          <w:color w:val="000000"/>
          <w:szCs w:val="21"/>
        </w:rPr>
        <w:t>（见第6.2.4</w:t>
      </w:r>
      <w:r>
        <w:rPr>
          <w:rFonts w:ascii="宋体" w:hAnsi="宋体" w:cs="宋体" w:hint="eastAsia"/>
          <w:color w:val="000000"/>
          <w:szCs w:val="21"/>
        </w:rPr>
        <w:t>，</w:t>
      </w:r>
      <w:r>
        <w:rPr>
          <w:rFonts w:hint="eastAsia"/>
          <w:color w:val="000000"/>
        </w:rPr>
        <w:t>2006</w:t>
      </w:r>
      <w:r>
        <w:rPr>
          <w:rFonts w:hint="eastAsia"/>
          <w:color w:val="000000"/>
        </w:rPr>
        <w:t>年版的</w:t>
      </w:r>
      <w:r>
        <w:rPr>
          <w:rFonts w:hint="eastAsia"/>
          <w:color w:val="000000"/>
        </w:rPr>
        <w:t>6</w:t>
      </w:r>
      <w:r>
        <w:rPr>
          <w:rFonts w:ascii="宋体" w:hAnsi="宋体" w:cs="宋体" w:hint="eastAsia"/>
          <w:color w:val="000000"/>
          <w:szCs w:val="21"/>
        </w:rPr>
        <w:t>.</w:t>
      </w:r>
      <w:r>
        <w:rPr>
          <w:rFonts w:hint="eastAsia"/>
          <w:color w:val="000000"/>
        </w:rPr>
        <w:t>2</w:t>
      </w:r>
      <w:r>
        <w:rPr>
          <w:rFonts w:ascii="宋体" w:hAnsi="宋体" w:cs="宋体" w:hint="eastAsia"/>
          <w:color w:val="000000"/>
          <w:szCs w:val="21"/>
        </w:rPr>
        <w:t>.4</w:t>
      </w:r>
      <w:r>
        <w:rPr>
          <w:rFonts w:ascii="宋体" w:hAnsi="宋体" w:cs="宋体" w:hint="eastAsia"/>
          <w:color w:val="000000"/>
          <w:szCs w:val="21"/>
        </w:rPr>
        <w:t>）</w:t>
      </w:r>
      <w:r>
        <w:rPr>
          <w:rFonts w:ascii="等线" w:hAnsi="等线" w:cs="等线" w:hint="eastAsia"/>
          <w:color w:val="000000"/>
          <w:szCs w:val="21"/>
        </w:rPr>
        <w:t>；</w:t>
      </w:r>
    </w:p>
    <w:p w:rsidR="00A200F2">
      <w:pPr>
        <w:numPr>
          <w:ilvl w:val="0"/>
          <w:numId w:val="20"/>
        </w:numPr>
        <w:tabs>
          <w:tab w:val="left" w:pos="312"/>
        </w:tabs>
        <w:ind w:firstLine="424" w:firstLineChars="202"/>
        <w:outlineLvl w:val="0"/>
        <w:rPr>
          <w:rFonts w:hAnsi="宋体" w:cs="宋体" w:hint="eastAsia"/>
          <w:color w:val="000000"/>
        </w:rPr>
      </w:pPr>
      <w:r>
        <w:rPr>
          <w:rFonts w:ascii="等线" w:hAnsi="等线" w:cs="等线" w:hint="eastAsia"/>
          <w:color w:val="000000"/>
          <w:szCs w:val="21"/>
        </w:rPr>
        <w:t>删除了车辆型式的变更</w:t>
      </w:r>
      <w:r>
        <w:rPr>
          <w:rFonts w:ascii="宋体" w:hAnsi="宋体" w:cs="宋体" w:hint="eastAsia"/>
          <w:color w:val="000000"/>
          <w:szCs w:val="21"/>
        </w:rPr>
        <w:t>（见</w:t>
      </w:r>
      <w:r>
        <w:rPr>
          <w:rFonts w:hint="eastAsia"/>
          <w:color w:val="000000"/>
        </w:rPr>
        <w:t>2006</w:t>
      </w:r>
      <w:r>
        <w:rPr>
          <w:rFonts w:hint="eastAsia"/>
          <w:color w:val="000000"/>
        </w:rPr>
        <w:t>年版的</w:t>
      </w:r>
      <w:r>
        <w:rPr>
          <w:rFonts w:hAnsi="宋体" w:cs="宋体" w:hint="eastAsia"/>
          <w:color w:val="000000"/>
        </w:rPr>
        <w:t>第</w:t>
      </w:r>
      <w:r>
        <w:rPr>
          <w:rFonts w:hAnsi="宋体" w:cs="宋体" w:hint="eastAsia"/>
          <w:color w:val="000000"/>
        </w:rPr>
        <w:t>7</w:t>
      </w:r>
      <w:r>
        <w:rPr>
          <w:rFonts w:hAnsi="宋体" w:cs="宋体" w:hint="eastAsia"/>
          <w:color w:val="000000"/>
        </w:rPr>
        <w:t>章</w:t>
      </w:r>
      <w:r>
        <w:rPr>
          <w:rFonts w:ascii="宋体" w:hAnsi="宋体" w:cs="宋体" w:hint="eastAsia"/>
          <w:color w:val="000000"/>
          <w:szCs w:val="21"/>
        </w:rPr>
        <w:t>）</w:t>
      </w:r>
      <w:r>
        <w:rPr>
          <w:rFonts w:ascii="宋体" w:hAnsi="宋体" w:cs="宋体" w:hint="eastAsia"/>
          <w:color w:val="000000"/>
          <w:szCs w:val="21"/>
        </w:rPr>
        <w:t>；</w:t>
      </w:r>
    </w:p>
    <w:p w:rsidR="00A200F2">
      <w:pPr>
        <w:numPr>
          <w:ilvl w:val="0"/>
          <w:numId w:val="20"/>
        </w:numPr>
        <w:tabs>
          <w:tab w:val="left" w:pos="312"/>
        </w:tabs>
        <w:ind w:firstLine="424" w:firstLineChars="202"/>
        <w:outlineLvl w:val="0"/>
        <w:rPr>
          <w:rFonts w:hAnsi="宋体" w:cs="宋体" w:hint="eastAsia"/>
          <w:color w:val="000000"/>
        </w:rPr>
      </w:pPr>
      <w:r>
        <w:rPr>
          <w:rFonts w:hAnsi="宋体" w:cs="宋体" w:hint="eastAsia"/>
          <w:color w:val="000000"/>
        </w:rPr>
        <w:t>增加了同一型式判定（见第</w:t>
      </w:r>
      <w:r>
        <w:rPr>
          <w:rFonts w:hAnsi="宋体" w:cs="宋体" w:hint="eastAsia"/>
          <w:color w:val="000000"/>
        </w:rPr>
        <w:t>7</w:t>
      </w:r>
      <w:r>
        <w:rPr>
          <w:rFonts w:hAnsi="宋体" w:cs="宋体" w:hint="eastAsia"/>
          <w:color w:val="000000"/>
        </w:rPr>
        <w:t>章）；</w:t>
      </w:r>
    </w:p>
    <w:p w:rsidR="00A200F2">
      <w:pPr>
        <w:numPr>
          <w:ilvl w:val="0"/>
          <w:numId w:val="20"/>
        </w:numPr>
        <w:tabs>
          <w:tab w:val="left" w:pos="312"/>
        </w:tabs>
        <w:ind w:firstLine="424" w:firstLineChars="202"/>
        <w:outlineLvl w:val="0"/>
        <w:rPr>
          <w:rFonts w:hAnsi="宋体" w:cs="宋体" w:hint="eastAsia"/>
          <w:color w:val="000000"/>
        </w:rPr>
      </w:pPr>
      <w:r>
        <w:rPr>
          <w:rFonts w:hAnsi="宋体" w:cs="宋体" w:hint="eastAsia"/>
          <w:color w:val="000000"/>
        </w:rPr>
        <w:t>增加了实施过渡期（见第</w:t>
      </w:r>
      <w:r>
        <w:rPr>
          <w:rFonts w:hAnsi="宋体" w:cs="宋体" w:hint="eastAsia"/>
          <w:color w:val="000000"/>
        </w:rPr>
        <w:t>8</w:t>
      </w:r>
      <w:r>
        <w:rPr>
          <w:rFonts w:hAnsi="宋体" w:cs="宋体" w:hint="eastAsia"/>
          <w:color w:val="000000"/>
        </w:rPr>
        <w:t>章）</w:t>
      </w:r>
      <w:r>
        <w:rPr>
          <w:rFonts w:hAnsi="宋体" w:cs="宋体" w:hint="eastAsia"/>
          <w:color w:val="000000"/>
        </w:rPr>
        <w:t>；</w:t>
      </w:r>
    </w:p>
    <w:p w:rsidR="00A200F2">
      <w:pPr>
        <w:numPr>
          <w:ilvl w:val="0"/>
          <w:numId w:val="20"/>
        </w:numPr>
        <w:tabs>
          <w:tab w:val="left" w:pos="312"/>
        </w:tabs>
        <w:ind w:firstLine="424" w:firstLineChars="202"/>
        <w:outlineLvl w:val="0"/>
        <w:rPr>
          <w:rFonts w:hAnsi="宋体" w:cs="宋体" w:hint="eastAsia"/>
          <w:color w:val="000000"/>
        </w:rPr>
      </w:pPr>
      <w:r>
        <w:rPr>
          <w:rFonts w:hAnsi="宋体" w:cs="宋体" w:hint="eastAsia"/>
          <w:color w:val="000000"/>
        </w:rPr>
        <w:t>删除了附录</w:t>
      </w:r>
      <w:r>
        <w:rPr>
          <w:rFonts w:hAnsi="宋体" w:cs="宋体" w:hint="eastAsia"/>
          <w:color w:val="000000"/>
        </w:rPr>
        <w:t>A</w:t>
      </w:r>
      <w:r>
        <w:rPr>
          <w:rFonts w:hAnsi="宋体" w:cs="宋体" w:hint="eastAsia"/>
          <w:color w:val="000000"/>
        </w:rPr>
        <w:t>，本标准章条编号与ECE R</w:t>
      </w:r>
      <w:r>
        <w:rPr>
          <w:rFonts w:hAnsi="宋体" w:cs="宋体" w:hint="eastAsia"/>
          <w:color w:val="000000"/>
        </w:rPr>
        <w:t>34</w:t>
      </w:r>
      <w:r>
        <w:rPr>
          <w:rFonts w:hAnsi="宋体" w:cs="宋体" w:hint="eastAsia"/>
          <w:color w:val="000000"/>
        </w:rPr>
        <w:t>章条编号对照表（见2006版的附录</w:t>
      </w:r>
      <w:r>
        <w:rPr>
          <w:rFonts w:hAnsi="宋体" w:cs="宋体" w:hint="eastAsia"/>
          <w:color w:val="000000"/>
        </w:rPr>
        <w:t>A</w:t>
      </w:r>
      <w:r>
        <w:rPr>
          <w:rFonts w:hAnsi="宋体" w:cs="宋体" w:hint="eastAsia"/>
          <w:color w:val="000000"/>
        </w:rPr>
        <w:t>）。</w:t>
      </w:r>
    </w:p>
    <w:p w:rsidR="00A200F2">
      <w:pPr>
        <w:ind w:firstLine="420" w:firstLineChars="200"/>
        <w:rPr>
          <w:rFonts w:ascii="宋体" w:hAnsi="宋体"/>
          <w:color w:val="000000"/>
        </w:rPr>
      </w:pPr>
      <w:r>
        <w:rPr>
          <w:rFonts w:ascii="宋体" w:hAnsi="宋体" w:hint="eastAsia"/>
          <w:color w:val="000000"/>
        </w:rPr>
        <w:t>本文件由中华人民共和国工业和信息化部提出并归口。</w:t>
      </w:r>
    </w:p>
    <w:p w:rsidR="00A200F2">
      <w:pPr>
        <w:pStyle w:val="a2"/>
        <w:rPr>
          <w:rFonts w:hint="eastAsia"/>
          <w:color w:val="000000"/>
        </w:rPr>
      </w:pPr>
      <w:r>
        <w:rPr>
          <w:rFonts w:hint="eastAsia"/>
          <w:color w:val="000000"/>
        </w:rPr>
        <w:t>本文件所代替标准的历次版本发布情况为：</w:t>
      </w:r>
    </w:p>
    <w:p w:rsidR="00A200F2">
      <w:pPr>
        <w:pStyle w:val="a2"/>
        <w:ind w:firstLine="840" w:firstLineChars="400"/>
        <w:rPr>
          <w:rFonts w:hint="eastAsia"/>
          <w:color w:val="000000"/>
        </w:rPr>
      </w:pPr>
      <w:r>
        <w:rPr>
          <w:rFonts w:hAnsi="宋体" w:cs="宋体" w:hint="eastAsia"/>
          <w:color w:val="000000"/>
        </w:rPr>
        <w:t>——</w:t>
      </w:r>
      <w:r>
        <w:rPr>
          <w:rFonts w:hint="eastAsia"/>
          <w:color w:val="000000"/>
        </w:rPr>
        <w:t>本文件于2</w:t>
      </w:r>
      <w:r>
        <w:rPr>
          <w:color w:val="000000"/>
        </w:rPr>
        <w:t>00</w:t>
      </w:r>
      <w:r>
        <w:rPr>
          <w:rFonts w:hint="eastAsia"/>
          <w:color w:val="000000"/>
        </w:rPr>
        <w:t>6年首次发布，本次为第一次修订</w:t>
      </w:r>
      <w:r>
        <w:rPr>
          <w:rFonts w:hint="eastAsia"/>
          <w:color w:val="000000"/>
        </w:rPr>
        <w:t>。</w:t>
      </w:r>
    </w:p>
    <w:p w:rsidR="00A200F2">
      <w:pPr>
        <w:pStyle w:val="a78"/>
        <w:rPr>
          <w:rFonts w:hint="eastAsia"/>
          <w:color w:val="000000"/>
        </w:rPr>
        <w:sectPr w:rsidSect="00A200F2">
          <w:headerReference w:type="default" r:id="rId7"/>
          <w:footerReference w:type="default" r:id="rId8"/>
          <w:type w:val="nextPage"/>
          <w:pgSz w:w="11906" w:h="16838"/>
          <w:pgMar w:top="567" w:right="1134" w:bottom="1134" w:left="1418" w:header="1418" w:footer="1134" w:gutter="0"/>
          <w:pgNumType w:fmt="upperRoman" w:start="2"/>
          <w:cols w:space="720"/>
          <w:formProt w:val="0"/>
          <w:titlePg w:val="0"/>
          <w:docGrid w:type="lines" w:linePitch="312"/>
        </w:sectPr>
      </w:pPr>
      <w:bookmarkStart w:id="20" w:name="_Toc22630075"/>
      <w:bookmarkStart w:id="21" w:name="_Toc21438212"/>
      <w:bookmarkStart w:id="22" w:name="_Toc35929718"/>
    </w:p>
    <w:p w:rsidR="00A200F2">
      <w:pPr>
        <w:pStyle w:val="a78"/>
        <w:rPr>
          <w:color w:val="000000"/>
        </w:rPr>
      </w:pPr>
      <w:r>
        <w:rPr>
          <w:rFonts w:hint="eastAsia"/>
          <w:color w:val="000000"/>
        </w:rPr>
        <w:t>乘用车后碰撞安全要求</w:t>
      </w:r>
      <w:bookmarkEnd w:id="20"/>
      <w:bookmarkEnd w:id="21"/>
      <w:bookmarkEnd w:id="22"/>
    </w:p>
    <w:p w:rsidR="00A200F2">
      <w:pPr>
        <w:pStyle w:val="a8"/>
        <w:spacing w:before="156" w:beforeLines="50" w:after="156" w:afterLines="50"/>
        <w:outlineLvl w:val="0"/>
        <w:rPr>
          <w:color w:val="000000"/>
        </w:rPr>
      </w:pPr>
      <w:bookmarkStart w:id="23" w:name="_Toc35929719"/>
      <w:bookmarkStart w:id="24" w:name="_Toc21425511"/>
      <w:r>
        <w:rPr>
          <w:rFonts w:hint="eastAsia"/>
          <w:color w:val="000000"/>
        </w:rPr>
        <w:t>范围</w:t>
      </w:r>
      <w:bookmarkEnd w:id="23"/>
      <w:bookmarkEnd w:id="24"/>
    </w:p>
    <w:p w:rsidR="00A200F2">
      <w:pPr>
        <w:pStyle w:val="a2"/>
        <w:rPr>
          <w:color w:val="000000"/>
        </w:rPr>
      </w:pPr>
      <w:r>
        <w:rPr>
          <w:rFonts w:hint="eastAsia"/>
          <w:color w:val="000000"/>
        </w:rPr>
        <w:t>本文件规定了乘用车后碰撞安全要求和试验方法。</w:t>
      </w:r>
    </w:p>
    <w:p w:rsidR="00A200F2">
      <w:pPr>
        <w:pStyle w:val="a2"/>
        <w:rPr>
          <w:rFonts w:hint="eastAsia"/>
          <w:color w:val="000000"/>
        </w:rPr>
      </w:pPr>
      <w:r>
        <w:rPr>
          <w:rFonts w:hint="eastAsia"/>
          <w:color w:val="000000"/>
        </w:rPr>
        <w:t>本文件适用于M</w:t>
      </w:r>
      <w:r>
        <w:rPr>
          <w:rFonts w:hint="eastAsia"/>
          <w:color w:val="000000"/>
          <w:vertAlign w:val="subscript"/>
        </w:rPr>
        <w:t>1</w:t>
      </w:r>
      <w:r>
        <w:rPr>
          <w:rFonts w:hint="eastAsia"/>
          <w:color w:val="000000"/>
        </w:rPr>
        <w:t>类汽车。</w:t>
      </w:r>
    </w:p>
    <w:p w:rsidR="00A200F2">
      <w:pPr>
        <w:pStyle w:val="a8"/>
        <w:spacing w:before="156" w:beforeLines="50" w:after="156" w:afterLines="50"/>
        <w:outlineLvl w:val="0"/>
        <w:rPr>
          <w:color w:val="000000"/>
        </w:rPr>
      </w:pPr>
      <w:bookmarkStart w:id="25" w:name="_Toc21425512"/>
      <w:bookmarkStart w:id="26" w:name="_Toc35929720"/>
      <w:r>
        <w:rPr>
          <w:rFonts w:hint="eastAsia"/>
          <w:color w:val="000000"/>
        </w:rPr>
        <w:t>规范性引用文件</w:t>
      </w:r>
      <w:bookmarkEnd w:id="25"/>
      <w:bookmarkEnd w:id="26"/>
    </w:p>
    <w:p w:rsidR="00A200F2">
      <w:pPr>
        <w:pStyle w:val="a2"/>
        <w:rPr>
          <w:color w:val="000000"/>
        </w:rPr>
      </w:pPr>
      <w:r>
        <w:rPr>
          <w:rFonts w:hint="eastAsia"/>
          <w:color w:val="000000"/>
        </w:rPr>
        <w:t>下列文件中的内容通过文中本文件的规范</w:t>
      </w:r>
      <w:r>
        <w:rPr>
          <w:rFonts w:hint="eastAsia"/>
          <w:color w:val="000000"/>
        </w:rPr>
        <w:t xml:space="preserve">性引用而构成本文件必不可少的条款。其中，凡是注日期的引用文件，仅该日期对应的版本适用于本文件；不注日期的引用文件，其最新版本（包括所有的修改单）适用于本文件。 </w:t>
      </w:r>
      <w:r>
        <w:rPr>
          <w:color w:val="000000"/>
        </w:rPr>
        <w:t xml:space="preserve"> </w:t>
      </w:r>
    </w:p>
    <w:p w:rsidR="00A200F2">
      <w:pPr>
        <w:pStyle w:val="a2"/>
        <w:rPr>
          <w:rFonts w:hint="eastAsia"/>
          <w:color w:val="000000"/>
        </w:rPr>
      </w:pPr>
      <w:r>
        <w:rPr>
          <w:rFonts w:hAnsi="宋体" w:hint="eastAsia"/>
          <w:color w:val="000000"/>
        </w:rPr>
        <w:t>GB 11551    汽车正面碰撞的乘员保护</w:t>
      </w:r>
    </w:p>
    <w:p w:rsidR="00A200F2">
      <w:pPr>
        <w:pStyle w:val="a2"/>
        <w:rPr>
          <w:rFonts w:hAnsi="宋体" w:hint="eastAsia"/>
          <w:color w:val="000000"/>
        </w:rPr>
      </w:pPr>
      <w:r>
        <w:rPr>
          <w:rFonts w:hint="eastAsia"/>
          <w:color w:val="000000"/>
        </w:rPr>
        <w:t>GB 18296    汽车燃油箱安全性能要求和试验方法</w:t>
      </w:r>
    </w:p>
    <w:p w:rsidR="00A200F2">
      <w:pPr>
        <w:pStyle w:val="a2"/>
        <w:rPr>
          <w:rFonts w:hAnsi="宋体" w:hint="eastAsia"/>
          <w:color w:val="000000"/>
        </w:rPr>
      </w:pPr>
      <w:r>
        <w:rPr>
          <w:rFonts w:hAnsi="宋体" w:hint="eastAsia"/>
          <w:color w:val="000000"/>
        </w:rPr>
        <w:t>GB/T 31498</w:t>
      </w:r>
      <w:r>
        <w:rPr>
          <w:rFonts w:hAnsi="宋体" w:hint="eastAsia"/>
          <w:color w:val="000000"/>
        </w:rPr>
        <w:t>-2021</w:t>
      </w:r>
      <w:r>
        <w:rPr>
          <w:rFonts w:hAnsi="宋体" w:hint="eastAsia"/>
          <w:color w:val="000000"/>
        </w:rPr>
        <w:t xml:space="preserve">  电动汽车碰撞后安全要求</w:t>
      </w:r>
    </w:p>
    <w:p w:rsidR="00A200F2">
      <w:pPr>
        <w:pStyle w:val="a8"/>
        <w:spacing w:before="156" w:beforeLines="50" w:after="156" w:afterLines="50"/>
        <w:outlineLvl w:val="0"/>
        <w:rPr>
          <w:color w:val="000000"/>
        </w:rPr>
      </w:pPr>
      <w:bookmarkStart w:id="27" w:name="_Toc21425513"/>
      <w:bookmarkStart w:id="28" w:name="_Toc35929721"/>
      <w:r>
        <w:rPr>
          <w:rFonts w:hint="eastAsia"/>
          <w:color w:val="000000"/>
        </w:rPr>
        <w:t>术语和定义</w:t>
      </w:r>
      <w:bookmarkEnd w:id="27"/>
      <w:bookmarkEnd w:id="28"/>
    </w:p>
    <w:p w:rsidR="00A200F2">
      <w:pPr>
        <w:pStyle w:val="a2"/>
        <w:rPr>
          <w:color w:val="000000"/>
          <w:szCs w:val="21"/>
        </w:rPr>
      </w:pPr>
      <w:r>
        <w:rPr>
          <w:rFonts w:ascii="Cambria" w:hAnsi="Cambria"/>
          <w:color w:val="000000"/>
          <w:szCs w:val="21"/>
        </w:rPr>
        <w:t>下列</w:t>
      </w:r>
      <w:r>
        <w:rPr>
          <w:rFonts w:ascii="Cambria" w:hAnsi="Cambria" w:hint="eastAsia"/>
          <w:color w:val="000000"/>
          <w:szCs w:val="21"/>
        </w:rPr>
        <w:t>术语和</w:t>
      </w:r>
      <w:r>
        <w:rPr>
          <w:rFonts w:ascii="Cambria" w:hAnsi="Cambria"/>
          <w:color w:val="000000"/>
          <w:szCs w:val="21"/>
        </w:rPr>
        <w:t>定义适用于本</w:t>
      </w:r>
      <w:r>
        <w:rPr>
          <w:rFonts w:ascii="Cambria" w:hAnsi="Cambria" w:hint="eastAsia"/>
          <w:color w:val="000000"/>
          <w:szCs w:val="21"/>
        </w:rPr>
        <w:t>文件。</w:t>
      </w:r>
    </w:p>
    <w:p w:rsidR="00A200F2">
      <w:pPr>
        <w:pStyle w:val="a7"/>
        <w:rPr>
          <w:color w:val="000000"/>
        </w:rPr>
      </w:pPr>
      <w:bookmarkStart w:id="29" w:name="_Toc22630079"/>
      <w:bookmarkStart w:id="30" w:name="_Toc21425514"/>
      <w:bookmarkStart w:id="31" w:name="_Toc35929722"/>
      <w:bookmarkStart w:id="32" w:name="_Toc21438216"/>
      <w:bookmarkStart w:id="33" w:name="_Toc21437883"/>
      <w:bookmarkStart w:id="34" w:name="_Toc35929723"/>
      <w:bookmarkStart w:id="35" w:name="_Toc21437882"/>
      <w:bookmarkStart w:id="36" w:name="_Toc21438217"/>
      <w:bookmarkStart w:id="37" w:name="_Toc22630080"/>
      <w:bookmarkEnd w:id="29"/>
      <w:bookmarkEnd w:id="30"/>
      <w:bookmarkEnd w:id="31"/>
      <w:bookmarkEnd w:id="32"/>
      <w:bookmarkEnd w:id="33"/>
      <w:bookmarkEnd w:id="34"/>
      <w:bookmarkEnd w:id="35"/>
      <w:bookmarkEnd w:id="36"/>
      <w:bookmarkEnd w:id="37"/>
    </w:p>
    <w:p w:rsidR="00A200F2">
      <w:pPr>
        <w:pStyle w:val="a2"/>
        <w:rPr>
          <w:rFonts w:ascii="黑体" w:eastAsia="黑体" w:hAnsi="黑体"/>
          <w:color w:val="000000"/>
        </w:rPr>
      </w:pPr>
      <w:r>
        <w:rPr>
          <w:rFonts w:ascii="黑体" w:eastAsia="黑体" w:hAnsi="黑体" w:hint="eastAsia"/>
          <w:color w:val="000000"/>
        </w:rPr>
        <w:t>乘员舱 passenger</w:t>
      </w:r>
      <w:r>
        <w:rPr>
          <w:rFonts w:ascii="黑体" w:eastAsia="黑体" w:hAnsi="黑体"/>
          <w:color w:val="000000"/>
        </w:rPr>
        <w:t xml:space="preserve"> </w:t>
      </w:r>
      <w:r>
        <w:rPr>
          <w:rFonts w:ascii="黑体" w:eastAsia="黑体" w:hAnsi="黑体" w:hint="eastAsia"/>
          <w:color w:val="000000"/>
        </w:rPr>
        <w:t>compartment</w:t>
      </w:r>
    </w:p>
    <w:p w:rsidR="00A200F2">
      <w:pPr>
        <w:pStyle w:val="a2"/>
        <w:rPr>
          <w:rFonts w:hint="eastAsia"/>
          <w:color w:val="000000"/>
        </w:rPr>
      </w:pPr>
      <w:r>
        <w:rPr>
          <w:rFonts w:hint="eastAsia"/>
          <w:color w:val="000000"/>
        </w:rPr>
        <w:t>由顶盖、地板、侧围、车门、玻璃窗和前围、后围或后座椅靠背支撑板（以及防止乘员接触带电部件的电气保护遮栏、外壳）围成的容纳乘员的空间</w:t>
      </w:r>
      <w:r>
        <w:rPr>
          <w:rFonts w:hint="eastAsia"/>
          <w:color w:val="000000"/>
        </w:rPr>
        <w:t>。</w:t>
      </w:r>
    </w:p>
    <w:p w:rsidR="00A200F2">
      <w:pPr>
        <w:pStyle w:val="a7"/>
        <w:rPr>
          <w:color w:val="000000"/>
        </w:rPr>
      </w:pPr>
      <w:bookmarkStart w:id="38" w:name="_Toc35929724"/>
      <w:bookmarkEnd w:id="38"/>
    </w:p>
    <w:p w:rsidR="00A200F2">
      <w:pPr>
        <w:pStyle w:val="a2"/>
        <w:rPr>
          <w:rFonts w:ascii="黑体" w:eastAsia="黑体" w:hAnsi="黑体"/>
          <w:color w:val="000000"/>
        </w:rPr>
      </w:pPr>
      <w:r>
        <w:rPr>
          <w:rFonts w:ascii="黑体" w:eastAsia="黑体" w:hAnsi="黑体" w:hint="eastAsia"/>
          <w:color w:val="000000"/>
          <w:szCs w:val="21"/>
        </w:rPr>
        <w:t>整备质量  unladen kerb mass</w:t>
      </w:r>
      <w:r>
        <w:rPr>
          <w:rFonts w:ascii="黑体" w:eastAsia="黑体" w:hAnsi="黑体"/>
          <w:color w:val="000000"/>
          <w:szCs w:val="21"/>
        </w:rPr>
        <w:t xml:space="preserve"> </w:t>
      </w:r>
    </w:p>
    <w:p w:rsidR="00A200F2">
      <w:pPr>
        <w:pStyle w:val="a2"/>
        <w:rPr>
          <w:rFonts w:hint="eastAsia"/>
          <w:color w:val="000000"/>
        </w:rPr>
      </w:pPr>
      <w:r>
        <w:rPr>
          <w:rFonts w:hint="eastAsia"/>
          <w:color w:val="000000"/>
        </w:rPr>
        <w:t>处于运行状态的车辆质量，不包括驾驶员、乘员和货物，燃油箱（若有</w:t>
      </w:r>
      <w:r>
        <w:rPr>
          <w:rFonts w:hint="eastAsia"/>
          <w:color w:val="000000"/>
        </w:rPr>
        <w:t>，</w:t>
      </w:r>
      <w:r>
        <w:rPr>
          <w:rFonts w:hint="eastAsia"/>
          <w:color w:val="000000"/>
        </w:rPr>
        <w:t>需要加入总容量90%的燃料）和/或车载储能装置，冷却液、润滑油容量</w:t>
      </w:r>
      <w:r>
        <w:rPr>
          <w:rFonts w:hint="eastAsia"/>
          <w:color w:val="000000"/>
        </w:rPr>
        <w:t>符合</w:t>
      </w:r>
      <w:r>
        <w:rPr>
          <w:rFonts w:hint="eastAsia"/>
          <w:color w:val="000000"/>
        </w:rPr>
        <w:t>制造厂要求并带有随车工具和备胎（</w:t>
      </w:r>
      <w:r>
        <w:rPr>
          <w:rFonts w:hint="eastAsia"/>
          <w:color w:val="000000"/>
        </w:rPr>
        <w:t>若</w:t>
      </w:r>
      <w:r>
        <w:rPr>
          <w:rFonts w:hint="eastAsia"/>
          <w:color w:val="000000"/>
        </w:rPr>
        <w:t>车辆制造厂作为标准装备提供）。</w:t>
      </w:r>
    </w:p>
    <w:p w:rsidR="00A200F2">
      <w:pPr>
        <w:pStyle w:val="a7"/>
        <w:rPr>
          <w:color w:val="000000"/>
        </w:rPr>
      </w:pPr>
      <w:bookmarkStart w:id="39" w:name="_Toc22630084"/>
      <w:bookmarkStart w:id="40" w:name="_Toc21438221"/>
      <w:bookmarkStart w:id="41" w:name="_Toc35929725"/>
      <w:bookmarkStart w:id="42" w:name="_Toc21437887"/>
      <w:bookmarkEnd w:id="39"/>
      <w:bookmarkEnd w:id="40"/>
      <w:bookmarkEnd w:id="41"/>
      <w:bookmarkEnd w:id="42"/>
    </w:p>
    <w:p w:rsidR="00A200F2">
      <w:pPr>
        <w:pStyle w:val="a2"/>
        <w:rPr>
          <w:rFonts w:ascii="黑体" w:eastAsia="黑体" w:hAnsi="黑体"/>
          <w:color w:val="000000"/>
          <w:szCs w:val="21"/>
        </w:rPr>
      </w:pPr>
      <w:r>
        <w:rPr>
          <w:rFonts w:ascii="黑体" w:eastAsia="黑体" w:hAnsi="黑体" w:hint="eastAsia"/>
          <w:color w:val="000000"/>
          <w:szCs w:val="21"/>
        </w:rPr>
        <w:t>燃油箱 tank</w:t>
      </w:r>
    </w:p>
    <w:p w:rsidR="00A200F2">
      <w:pPr>
        <w:pStyle w:val="a2"/>
        <w:rPr>
          <w:color w:val="000000"/>
        </w:rPr>
      </w:pPr>
      <w:r>
        <w:rPr>
          <w:rFonts w:hint="eastAsia"/>
          <w:color w:val="000000"/>
        </w:rPr>
        <w:t>固定于汽车上用于存贮燃油的独立箱体总成</w:t>
      </w:r>
      <w:r>
        <w:rPr>
          <w:rFonts w:hint="eastAsia"/>
          <w:color w:val="000000"/>
        </w:rPr>
        <w:t>，</w:t>
      </w:r>
      <w:r>
        <w:rPr>
          <w:rFonts w:hint="eastAsia"/>
          <w:color w:val="000000"/>
        </w:rPr>
        <w:t>由</w:t>
      </w:r>
      <w:r>
        <w:rPr>
          <w:rFonts w:hint="eastAsia"/>
          <w:color w:val="000000"/>
        </w:rPr>
        <w:t>燃油箱体、加油管、加油口、燃油箱盖、管接头及其他附属装置装配成的整体</w:t>
      </w:r>
      <w:r>
        <w:rPr>
          <w:rFonts w:hAnsi="宋体" w:hint="eastAsia"/>
          <w:color w:val="000000"/>
        </w:rPr>
        <w:t>。</w:t>
      </w:r>
    </w:p>
    <w:p w:rsidR="00A200F2">
      <w:pPr>
        <w:pStyle w:val="a7"/>
        <w:numPr>
          <w:ilvl w:val="0"/>
          <w:numId w:val="0"/>
        </w:numPr>
        <w:rPr>
          <w:rFonts w:hint="eastAsia"/>
          <w:color w:val="000000"/>
        </w:rPr>
      </w:pPr>
      <w:r>
        <w:rPr>
          <w:rFonts w:hint="eastAsia"/>
          <w:color w:val="000000"/>
        </w:rPr>
        <w:t>3.</w:t>
      </w:r>
      <w:r>
        <w:rPr>
          <w:rFonts w:hint="eastAsia"/>
          <w:color w:val="000000"/>
        </w:rPr>
        <w:t>4</w:t>
      </w:r>
    </w:p>
    <w:p w:rsidR="00A200F2">
      <w:pPr>
        <w:pStyle w:val="a2"/>
        <w:adjustRightInd w:val="0"/>
        <w:snapToGrid w:val="0"/>
        <w:rPr>
          <w:rFonts w:ascii="黑体" w:eastAsia="黑体" w:hAnsi="黑体" w:hint="eastAsia"/>
          <w:color w:val="000000"/>
          <w:szCs w:val="21"/>
        </w:rPr>
      </w:pPr>
      <w:r>
        <w:rPr>
          <w:rFonts w:ascii="黑体" w:eastAsia="黑体" w:hAnsi="黑体" w:hint="eastAsia"/>
          <w:color w:val="000000"/>
          <w:szCs w:val="21"/>
        </w:rPr>
        <w:t xml:space="preserve">可充电储能系统 rechargeable </w:t>
      </w:r>
      <w:r>
        <w:rPr>
          <w:rFonts w:ascii="黑体" w:eastAsia="黑体" w:hAnsi="黑体" w:hint="eastAsia"/>
          <w:bCs/>
          <w:color w:val="000000"/>
          <w:szCs w:val="21"/>
        </w:rPr>
        <w:t>electr</w:t>
      </w:r>
      <w:r>
        <w:rPr>
          <w:rFonts w:ascii="黑体" w:eastAsia="黑体" w:hAnsi="黑体" w:hint="eastAsia"/>
          <w:bCs/>
          <w:color w:val="000000"/>
          <w:szCs w:val="21"/>
        </w:rPr>
        <w:t xml:space="preserve">ical </w:t>
      </w:r>
      <w:r>
        <w:rPr>
          <w:rFonts w:ascii="黑体" w:eastAsia="黑体" w:hAnsi="黑体" w:hint="eastAsia"/>
          <w:color w:val="000000"/>
          <w:szCs w:val="21"/>
        </w:rPr>
        <w:t>energy storage system(REESS)</w:t>
      </w:r>
    </w:p>
    <w:p w:rsidR="00A200F2">
      <w:pPr>
        <w:pStyle w:val="a2"/>
        <w:rPr>
          <w:rFonts w:hint="eastAsia"/>
          <w:color w:val="000000"/>
        </w:rPr>
      </w:pPr>
      <w:r>
        <w:rPr>
          <w:rFonts w:hint="eastAsia"/>
          <w:color w:val="000000"/>
        </w:rPr>
        <w:t>可充电的且可提供电能的能量储存系统。</w:t>
      </w:r>
    </w:p>
    <w:p w:rsidR="00A200F2">
      <w:pPr>
        <w:pStyle w:val="10"/>
        <w:spacing w:before="156" w:beforeLines="50" w:after="156" w:afterLines="50"/>
        <w:outlineLvl w:val="0"/>
        <w:rPr>
          <w:color w:val="000000"/>
        </w:rPr>
      </w:pPr>
      <w:bookmarkStart w:id="43" w:name="_Toc35929727"/>
      <w:r>
        <w:rPr>
          <w:rFonts w:hint="eastAsia"/>
          <w:color w:val="000000"/>
        </w:rPr>
        <w:t>一般要求</w:t>
      </w:r>
      <w:bookmarkEnd w:id="43"/>
    </w:p>
    <w:p w:rsidR="00A200F2">
      <w:pPr>
        <w:pStyle w:val="a7"/>
        <w:outlineLvl w:val="1"/>
        <w:rPr>
          <w:rFonts w:ascii="宋体" w:eastAsia="宋体" w:hAnsi="宋体" w:cs="宋体"/>
          <w:color w:val="000000"/>
        </w:rPr>
      </w:pPr>
      <w:bookmarkStart w:id="44" w:name="_Toc35929728"/>
      <w:r>
        <w:rPr>
          <w:rFonts w:hint="eastAsia"/>
          <w:color w:val="000000"/>
        </w:rPr>
        <w:t>燃油装置</w:t>
      </w:r>
      <w:bookmarkEnd w:id="44"/>
    </w:p>
    <w:p w:rsidR="00A200F2">
      <w:pPr>
        <w:pStyle w:val="a26"/>
        <w:numPr>
          <w:ilvl w:val="0"/>
          <w:numId w:val="0"/>
        </w:numPr>
        <w:spacing w:before="0" w:beforeLines="0" w:after="0" w:afterLines="0"/>
        <w:rPr>
          <w:rFonts w:ascii="宋体" w:eastAsia="宋体" w:hAnsi="宋体" w:cs="宋体" w:hint="eastAsia"/>
          <w:color w:val="000000"/>
        </w:rPr>
        <w:sectPr w:rsidSect="00A200F2">
          <w:headerReference w:type="default" r:id="rId9"/>
          <w:footerReference w:type="default" r:id="rId10"/>
          <w:pgSz w:w="11906" w:h="16838"/>
          <w:pgMar w:top="567" w:right="1134" w:bottom="1134" w:left="1418" w:header="1418" w:footer="1134" w:gutter="0"/>
          <w:pgNumType w:start="1"/>
          <w:cols w:space="720"/>
          <w:formProt w:val="0"/>
          <w:docGrid w:type="lines" w:linePitch="312"/>
        </w:sectPr>
      </w:pPr>
      <w:r>
        <w:rPr>
          <w:rFonts w:hAnsi="黑体" w:cs="黑体" w:hint="eastAsia"/>
          <w:color w:val="000000"/>
        </w:rPr>
        <w:t>4.1.1</w:t>
      </w:r>
      <w:r>
        <w:rPr>
          <w:rFonts w:ascii="宋体" w:eastAsia="宋体" w:hAnsi="宋体" w:cs="宋体" w:hint="eastAsia"/>
          <w:color w:val="000000"/>
        </w:rPr>
        <w:t xml:space="preserve"> </w:t>
      </w:r>
      <w:r>
        <w:rPr>
          <w:rFonts w:ascii="宋体" w:eastAsia="宋体" w:hAnsi="宋体" w:cs="宋体" w:hint="eastAsia"/>
          <w:color w:val="000000"/>
        </w:rPr>
        <w:t>燃油箱应符合GB 18296。</w:t>
      </w:r>
    </w:p>
    <w:p w:rsidR="00A200F2">
      <w:pPr>
        <w:pStyle w:val="a26"/>
        <w:numPr>
          <w:ilvl w:val="0"/>
          <w:numId w:val="0"/>
        </w:numPr>
        <w:spacing w:before="0" w:beforeLines="0" w:after="0" w:afterLines="0"/>
        <w:rPr>
          <w:rFonts w:ascii="宋体" w:eastAsia="宋体" w:hAnsi="宋体" w:cs="宋体" w:hint="eastAsia"/>
          <w:color w:val="000000"/>
        </w:rPr>
      </w:pPr>
      <w:r>
        <w:rPr>
          <w:rFonts w:hAnsi="黑体" w:cs="黑体" w:hint="eastAsia"/>
          <w:color w:val="000000"/>
        </w:rPr>
        <w:t>4.1.2</w:t>
      </w:r>
      <w:r>
        <w:rPr>
          <w:rFonts w:ascii="宋体" w:eastAsia="宋体" w:hAnsi="宋体" w:cs="宋体" w:hint="eastAsia"/>
          <w:color w:val="000000"/>
        </w:rPr>
        <w:t xml:space="preserve"> </w:t>
      </w:r>
      <w:r>
        <w:rPr>
          <w:rFonts w:ascii="宋体" w:eastAsia="宋体" w:hAnsi="宋体" w:cs="宋体" w:hint="eastAsia"/>
          <w:color w:val="000000"/>
        </w:rPr>
        <w:t>燃油</w:t>
      </w:r>
      <w:r>
        <w:rPr>
          <w:rFonts w:ascii="宋体" w:eastAsia="宋体" w:hAnsi="宋体" w:cs="宋体" w:hint="eastAsia"/>
          <w:color w:val="000000"/>
        </w:rPr>
        <w:t>装置各部件应被车身或车架部件适当地保护起来，以防止与地面障碍物发生接触</w:t>
      </w:r>
      <w:r>
        <w:rPr>
          <w:rFonts w:ascii="宋体" w:eastAsia="宋体" w:hAnsi="宋体" w:cs="宋体" w:hint="eastAsia"/>
          <w:color w:val="000000"/>
        </w:rPr>
        <w:t>。</w:t>
      </w:r>
      <w:r>
        <w:rPr>
          <w:rFonts w:ascii="宋体" w:eastAsia="宋体" w:hAnsi="宋体" w:cs="宋体" w:hint="eastAsia"/>
          <w:color w:val="000000"/>
        </w:rPr>
        <w:t>若这些部件位于车辆下部，离地高度比在其前部的车身或车架部件离地高度大，可不要求保护。</w:t>
      </w:r>
    </w:p>
    <w:p w:rsidR="00A200F2">
      <w:pPr>
        <w:pStyle w:val="a26"/>
        <w:numPr>
          <w:ilvl w:val="0"/>
          <w:numId w:val="0"/>
        </w:numPr>
        <w:spacing w:before="0" w:beforeLines="0" w:after="0" w:afterLines="0"/>
        <w:rPr>
          <w:rFonts w:ascii="宋体" w:eastAsia="宋体" w:hAnsi="宋体" w:cs="宋体" w:hint="eastAsia"/>
          <w:color w:val="000000"/>
        </w:rPr>
      </w:pPr>
      <w:r>
        <w:rPr>
          <w:rFonts w:hAnsi="黑体" w:cs="黑体" w:hint="eastAsia"/>
          <w:color w:val="000000"/>
        </w:rPr>
        <w:t>4.1.</w:t>
      </w:r>
      <w:r>
        <w:rPr>
          <w:rFonts w:hAnsi="黑体" w:cs="黑体" w:hint="eastAsia"/>
          <w:color w:val="000000"/>
        </w:rPr>
        <w:t>3</w:t>
      </w:r>
      <w:r>
        <w:rPr>
          <w:rFonts w:ascii="宋体" w:eastAsia="宋体" w:hAnsi="宋体" w:cs="宋体" w:hint="eastAsia"/>
          <w:color w:val="000000"/>
        </w:rPr>
        <w:t xml:space="preserve"> </w:t>
      </w:r>
      <w:r>
        <w:rPr>
          <w:rFonts w:ascii="宋体" w:eastAsia="宋体" w:hAnsi="宋体" w:cs="宋体" w:hint="eastAsia"/>
          <w:color w:val="000000"/>
        </w:rPr>
        <w:t>燃油</w:t>
      </w:r>
      <w:r>
        <w:rPr>
          <w:rFonts w:ascii="宋体" w:eastAsia="宋体" w:hAnsi="宋体" w:cs="宋体" w:hint="eastAsia"/>
          <w:color w:val="000000"/>
        </w:rPr>
        <w:t>装置管路及其他部件应装在车辆尽可能安全的位置。扭转和弯曲运动、车辆结构件或驱动部件的振动，不应引起燃油装置各部件产生摩擦、挤压或其他任何不正常受力。</w:t>
      </w:r>
    </w:p>
    <w:p w:rsidR="00A200F2">
      <w:pPr>
        <w:pStyle w:val="a26"/>
        <w:numPr>
          <w:ilvl w:val="0"/>
          <w:numId w:val="0"/>
        </w:numPr>
        <w:spacing w:before="0" w:beforeLines="0" w:after="0" w:afterLines="0"/>
        <w:rPr>
          <w:rFonts w:ascii="宋体" w:eastAsia="宋体" w:hAnsi="宋体" w:cs="宋体" w:hint="eastAsia"/>
          <w:color w:val="000000"/>
        </w:rPr>
      </w:pPr>
      <w:r>
        <w:rPr>
          <w:rFonts w:hAnsi="黑体" w:cs="黑体" w:hint="eastAsia"/>
          <w:color w:val="000000"/>
        </w:rPr>
        <w:t>4</w:t>
      </w:r>
      <w:r>
        <w:rPr>
          <w:rFonts w:hAnsi="黑体" w:cs="黑体" w:hint="eastAsia"/>
          <w:color w:val="000000"/>
        </w:rPr>
        <w:t>.1.</w:t>
      </w:r>
      <w:r>
        <w:rPr>
          <w:rFonts w:hAnsi="黑体" w:cs="黑体" w:hint="eastAsia"/>
          <w:color w:val="000000"/>
        </w:rPr>
        <w:t>4</w:t>
      </w:r>
      <w:r>
        <w:rPr>
          <w:rFonts w:ascii="宋体" w:eastAsia="宋体" w:hAnsi="宋体" w:cs="宋体" w:hint="eastAsia"/>
          <w:color w:val="000000"/>
        </w:rPr>
        <w:t xml:space="preserve"> 软管与燃油装置刚性部件间连接件的设计和构造，应保证其在车辆各种使用条件下无论是扭转和弯曲运动，还是车辆结构件或驱动部件的振动，均应不发生泄漏。</w:t>
      </w:r>
    </w:p>
    <w:p w:rsidR="00A200F2">
      <w:pPr>
        <w:pStyle w:val="a26"/>
        <w:numPr>
          <w:ilvl w:val="0"/>
          <w:numId w:val="0"/>
        </w:numPr>
        <w:spacing w:beforeLines="0" w:afterLines="0"/>
        <w:rPr>
          <w:rFonts w:ascii="宋体" w:eastAsia="宋体" w:hAnsi="宋体" w:cs="宋体" w:hint="eastAsia"/>
          <w:color w:val="000000"/>
        </w:rPr>
      </w:pPr>
      <w:r>
        <w:rPr>
          <w:rFonts w:hAnsi="黑体" w:cs="黑体" w:hint="eastAsia"/>
          <w:color w:val="000000"/>
        </w:rPr>
        <w:t>4.1.</w:t>
      </w:r>
      <w:r>
        <w:rPr>
          <w:rFonts w:hAnsi="黑体" w:cs="黑体" w:hint="eastAsia"/>
          <w:color w:val="000000"/>
        </w:rPr>
        <w:t>5</w:t>
      </w:r>
      <w:r>
        <w:rPr>
          <w:rFonts w:ascii="宋体" w:eastAsia="宋体" w:hAnsi="宋体" w:cs="宋体" w:hint="eastAsia"/>
          <w:color w:val="000000"/>
        </w:rPr>
        <w:t xml:space="preserve"> 如果加油口位于车辆的侧面，则燃油箱盖处于关闭状态时，不应突出邻近的车身外表面。</w:t>
      </w:r>
    </w:p>
    <w:p w:rsidR="00A200F2">
      <w:pPr>
        <w:pStyle w:val="a7"/>
        <w:outlineLvl w:val="1"/>
        <w:rPr>
          <w:color w:val="000000"/>
        </w:rPr>
      </w:pPr>
      <w:bookmarkStart w:id="45" w:name="_Toc35929729"/>
      <w:r>
        <w:rPr>
          <w:rFonts w:hint="eastAsia"/>
          <w:color w:val="000000"/>
        </w:rPr>
        <w:t>电路系统</w:t>
      </w:r>
      <w:bookmarkEnd w:id="45"/>
    </w:p>
    <w:p w:rsidR="00A200F2">
      <w:pPr>
        <w:pStyle w:val="a26"/>
        <w:spacing w:before="0" w:beforeLines="0" w:after="0" w:afterLines="0"/>
        <w:rPr>
          <w:rFonts w:ascii="宋体" w:eastAsia="宋体" w:hAnsi="宋体" w:cs="宋体"/>
          <w:color w:val="000000"/>
        </w:rPr>
      </w:pPr>
      <w:r>
        <w:rPr>
          <w:rFonts w:ascii="宋体" w:eastAsia="宋体" w:hAnsi="宋体" w:cs="宋体" w:hint="eastAsia"/>
          <w:color w:val="000000"/>
        </w:rPr>
        <w:t>电路系统的设计、构造和安装应保证其元件裸露处防水和耐腐蚀</w:t>
      </w:r>
      <w:r>
        <w:rPr>
          <w:rFonts w:ascii="宋体" w:eastAsia="宋体" w:hAnsi="宋体" w:cs="宋体" w:hint="eastAsia"/>
          <w:color w:val="000000"/>
        </w:rPr>
        <w:t>。</w:t>
      </w:r>
    </w:p>
    <w:p w:rsidR="00A200F2">
      <w:pPr>
        <w:pStyle w:val="a26"/>
        <w:spacing w:before="0" w:beforeLines="0" w:after="0" w:afterLines="0"/>
        <w:rPr>
          <w:rFonts w:ascii="宋体" w:eastAsia="宋体" w:hAnsi="宋体" w:cs="宋体"/>
          <w:color w:val="000000"/>
        </w:rPr>
      </w:pPr>
      <w:r>
        <w:rPr>
          <w:rFonts w:ascii="宋体" w:eastAsia="宋体" w:hAnsi="宋体" w:cs="宋体" w:hint="eastAsia"/>
          <w:color w:val="000000"/>
        </w:rPr>
        <w:t>除布置在空心元件中的电线外，其它的电线均应固定在其途经的车辆构</w:t>
      </w:r>
      <w:r>
        <w:rPr>
          <w:rFonts w:ascii="宋体" w:eastAsia="宋体" w:hAnsi="宋体" w:cs="宋体" w:hint="eastAsia"/>
          <w:color w:val="000000"/>
        </w:rPr>
        <w:t>件、车身壁或隔板上，在其穿过车身壁或隔板处应予以保护以防止绝缘层受损。</w:t>
      </w:r>
    </w:p>
    <w:p w:rsidR="00A200F2">
      <w:pPr>
        <w:pStyle w:val="10"/>
        <w:tabs>
          <w:tab w:val="center" w:pos="4201"/>
          <w:tab w:val="right" w:leader="dot" w:pos="9298"/>
        </w:tabs>
        <w:spacing w:before="156" w:beforeLines="50" w:after="156" w:afterLines="50"/>
        <w:outlineLvl w:val="0"/>
        <w:rPr>
          <w:color w:val="000000"/>
        </w:rPr>
      </w:pPr>
      <w:bookmarkStart w:id="46" w:name="_Toc35929730"/>
      <w:r>
        <w:rPr>
          <w:rFonts w:hint="eastAsia"/>
          <w:color w:val="000000"/>
        </w:rPr>
        <w:t>技术要求</w:t>
      </w:r>
      <w:bookmarkEnd w:id="46"/>
    </w:p>
    <w:p w:rsidR="00A200F2">
      <w:pPr>
        <w:pStyle w:val="a7"/>
        <w:spacing w:before="0" w:beforeLines="0" w:after="0" w:afterLines="0"/>
        <w:rPr>
          <w:rFonts w:ascii="宋体" w:eastAsia="宋体" w:hAnsi="宋体" w:cs="宋体"/>
          <w:color w:val="000000"/>
        </w:rPr>
      </w:pPr>
      <w:bookmarkStart w:id="47" w:name="_Toc35929731"/>
      <w:r>
        <w:rPr>
          <w:rFonts w:ascii="宋体" w:eastAsia="宋体" w:hAnsi="宋体" w:cs="宋体" w:hint="eastAsia"/>
          <w:color w:val="000000"/>
        </w:rPr>
        <w:t>按照本文件第6章规定的试验方法进行试验，试验中和试验后应符合5.2～5.12的规定。</w:t>
      </w:r>
    </w:p>
    <w:p w:rsidR="00A200F2">
      <w:pPr>
        <w:pStyle w:val="a7"/>
        <w:spacing w:before="0" w:beforeLines="0" w:after="0" w:afterLines="0"/>
        <w:rPr>
          <w:rFonts w:ascii="宋体" w:eastAsia="宋体" w:hAnsi="宋体" w:cs="宋体"/>
          <w:color w:val="000000"/>
        </w:rPr>
      </w:pPr>
      <w:r>
        <w:rPr>
          <w:rFonts w:ascii="宋体" w:eastAsia="宋体" w:hAnsi="宋体" w:cs="宋体" w:hint="eastAsia"/>
          <w:color w:val="000000"/>
        </w:rPr>
        <w:t>在碰撞</w:t>
      </w:r>
      <w:r>
        <w:rPr>
          <w:rFonts w:ascii="宋体" w:eastAsia="宋体" w:hAnsi="宋体" w:cs="宋体" w:hint="eastAsia"/>
          <w:color w:val="000000"/>
        </w:rPr>
        <w:t>试验过程</w:t>
      </w:r>
      <w:r>
        <w:rPr>
          <w:rFonts w:ascii="宋体" w:eastAsia="宋体" w:hAnsi="宋体" w:cs="宋体" w:hint="eastAsia"/>
          <w:color w:val="000000"/>
        </w:rPr>
        <w:t>中，燃油装置不应发生液体泄漏</w:t>
      </w:r>
      <w:bookmarkEnd w:id="47"/>
      <w:r>
        <w:rPr>
          <w:rFonts w:ascii="宋体" w:eastAsia="宋体" w:hAnsi="宋体" w:cs="宋体" w:hint="eastAsia"/>
          <w:color w:val="000000"/>
        </w:rPr>
        <w:t>。</w:t>
      </w:r>
    </w:p>
    <w:p w:rsidR="00A200F2">
      <w:pPr>
        <w:pStyle w:val="a7"/>
        <w:spacing w:before="0" w:beforeLines="0" w:after="0" w:afterLines="0"/>
        <w:rPr>
          <w:b/>
          <w:color w:val="000000"/>
        </w:rPr>
      </w:pPr>
      <w:bookmarkStart w:id="48" w:name="_Toc35929732"/>
      <w:r>
        <w:rPr>
          <w:rFonts w:ascii="宋体" w:eastAsia="宋体" w:hAnsi="宋体" w:cs="宋体" w:hint="eastAsia"/>
          <w:color w:val="000000"/>
        </w:rPr>
        <w:t>碰撞试验后，燃油装置若有液体连续泄漏，则在碰撞后前5</w:t>
      </w:r>
      <w:r>
        <w:rPr>
          <w:rFonts w:ascii="宋体" w:eastAsia="宋体" w:hAnsi="宋体" w:cs="宋体" w:hint="eastAsia"/>
          <w:color w:val="000000"/>
        </w:rPr>
        <w:t xml:space="preserve"> </w:t>
      </w:r>
      <w:r>
        <w:rPr>
          <w:rFonts w:ascii="宋体" w:eastAsia="宋体" w:hAnsi="宋体" w:cs="宋体" w:hint="eastAsia"/>
          <w:color w:val="000000"/>
        </w:rPr>
        <w:t>min平均泄漏速率不应大于30</w:t>
      </w:r>
      <w:r>
        <w:rPr>
          <w:rFonts w:ascii="宋体" w:eastAsia="宋体" w:hAnsi="宋体" w:cs="宋体" w:hint="eastAsia"/>
          <w:color w:val="000000"/>
        </w:rPr>
        <w:t xml:space="preserve"> </w:t>
      </w:r>
      <w:r>
        <w:rPr>
          <w:rFonts w:ascii="宋体" w:eastAsia="宋体" w:hAnsi="宋体" w:cs="宋体" w:hint="eastAsia"/>
          <w:color w:val="000000"/>
        </w:rPr>
        <w:t>g/min；如果从燃油装置中泄漏的液体与从其它系统泄漏的液体混淆且这几种液体不容易分开和辨认，则应根据收集到的所有液体评价连续泄漏量</w:t>
      </w:r>
      <w:bookmarkEnd w:id="48"/>
      <w:r>
        <w:rPr>
          <w:rFonts w:ascii="宋体" w:eastAsia="宋体" w:hAnsi="宋体" w:cs="宋体" w:hint="eastAsia"/>
          <w:color w:val="000000"/>
        </w:rPr>
        <w:t>。</w:t>
      </w:r>
    </w:p>
    <w:p w:rsidR="00A200F2">
      <w:pPr>
        <w:pStyle w:val="a7"/>
        <w:spacing w:before="0" w:beforeLines="0" w:after="0" w:afterLines="0"/>
        <w:rPr>
          <w:rFonts w:ascii="宋体" w:eastAsia="宋体" w:hAnsi="宋体" w:cs="宋体"/>
          <w:color w:val="000000"/>
        </w:rPr>
      </w:pPr>
      <w:bookmarkStart w:id="49" w:name="_Toc35929733"/>
      <w:r>
        <w:rPr>
          <w:rFonts w:ascii="宋体" w:eastAsia="宋体" w:hAnsi="宋体" w:cs="宋体" w:hint="eastAsia"/>
          <w:color w:val="000000"/>
        </w:rPr>
        <w:t>在碰撞</w:t>
      </w:r>
      <w:r>
        <w:rPr>
          <w:rFonts w:ascii="宋体" w:eastAsia="宋体" w:hAnsi="宋体" w:cs="宋体" w:hint="eastAsia"/>
          <w:color w:val="000000"/>
        </w:rPr>
        <w:t>试验</w:t>
      </w:r>
      <w:r>
        <w:rPr>
          <w:rFonts w:ascii="宋体" w:eastAsia="宋体" w:hAnsi="宋体" w:cs="宋体" w:hint="eastAsia"/>
          <w:color w:val="000000"/>
        </w:rPr>
        <w:t>过程中和碰撞试验后，不应引起燃料</w:t>
      </w:r>
      <w:r>
        <w:rPr>
          <w:rFonts w:ascii="宋体" w:eastAsia="宋体" w:hAnsi="宋体" w:cs="宋体" w:hint="eastAsia"/>
          <w:color w:val="000000"/>
        </w:rPr>
        <w:t>或</w:t>
      </w:r>
      <w:r>
        <w:rPr>
          <w:rFonts w:hAnsi="黑体" w:hint="eastAsia"/>
          <w:color w:val="000000"/>
        </w:rPr>
        <w:t>REESS</w:t>
      </w:r>
      <w:r>
        <w:rPr>
          <w:rFonts w:ascii="宋体" w:eastAsia="宋体" w:hAnsi="宋体" w:cs="宋体" w:hint="eastAsia"/>
          <w:color w:val="000000"/>
        </w:rPr>
        <w:t>的燃烧</w:t>
      </w:r>
      <w:bookmarkEnd w:id="49"/>
      <w:r>
        <w:rPr>
          <w:rFonts w:ascii="宋体" w:eastAsia="宋体" w:hAnsi="宋体" w:cs="宋体" w:hint="eastAsia"/>
          <w:color w:val="000000"/>
        </w:rPr>
        <w:t>。</w:t>
      </w:r>
    </w:p>
    <w:p w:rsidR="00A200F2">
      <w:pPr>
        <w:pStyle w:val="a7"/>
        <w:spacing w:before="0" w:beforeLines="0" w:after="0" w:afterLines="0"/>
        <w:rPr>
          <w:rFonts w:ascii="宋体" w:eastAsia="宋体" w:hAnsi="宋体" w:cs="宋体" w:hint="eastAsia"/>
          <w:color w:val="000000"/>
        </w:rPr>
      </w:pPr>
      <w:bookmarkStart w:id="50" w:name="_Toc35929734"/>
      <w:r>
        <w:rPr>
          <w:rFonts w:ascii="宋体" w:eastAsia="宋体" w:hAnsi="宋体" w:cs="宋体" w:hint="eastAsia"/>
          <w:color w:val="000000"/>
        </w:rPr>
        <w:t>在碰撞</w:t>
      </w:r>
      <w:r>
        <w:rPr>
          <w:rFonts w:ascii="宋体" w:eastAsia="宋体" w:hAnsi="宋体" w:cs="宋体" w:hint="eastAsia"/>
          <w:color w:val="000000"/>
        </w:rPr>
        <w:t>试验</w:t>
      </w:r>
      <w:r>
        <w:rPr>
          <w:rFonts w:ascii="宋体" w:eastAsia="宋体" w:hAnsi="宋体" w:cs="宋体" w:hint="eastAsia"/>
          <w:color w:val="000000"/>
        </w:rPr>
        <w:t>过程中和碰撞试验后，蓄电池内部化学物质不应泄漏</w:t>
      </w:r>
      <w:r>
        <w:rPr>
          <w:rFonts w:ascii="宋体" w:eastAsia="宋体" w:hAnsi="宋体" w:cs="宋体" w:hint="eastAsia"/>
          <w:color w:val="000000"/>
        </w:rPr>
        <w:t>至乘员舱</w:t>
      </w:r>
      <w:r>
        <w:rPr>
          <w:rFonts w:ascii="宋体" w:eastAsia="宋体" w:hAnsi="宋体" w:cs="宋体" w:hint="eastAsia"/>
          <w:color w:val="000000"/>
        </w:rPr>
        <w:t>，</w:t>
      </w:r>
      <w:r>
        <w:rPr>
          <w:rFonts w:ascii="宋体" w:eastAsia="宋体" w:hAnsi="宋体" w:cs="宋体" w:hint="eastAsia"/>
          <w:color w:val="000000"/>
        </w:rPr>
        <w:t>蓄电池</w:t>
      </w:r>
      <w:r>
        <w:rPr>
          <w:rFonts w:ascii="宋体" w:eastAsia="宋体" w:hAnsi="宋体" w:cs="宋体" w:hint="eastAsia"/>
          <w:color w:val="000000"/>
        </w:rPr>
        <w:t>电缆线保持连接并正常供电。</w:t>
      </w:r>
    </w:p>
    <w:p w:rsidR="00A200F2">
      <w:pPr>
        <w:pStyle w:val="a7"/>
        <w:spacing w:before="0" w:beforeLines="0" w:after="0" w:afterLines="0"/>
        <w:rPr>
          <w:rFonts w:ascii="宋体" w:eastAsia="宋体" w:hAnsi="宋体" w:cs="宋体"/>
          <w:color w:val="000000"/>
        </w:rPr>
      </w:pPr>
      <w:bookmarkStart w:id="51" w:name="_Toc35929735"/>
      <w:bookmarkEnd w:id="50"/>
      <w:r>
        <w:rPr>
          <w:rFonts w:ascii="宋体" w:eastAsia="宋体" w:hAnsi="宋体" w:cs="宋体" w:hint="eastAsia"/>
          <w:color w:val="000000"/>
        </w:rPr>
        <w:t>对于电动汽车及混合动力汽车，碰撞试验后车辆包括REESS的动力用高压系统及与</w:t>
      </w:r>
      <w:r>
        <w:rPr>
          <w:rFonts w:ascii="宋体" w:eastAsia="宋体" w:hAnsi="宋体" w:cs="宋体" w:hint="eastAsia"/>
          <w:color w:val="000000"/>
        </w:rPr>
        <w:t>其</w:t>
      </w:r>
      <w:r>
        <w:rPr>
          <w:rFonts w:ascii="宋体" w:eastAsia="宋体" w:hAnsi="宋体" w:cs="宋体" w:hint="eastAsia"/>
          <w:color w:val="000000"/>
        </w:rPr>
        <w:t>传导连接的高压部件应符合GB/T 31498</w:t>
      </w:r>
      <w:r>
        <w:rPr>
          <w:rFonts w:ascii="宋体" w:eastAsia="宋体" w:hAnsi="宋体" w:cs="宋体" w:hint="eastAsia"/>
          <w:color w:val="000000"/>
        </w:rPr>
        <w:t>-2021</w:t>
      </w:r>
      <w:r>
        <w:rPr>
          <w:rFonts w:ascii="宋体" w:eastAsia="宋体" w:hAnsi="宋体" w:cs="宋体" w:hint="eastAsia"/>
          <w:color w:val="000000"/>
        </w:rPr>
        <w:t>中</w:t>
      </w:r>
      <w:r>
        <w:rPr>
          <w:rFonts w:ascii="宋体" w:eastAsia="宋体" w:hAnsi="宋体" w:cs="宋体" w:hint="eastAsia"/>
          <w:color w:val="000000"/>
        </w:rPr>
        <w:t>防触电保护要求、电解液泄漏要求和REESS要求</w:t>
      </w:r>
      <w:r>
        <w:rPr>
          <w:rFonts w:ascii="宋体" w:eastAsia="宋体" w:hAnsi="宋体" w:cs="宋体" w:hint="eastAsia"/>
          <w:color w:val="000000"/>
        </w:rPr>
        <w:t>。</w:t>
      </w:r>
      <w:bookmarkEnd w:id="51"/>
    </w:p>
    <w:p w:rsidR="00A200F2">
      <w:pPr>
        <w:pStyle w:val="a7"/>
        <w:spacing w:before="0" w:beforeLines="0" w:after="0" w:afterLines="0"/>
        <w:rPr>
          <w:rFonts w:ascii="宋体" w:eastAsia="宋体" w:hAnsi="宋体" w:cs="宋体"/>
          <w:color w:val="000000"/>
        </w:rPr>
      </w:pPr>
      <w:r>
        <w:rPr>
          <w:rFonts w:ascii="宋体" w:eastAsia="宋体" w:hAnsi="宋体" w:cs="宋体" w:hint="eastAsia"/>
          <w:color w:val="000000"/>
        </w:rPr>
        <w:t>在碰撞试验过程中，车门（不包含后背门）不应开启。</w:t>
      </w:r>
    </w:p>
    <w:p w:rsidR="00A200F2">
      <w:pPr>
        <w:pStyle w:val="a7"/>
        <w:spacing w:before="0" w:beforeLines="0" w:after="0" w:afterLines="0"/>
        <w:rPr>
          <w:color w:val="000000"/>
        </w:rPr>
      </w:pPr>
      <w:r>
        <w:rPr>
          <w:rFonts w:ascii="宋体" w:eastAsia="宋体" w:hAnsi="宋体" w:cs="宋体" w:hint="eastAsia"/>
          <w:color w:val="000000"/>
        </w:rPr>
        <w:t>碰撞试验后，车门应处于解锁状态。</w:t>
      </w:r>
    </w:p>
    <w:p w:rsidR="00A200F2">
      <w:pPr>
        <w:pStyle w:val="a7"/>
        <w:spacing w:before="0" w:beforeLines="0" w:after="0" w:afterLines="0"/>
        <w:rPr>
          <w:rFonts w:ascii="宋体" w:eastAsia="宋体" w:hAnsi="宋体" w:cs="宋体"/>
          <w:color w:val="000000"/>
        </w:rPr>
      </w:pPr>
      <w:r>
        <w:rPr>
          <w:rFonts w:ascii="宋体" w:eastAsia="宋体" w:hAnsi="宋体" w:cs="宋体" w:hint="eastAsia"/>
          <w:color w:val="000000"/>
        </w:rPr>
        <w:t>碰撞试验后</w:t>
      </w:r>
      <w:r>
        <w:rPr>
          <w:rFonts w:ascii="宋体" w:eastAsia="宋体" w:hAnsi="宋体" w:cs="宋体"/>
          <w:color w:val="000000"/>
        </w:rPr>
        <w:t>，不使用工具应能：</w:t>
      </w:r>
      <w:r>
        <w:rPr>
          <w:rFonts w:ascii="宋体" w:eastAsia="宋体" w:hAnsi="宋体" w:cs="宋体" w:hint="eastAsia"/>
          <w:color w:val="000000"/>
        </w:rPr>
        <w:t>对于每排座位的车门（若有门），至少有一个门能打开</w:t>
      </w:r>
      <w:r>
        <w:rPr>
          <w:rFonts w:ascii="宋体" w:eastAsia="宋体" w:hAnsi="宋体" w:cs="宋体"/>
          <w:color w:val="000000"/>
        </w:rPr>
        <w:t>，使乘员能正常进出。</w:t>
      </w:r>
      <w:r>
        <w:rPr>
          <w:rFonts w:ascii="宋体" w:eastAsia="宋体" w:hAnsi="宋体" w:cs="宋体" w:hint="eastAsia"/>
          <w:color w:val="000000"/>
        </w:rPr>
        <w:t>如果没有门，移动座椅或改变座椅靠背位置，应使</w:t>
      </w:r>
      <w:r>
        <w:rPr>
          <w:rFonts w:ascii="宋体" w:eastAsia="宋体" w:hAnsi="宋体" w:cs="宋体"/>
          <w:color w:val="000000"/>
        </w:rPr>
        <w:t>所有乘员能够撤离</w:t>
      </w:r>
      <w:r>
        <w:rPr>
          <w:rFonts w:ascii="宋体" w:eastAsia="宋体" w:hAnsi="宋体" w:cs="宋体" w:hint="eastAsia"/>
          <w:color w:val="000000"/>
        </w:rPr>
        <w:t>。</w:t>
      </w:r>
    </w:p>
    <w:p w:rsidR="00A200F2">
      <w:pPr>
        <w:pStyle w:val="a7"/>
        <w:spacing w:before="0" w:beforeLines="0" w:after="0" w:afterLines="0"/>
        <w:rPr>
          <w:rFonts w:ascii="宋体" w:eastAsia="宋体" w:hAnsi="宋体" w:cs="宋体" w:hint="eastAsia"/>
          <w:color w:val="000000"/>
        </w:rPr>
      </w:pPr>
      <w:r>
        <w:rPr>
          <w:rFonts w:ascii="宋体" w:eastAsia="宋体" w:hAnsi="宋体" w:cs="宋体" w:hint="eastAsia"/>
          <w:color w:val="000000"/>
        </w:rPr>
        <w:t>碰撞试验后</w:t>
      </w:r>
      <w:r>
        <w:rPr>
          <w:rFonts w:ascii="宋体" w:eastAsia="宋体" w:hAnsi="宋体" w:cs="宋体"/>
          <w:color w:val="000000"/>
        </w:rPr>
        <w:t>，</w:t>
      </w:r>
      <w:r>
        <w:rPr>
          <w:rFonts w:ascii="宋体" w:eastAsia="宋体" w:hAnsi="宋体" w:cs="宋体" w:hint="eastAsia"/>
          <w:color w:val="000000"/>
        </w:rPr>
        <w:t>所有乘员舱内部构件不应有锋利的凸出物或锯齿边，以</w:t>
      </w:r>
      <w:r>
        <w:rPr>
          <w:rFonts w:ascii="宋体" w:eastAsia="宋体" w:hAnsi="宋体" w:cs="宋体" w:hint="eastAsia"/>
          <w:color w:val="000000"/>
        </w:rPr>
        <w:t>降低</w:t>
      </w:r>
      <w:r>
        <w:rPr>
          <w:rFonts w:ascii="宋体" w:eastAsia="宋体" w:hAnsi="宋体" w:cs="宋体" w:hint="eastAsia"/>
          <w:color w:val="000000"/>
        </w:rPr>
        <w:t>乘员伤害风险；座椅不应与车身结构分离</w:t>
      </w:r>
      <w:r>
        <w:rPr>
          <w:rFonts w:ascii="宋体" w:eastAsia="宋体" w:hAnsi="宋体" w:cs="宋体" w:hint="eastAsia"/>
          <w:color w:val="000000"/>
        </w:rPr>
        <w:t>,调节及锁止装置不应发生失效</w:t>
      </w:r>
      <w:r>
        <w:rPr>
          <w:rFonts w:ascii="宋体" w:eastAsia="宋体" w:hAnsi="宋体" w:cs="宋体" w:hint="eastAsia"/>
          <w:color w:val="000000"/>
        </w:rPr>
        <w:t>。在</w:t>
      </w:r>
      <w:r>
        <w:rPr>
          <w:rFonts w:ascii="宋体" w:eastAsia="宋体" w:hAnsi="宋体" w:cs="宋体" w:hint="eastAsia"/>
          <w:color w:val="000000"/>
        </w:rPr>
        <w:t>不增加乘员伤害风险的情况下，允许出现因永久变形产生的脱落。</w:t>
      </w:r>
    </w:p>
    <w:p w:rsidR="00A200F2">
      <w:pPr>
        <w:pStyle w:val="a7"/>
        <w:spacing w:before="0" w:beforeLines="0" w:after="0" w:afterLines="0"/>
        <w:rPr>
          <w:rFonts w:ascii="宋体" w:eastAsia="宋体" w:hAnsi="宋体" w:cs="宋体" w:hint="eastAsia"/>
          <w:color w:val="000000"/>
        </w:rPr>
      </w:pPr>
      <w:r>
        <w:rPr>
          <w:rFonts w:ascii="宋体" w:eastAsia="宋体" w:hAnsi="宋体" w:cs="宋体" w:hint="eastAsia"/>
          <w:color w:val="000000"/>
        </w:rPr>
        <w:t>碰撞试验后，车辆电路系统及连线不应起火</w:t>
      </w:r>
      <w:r>
        <w:rPr>
          <w:rFonts w:ascii="宋体" w:eastAsia="宋体" w:hAnsi="宋体" w:cs="宋体" w:hint="eastAsia"/>
          <w:color w:val="000000"/>
        </w:rPr>
        <w:t>（</w:t>
      </w:r>
      <w:r>
        <w:rPr>
          <w:rFonts w:ascii="宋体" w:eastAsia="宋体" w:hAnsi="宋体" w:cs="宋体" w:hint="eastAsia"/>
          <w:color w:val="000000"/>
        </w:rPr>
        <w:t>持续发生火焰的现象</w:t>
      </w:r>
      <w:r>
        <w:rPr>
          <w:rFonts w:ascii="宋体" w:eastAsia="宋体" w:hAnsi="宋体" w:cs="宋体" w:hint="eastAsia"/>
          <w:color w:val="000000"/>
        </w:rPr>
        <w:t>）</w:t>
      </w:r>
      <w:r>
        <w:rPr>
          <w:rFonts w:ascii="宋体" w:eastAsia="宋体" w:hAnsi="宋体" w:cs="宋体" w:hint="eastAsia"/>
          <w:color w:val="000000"/>
        </w:rPr>
        <w:t>。</w:t>
      </w:r>
    </w:p>
    <w:p w:rsidR="00A200F2">
      <w:pPr>
        <w:pStyle w:val="a7"/>
        <w:spacing w:before="0" w:beforeLines="0" w:after="0" w:afterLines="0"/>
        <w:rPr>
          <w:rFonts w:ascii="宋体" w:eastAsia="宋体" w:hAnsi="宋体" w:cs="宋体" w:hint="eastAsia"/>
          <w:color w:val="000000"/>
        </w:rPr>
      </w:pPr>
      <w:r>
        <w:rPr>
          <w:rFonts w:ascii="宋体" w:eastAsia="宋体" w:hAnsi="宋体" w:cs="宋体" w:hint="eastAsia"/>
          <w:color w:val="000000"/>
        </w:rPr>
        <w:t>碰撞试验后</w:t>
      </w:r>
      <w:r>
        <w:rPr>
          <w:rFonts w:ascii="宋体" w:eastAsia="宋体" w:hAnsi="宋体" w:cs="宋体" w:hint="eastAsia"/>
          <w:color w:val="000000"/>
        </w:rPr>
        <w:t>，</w:t>
      </w:r>
      <w:r>
        <w:rPr>
          <w:rFonts w:ascii="宋体" w:eastAsia="宋体" w:hAnsi="宋体" w:cs="宋体" w:hint="eastAsia"/>
          <w:color w:val="000000"/>
        </w:rPr>
        <w:t>车辆应自动开启危险警告信号灯</w:t>
      </w:r>
      <w:r>
        <w:rPr>
          <w:rFonts w:ascii="宋体" w:eastAsia="宋体" w:hAnsi="宋体" w:cs="宋体" w:hint="eastAsia"/>
          <w:color w:val="000000"/>
        </w:rPr>
        <w:t>。</w:t>
      </w:r>
    </w:p>
    <w:p w:rsidR="00A200F2">
      <w:pPr>
        <w:pStyle w:val="10"/>
        <w:spacing w:before="156" w:beforeLines="50" w:after="156" w:afterLines="50"/>
        <w:outlineLvl w:val="0"/>
        <w:rPr>
          <w:color w:val="000000"/>
        </w:rPr>
      </w:pPr>
      <w:bookmarkStart w:id="52" w:name="_Toc35929736"/>
      <w:r>
        <w:rPr>
          <w:rFonts w:hint="eastAsia"/>
          <w:color w:val="000000"/>
        </w:rPr>
        <w:t>试验方法</w:t>
      </w:r>
      <w:bookmarkEnd w:id="52"/>
    </w:p>
    <w:p w:rsidR="00A200F2">
      <w:pPr>
        <w:pStyle w:val="a7"/>
        <w:outlineLvl w:val="1"/>
        <w:rPr>
          <w:color w:val="000000"/>
        </w:rPr>
      </w:pPr>
      <w:r>
        <w:rPr>
          <w:rFonts w:hint="eastAsia"/>
          <w:color w:val="000000"/>
        </w:rPr>
        <w:t>概述</w:t>
      </w:r>
    </w:p>
    <w:p w:rsidR="00A200F2">
      <w:pPr>
        <w:pStyle w:val="a2"/>
        <w:rPr>
          <w:rFonts w:hAnsi="宋体" w:cs="宋体"/>
          <w:color w:val="000000"/>
        </w:rPr>
      </w:pPr>
      <w:r>
        <w:rPr>
          <w:rFonts w:hint="eastAsia"/>
          <w:color w:val="000000"/>
        </w:rPr>
        <w:t>本试验目的是模拟</w:t>
      </w:r>
      <w:r>
        <w:rPr>
          <w:rFonts w:hint="eastAsia"/>
          <w:color w:val="000000"/>
        </w:rPr>
        <w:t>与</w:t>
      </w:r>
      <w:r>
        <w:rPr>
          <w:rFonts w:hint="eastAsia"/>
          <w:color w:val="000000"/>
        </w:rPr>
        <w:t>另一行驶车辆</w:t>
      </w:r>
      <w:r>
        <w:rPr>
          <w:rFonts w:hint="eastAsia"/>
          <w:color w:val="000000"/>
        </w:rPr>
        <w:t>发生的</w:t>
      </w:r>
      <w:r>
        <w:rPr>
          <w:rFonts w:hint="eastAsia"/>
          <w:color w:val="000000"/>
        </w:rPr>
        <w:t>后碰撞</w:t>
      </w:r>
      <w:r>
        <w:rPr>
          <w:rFonts w:hint="eastAsia"/>
          <w:color w:val="000000"/>
        </w:rPr>
        <w:t>状况</w:t>
      </w:r>
      <w:r>
        <w:rPr>
          <w:rFonts w:hint="eastAsia"/>
          <w:color w:val="000000"/>
        </w:rPr>
        <w:t>。</w:t>
      </w:r>
    </w:p>
    <w:p w:rsidR="00A200F2">
      <w:pPr>
        <w:pStyle w:val="a7"/>
        <w:outlineLvl w:val="1"/>
        <w:rPr>
          <w:rFonts w:ascii="宋体" w:eastAsia="宋体" w:hAnsi="宋体" w:cs="宋体"/>
          <w:color w:val="000000"/>
        </w:rPr>
      </w:pPr>
      <w:bookmarkStart w:id="53" w:name="_Toc35929738"/>
      <w:r>
        <w:rPr>
          <w:rFonts w:hint="eastAsia"/>
          <w:color w:val="000000"/>
        </w:rPr>
        <w:t>安装、程序和测量仪器</w:t>
      </w:r>
      <w:bookmarkEnd w:id="53"/>
    </w:p>
    <w:p w:rsidR="00A200F2">
      <w:pPr>
        <w:pStyle w:val="a26"/>
        <w:spacing w:before="156" w:after="156"/>
        <w:outlineLvl w:val="2"/>
        <w:rPr>
          <w:color w:val="000000"/>
        </w:rPr>
        <w:sectPr w:rsidSect="00A200F2">
          <w:headerReference w:type="default" r:id="rId11"/>
          <w:footerReference w:type="default" r:id="rId12"/>
          <w:type w:val="nextPage"/>
          <w:pgSz w:w="11906" w:h="16838"/>
          <w:pgMar w:top="567" w:right="1134" w:bottom="1134" w:left="1418" w:header="1418" w:footer="1134" w:gutter="0"/>
          <w:pgNumType w:start="2"/>
          <w:cols w:space="720"/>
          <w:formProt w:val="0"/>
          <w:titlePg w:val="0"/>
          <w:docGrid w:type="lines" w:linePitch="312"/>
        </w:sectPr>
      </w:pPr>
      <w:r>
        <w:rPr>
          <w:rFonts w:hint="eastAsia"/>
          <w:color w:val="000000"/>
        </w:rPr>
        <w:t>试验场地</w:t>
      </w:r>
    </w:p>
    <w:p w:rsidR="00A200F2">
      <w:pPr>
        <w:pStyle w:val="a2"/>
        <w:rPr>
          <w:rFonts w:hint="eastAsia"/>
          <w:color w:val="000000"/>
        </w:rPr>
      </w:pPr>
      <w:r>
        <w:rPr>
          <w:rFonts w:hint="eastAsia"/>
          <w:color w:val="000000"/>
        </w:rPr>
        <w:t>试验场地应足够大,以容纳碰撞装置驱动系统</w:t>
      </w:r>
      <w:r>
        <w:rPr>
          <w:rFonts w:hint="eastAsia"/>
          <w:color w:val="000000"/>
        </w:rPr>
        <w:t>、</w:t>
      </w:r>
      <w:r>
        <w:rPr>
          <w:rFonts w:hint="eastAsia"/>
          <w:color w:val="000000"/>
        </w:rPr>
        <w:t>被撞车辆碰撞后移动及试验设备的安装。车辆发生碰撞和移动的场地应水平、平整，路面摩擦系数不小于0</w:t>
      </w:r>
      <w:r>
        <w:rPr>
          <w:color w:val="000000"/>
        </w:rPr>
        <w:t>.5</w:t>
      </w:r>
      <w:r>
        <w:rPr>
          <w:rFonts w:hint="eastAsia"/>
          <w:color w:val="000000"/>
        </w:rPr>
        <w:t>。</w:t>
      </w:r>
    </w:p>
    <w:p w:rsidR="00A200F2">
      <w:pPr>
        <w:pStyle w:val="a26"/>
        <w:spacing w:before="156" w:after="156"/>
        <w:outlineLvl w:val="2"/>
        <w:rPr>
          <w:color w:val="000000"/>
        </w:rPr>
      </w:pPr>
      <w:r>
        <w:rPr>
          <w:rFonts w:hint="eastAsia"/>
          <w:color w:val="000000"/>
        </w:rPr>
        <w:t>碰撞装置</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 xml:space="preserve"> 碰撞装置应为刚性的钢制结构。</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 xml:space="preserve"> 碰撞装置表面应为平面，宽度不小于 2500 mm，高度不小于 800 mm，其棱边圆角半径为 40</w:t>
      </w:r>
      <w:r>
        <w:rPr>
          <w:rFonts w:ascii="宋体" w:eastAsia="宋体" w:hAnsi="宋体" w:cs="宋体"/>
          <w:color w:val="000000"/>
        </w:rPr>
        <w:t xml:space="preserve"> </w:t>
      </w:r>
      <w:r>
        <w:rPr>
          <w:rFonts w:ascii="宋体" w:eastAsia="宋体" w:hAnsi="宋体" w:cs="宋体" w:hint="eastAsia"/>
          <w:color w:val="000000"/>
        </w:rPr>
        <w:t>mm～50 mm，表面装有厚为20</w:t>
      </w:r>
      <w:r>
        <w:rPr>
          <w:rFonts w:ascii="宋体" w:eastAsia="宋体" w:hAnsi="宋体" w:cs="宋体" w:hint="eastAsia"/>
          <w:color w:val="000000"/>
        </w:rPr>
        <w:t xml:space="preserve"> </w:t>
      </w:r>
      <w:r>
        <w:rPr>
          <w:rFonts w:ascii="宋体" w:eastAsia="宋体" w:hAnsi="宋体" w:cs="宋体" w:hint="eastAsia"/>
          <w:color w:val="000000"/>
        </w:rPr>
        <w:t>mm的胶合板。</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 xml:space="preserve">  碰撞时应满足下述要求：</w:t>
      </w:r>
    </w:p>
    <w:p w:rsidR="00A200F2">
      <w:pPr>
        <w:pStyle w:val="a58"/>
        <w:numPr>
          <w:ilvl w:val="0"/>
          <w:numId w:val="0"/>
        </w:numPr>
        <w:ind w:firstLine="420" w:firstLineChars="200"/>
        <w:rPr>
          <w:color w:val="000000"/>
        </w:rPr>
      </w:pPr>
      <w:r>
        <w:rPr>
          <w:rFonts w:hint="eastAsia"/>
          <w:color w:val="000000"/>
        </w:rPr>
        <w:t>a)</w:t>
      </w:r>
      <w:r>
        <w:rPr>
          <w:rFonts w:hint="eastAsia"/>
          <w:color w:val="000000"/>
        </w:rPr>
        <w:t>碰撞表面应铅垂，并垂直于被撞车辆的纵向中心平面；</w:t>
      </w:r>
    </w:p>
    <w:p w:rsidR="00A200F2">
      <w:pPr>
        <w:pStyle w:val="a58"/>
        <w:numPr>
          <w:ilvl w:val="0"/>
          <w:numId w:val="0"/>
        </w:numPr>
        <w:ind w:firstLine="420" w:firstLineChars="200"/>
        <w:rPr>
          <w:color w:val="000000"/>
        </w:rPr>
      </w:pPr>
      <w:r>
        <w:rPr>
          <w:rFonts w:hint="eastAsia"/>
          <w:color w:val="000000"/>
        </w:rPr>
        <w:t>b)</w:t>
      </w:r>
      <w:r>
        <w:rPr>
          <w:rFonts w:hint="eastAsia"/>
          <w:color w:val="000000"/>
        </w:rPr>
        <w:t>碰撞装置移动方向应水平，并平行于被撞车辆的纵向中心平面；</w:t>
      </w:r>
    </w:p>
    <w:p w:rsidR="00A200F2">
      <w:pPr>
        <w:pStyle w:val="a58"/>
        <w:numPr>
          <w:ilvl w:val="0"/>
          <w:numId w:val="0"/>
        </w:numPr>
        <w:ind w:firstLine="420" w:firstLineChars="200"/>
        <w:rPr>
          <w:color w:val="000000"/>
        </w:rPr>
      </w:pPr>
      <w:r>
        <w:rPr>
          <w:rFonts w:hint="eastAsia"/>
          <w:color w:val="000000"/>
        </w:rPr>
        <w:t>c)</w:t>
      </w:r>
      <w:r>
        <w:rPr>
          <w:rFonts w:hint="eastAsia"/>
          <w:color w:val="000000"/>
        </w:rPr>
        <w:t>碰撞装置表面中垂线和被撞车辆的纵向中心平面间横向偏差不大于300</w:t>
      </w:r>
      <w:r>
        <w:rPr>
          <w:rFonts w:hint="eastAsia"/>
          <w:color w:val="000000"/>
        </w:rPr>
        <w:t xml:space="preserve"> </w:t>
      </w:r>
      <w:r>
        <w:rPr>
          <w:rFonts w:hint="eastAsia"/>
          <w:color w:val="000000"/>
        </w:rPr>
        <w:t>mm，并且碰撞表面宽度应超过被撞车辆的宽度；</w:t>
      </w:r>
    </w:p>
    <w:p w:rsidR="00A200F2">
      <w:pPr>
        <w:pStyle w:val="a58"/>
        <w:numPr>
          <w:ilvl w:val="0"/>
          <w:numId w:val="0"/>
        </w:numPr>
        <w:ind w:firstLine="420" w:firstLineChars="200"/>
        <w:rPr>
          <w:color w:val="000000"/>
        </w:rPr>
      </w:pPr>
      <w:r>
        <w:rPr>
          <w:rFonts w:hint="eastAsia"/>
          <w:color w:val="000000"/>
        </w:rPr>
        <w:t>d)</w:t>
      </w:r>
      <w:r>
        <w:rPr>
          <w:rFonts w:hint="eastAsia"/>
          <w:color w:val="000000"/>
        </w:rPr>
        <w:t>碰撞表面下边缘离地</w:t>
      </w:r>
      <w:r>
        <w:rPr>
          <w:rFonts w:hint="eastAsia"/>
          <w:color w:val="000000"/>
        </w:rPr>
        <w:t>高度应为175</w:t>
      </w:r>
      <w:r>
        <w:rPr>
          <w:rFonts w:hint="eastAsia"/>
          <w:color w:val="000000"/>
        </w:rPr>
        <w:t xml:space="preserve"> mm</w:t>
      </w:r>
      <w:r>
        <w:rPr>
          <w:rFonts w:hint="eastAsia"/>
          <w:color w:val="000000"/>
        </w:rPr>
        <w:t>±</w:t>
      </w:r>
      <w:r>
        <w:rPr>
          <w:rFonts w:hint="eastAsia"/>
          <w:color w:val="000000"/>
        </w:rPr>
        <w:t>25</w:t>
      </w:r>
      <w:r>
        <w:rPr>
          <w:rFonts w:hint="eastAsia"/>
          <w:color w:val="000000"/>
        </w:rPr>
        <w:t xml:space="preserve"> </w:t>
      </w:r>
      <w:r>
        <w:rPr>
          <w:rFonts w:hint="eastAsia"/>
          <w:color w:val="000000"/>
        </w:rPr>
        <w:t>mm。</w:t>
      </w:r>
    </w:p>
    <w:p w:rsidR="00A200F2">
      <w:pPr>
        <w:pStyle w:val="a26"/>
        <w:spacing w:before="156" w:after="156"/>
        <w:outlineLvl w:val="2"/>
        <w:rPr>
          <w:color w:val="000000"/>
        </w:rPr>
      </w:pPr>
      <w:r>
        <w:rPr>
          <w:rFonts w:hint="eastAsia"/>
          <w:color w:val="000000"/>
        </w:rPr>
        <w:t>碰撞装置的驱动型式</w:t>
      </w:r>
    </w:p>
    <w:p w:rsidR="00A200F2">
      <w:pPr>
        <w:pStyle w:val="a2"/>
        <w:rPr>
          <w:rFonts w:hint="eastAsia"/>
          <w:color w:val="000000"/>
        </w:rPr>
      </w:pPr>
      <w:r>
        <w:rPr>
          <w:rFonts w:hint="eastAsia"/>
          <w:color w:val="000000"/>
        </w:rPr>
        <w:t>碰撞装置固定在移动车上（移动壁障）。</w:t>
      </w:r>
    </w:p>
    <w:p w:rsidR="00A200F2">
      <w:pPr>
        <w:pStyle w:val="a26"/>
        <w:spacing w:before="156" w:after="156"/>
        <w:outlineLvl w:val="2"/>
        <w:rPr>
          <w:color w:val="000000"/>
        </w:rPr>
      </w:pPr>
      <w:r>
        <w:rPr>
          <w:rFonts w:hint="eastAsia"/>
          <w:color w:val="000000"/>
        </w:rPr>
        <w:t>使用移动壁障的要求</w:t>
      </w:r>
    </w:p>
    <w:p w:rsidR="00A200F2">
      <w:pPr>
        <w:pStyle w:val="a26"/>
        <w:numPr>
          <w:ilvl w:val="3"/>
        </w:numPr>
        <w:spacing w:beforeLines="0" w:afterLines="0"/>
        <w:rPr>
          <w:rFonts w:eastAsia="宋体"/>
          <w:color w:val="000000"/>
        </w:rPr>
      </w:pPr>
      <w:r>
        <w:rPr>
          <w:rFonts w:ascii="宋体" w:eastAsia="宋体" w:hAnsi="宋体" w:cs="宋体" w:hint="eastAsia"/>
          <w:color w:val="000000"/>
        </w:rPr>
        <w:t>如果碰撞装置用约束</w:t>
      </w:r>
      <w:r>
        <w:rPr>
          <w:rFonts w:ascii="宋体" w:eastAsia="宋体" w:hAnsi="宋体" w:cs="宋体" w:hint="eastAsia"/>
          <w:color w:val="000000"/>
        </w:rPr>
        <w:t>部</w:t>
      </w:r>
      <w:r>
        <w:rPr>
          <w:rFonts w:ascii="宋体" w:eastAsia="宋体" w:hAnsi="宋体" w:cs="宋体" w:hint="eastAsia"/>
          <w:color w:val="000000"/>
        </w:rPr>
        <w:t>件固定于移动车（移动壁障）上，则约束</w:t>
      </w:r>
      <w:r>
        <w:rPr>
          <w:rFonts w:ascii="宋体" w:eastAsia="宋体" w:hAnsi="宋体" w:cs="宋体" w:hint="eastAsia"/>
          <w:color w:val="000000"/>
        </w:rPr>
        <w:t>部</w:t>
      </w:r>
      <w:r>
        <w:rPr>
          <w:rFonts w:ascii="宋体" w:eastAsia="宋体" w:hAnsi="宋体" w:cs="宋体" w:hint="eastAsia"/>
          <w:color w:val="000000"/>
        </w:rPr>
        <w:t>件一定是刚性的，且不应因碰撞而产生变形。在碰撞瞬间移动车应与牵引装置脱离而能自由移动。</w:t>
      </w:r>
    </w:p>
    <w:p w:rsidR="00A200F2">
      <w:pPr>
        <w:pStyle w:val="a26"/>
        <w:numPr>
          <w:ilvl w:val="3"/>
        </w:numPr>
        <w:spacing w:beforeLines="0" w:afterLines="0"/>
        <w:rPr>
          <w:rFonts w:ascii="宋体" w:eastAsia="宋体" w:hAnsi="宋体" w:cs="宋体" w:hint="eastAsia"/>
          <w:color w:val="000000"/>
        </w:rPr>
      </w:pPr>
      <w:r>
        <w:rPr>
          <w:rFonts w:ascii="宋体" w:eastAsia="宋体" w:hAnsi="宋体" w:cs="宋体" w:hint="eastAsia"/>
          <w:color w:val="000000"/>
        </w:rPr>
        <w:t>移动车和碰撞装置总</w:t>
      </w:r>
      <w:r>
        <w:rPr>
          <w:rFonts w:ascii="宋体" w:eastAsia="宋体" w:hAnsi="宋体" w:cs="宋体" w:hint="eastAsia"/>
          <w:color w:val="000000"/>
        </w:rPr>
        <w:t>重为1400</w:t>
      </w:r>
      <w:r>
        <w:rPr>
          <w:rFonts w:ascii="宋体" w:eastAsia="宋体" w:hAnsi="宋体" w:cs="宋体" w:hint="eastAsia"/>
          <w:color w:val="000000"/>
        </w:rPr>
        <w:t xml:space="preserve"> kg</w:t>
      </w:r>
      <w:r>
        <w:rPr>
          <w:rFonts w:ascii="宋体" w:eastAsia="宋体" w:hAnsi="宋体" w:cs="宋体" w:hint="eastAsia"/>
          <w:color w:val="000000"/>
        </w:rPr>
        <w:t>±</w:t>
      </w:r>
      <w:r>
        <w:rPr>
          <w:rFonts w:ascii="宋体" w:eastAsia="宋体" w:hAnsi="宋体" w:cs="宋体" w:hint="eastAsia"/>
          <w:color w:val="000000"/>
        </w:rPr>
        <w:t>20</w:t>
      </w:r>
      <w:r>
        <w:rPr>
          <w:rFonts w:ascii="宋体" w:eastAsia="宋体" w:hAnsi="宋体" w:cs="宋体" w:hint="eastAsia"/>
          <w:color w:val="000000"/>
        </w:rPr>
        <w:t xml:space="preserve"> </w:t>
      </w:r>
      <w:r>
        <w:rPr>
          <w:rFonts w:ascii="宋体" w:eastAsia="宋体" w:hAnsi="宋体" w:cs="宋体" w:hint="eastAsia"/>
          <w:color w:val="000000"/>
        </w:rPr>
        <w:t>kg。其重心在纵向中垂面10</w:t>
      </w:r>
      <w:r>
        <w:rPr>
          <w:rFonts w:ascii="宋体" w:eastAsia="宋体" w:hAnsi="宋体" w:cs="宋体" w:hint="eastAsia"/>
          <w:color w:val="000000"/>
        </w:rPr>
        <w:t xml:space="preserve"> </w:t>
      </w:r>
      <w:r>
        <w:rPr>
          <w:rFonts w:ascii="宋体" w:eastAsia="宋体" w:hAnsi="宋体" w:cs="宋体" w:hint="eastAsia"/>
          <w:color w:val="000000"/>
        </w:rPr>
        <w:t>mm内，距前轴1000</w:t>
      </w:r>
      <w:r>
        <w:rPr>
          <w:rFonts w:ascii="宋体" w:eastAsia="宋体" w:hAnsi="宋体" w:cs="宋体" w:hint="eastAsia"/>
          <w:color w:val="000000"/>
        </w:rPr>
        <w:t xml:space="preserve"> </w:t>
      </w:r>
      <w:r>
        <w:rPr>
          <w:rFonts w:ascii="宋体" w:eastAsia="宋体" w:hAnsi="宋体" w:cs="宋体" w:hint="eastAsia"/>
          <w:color w:val="000000"/>
        </w:rPr>
        <w:t>mm</w:t>
      </w:r>
      <w:r>
        <w:rPr>
          <w:rFonts w:ascii="宋体" w:eastAsia="宋体" w:hAnsi="宋体" w:cs="宋体" w:hint="eastAsia"/>
          <w:color w:val="000000"/>
        </w:rPr>
        <w:t>±</w:t>
      </w:r>
      <w:r>
        <w:rPr>
          <w:rFonts w:ascii="宋体" w:eastAsia="宋体" w:hAnsi="宋体" w:cs="宋体" w:hint="eastAsia"/>
          <w:color w:val="000000"/>
        </w:rPr>
        <w:t>30</w:t>
      </w:r>
      <w:r>
        <w:rPr>
          <w:rFonts w:ascii="宋体" w:eastAsia="宋体" w:hAnsi="宋体" w:cs="宋体" w:hint="eastAsia"/>
          <w:color w:val="000000"/>
        </w:rPr>
        <w:t xml:space="preserve"> </w:t>
      </w:r>
      <w:r>
        <w:rPr>
          <w:rFonts w:ascii="宋体" w:eastAsia="宋体" w:hAnsi="宋体" w:cs="宋体" w:hint="eastAsia"/>
          <w:color w:val="000000"/>
        </w:rPr>
        <w:t>mm，距地面500</w:t>
      </w:r>
      <w:r>
        <w:rPr>
          <w:rFonts w:ascii="宋体" w:eastAsia="宋体" w:hAnsi="宋体" w:cs="宋体" w:hint="eastAsia"/>
          <w:color w:val="000000"/>
        </w:rPr>
        <w:t xml:space="preserve"> </w:t>
      </w:r>
      <w:r>
        <w:rPr>
          <w:rFonts w:ascii="宋体" w:eastAsia="宋体" w:hAnsi="宋体" w:cs="宋体" w:hint="eastAsia"/>
          <w:color w:val="000000"/>
        </w:rPr>
        <w:t>mm</w:t>
      </w:r>
      <w:r>
        <w:rPr>
          <w:rFonts w:ascii="宋体" w:eastAsia="宋体" w:hAnsi="宋体" w:cs="宋体" w:hint="eastAsia"/>
          <w:color w:val="000000"/>
        </w:rPr>
        <w:t>±</w:t>
      </w:r>
      <w:r>
        <w:rPr>
          <w:rFonts w:ascii="宋体" w:eastAsia="宋体" w:hAnsi="宋体" w:cs="宋体" w:hint="eastAsia"/>
          <w:color w:val="000000"/>
        </w:rPr>
        <w:t>30</w:t>
      </w:r>
      <w:r>
        <w:rPr>
          <w:rFonts w:ascii="宋体" w:eastAsia="宋体" w:hAnsi="宋体" w:cs="宋体" w:hint="eastAsia"/>
          <w:color w:val="000000"/>
        </w:rPr>
        <w:t xml:space="preserve"> </w:t>
      </w:r>
      <w:r>
        <w:rPr>
          <w:rFonts w:ascii="宋体" w:eastAsia="宋体" w:hAnsi="宋体" w:cs="宋体" w:hint="eastAsia"/>
          <w:color w:val="000000"/>
        </w:rPr>
        <w:t>mm；轴距为3000</w:t>
      </w:r>
      <w:r>
        <w:rPr>
          <w:rFonts w:ascii="宋体" w:eastAsia="宋体" w:hAnsi="宋体" w:cs="宋体" w:hint="eastAsia"/>
          <w:color w:val="000000"/>
        </w:rPr>
        <w:t xml:space="preserve"> </w:t>
      </w:r>
      <w:r>
        <w:rPr>
          <w:rFonts w:ascii="宋体" w:eastAsia="宋体" w:hAnsi="宋体" w:cs="宋体" w:hint="eastAsia"/>
          <w:color w:val="000000"/>
        </w:rPr>
        <w:t>mm</w:t>
      </w:r>
      <w:r>
        <w:rPr>
          <w:rFonts w:ascii="宋体" w:eastAsia="宋体" w:hAnsi="宋体" w:cs="宋体" w:hint="eastAsia"/>
          <w:color w:val="000000"/>
        </w:rPr>
        <w:t>±</w:t>
      </w:r>
      <w:r>
        <w:rPr>
          <w:rFonts w:ascii="宋体" w:eastAsia="宋体" w:hAnsi="宋体" w:cs="宋体" w:hint="eastAsia"/>
          <w:color w:val="000000"/>
        </w:rPr>
        <w:t>10</w:t>
      </w:r>
      <w:r>
        <w:rPr>
          <w:rFonts w:ascii="宋体" w:eastAsia="宋体" w:hAnsi="宋体" w:cs="宋体" w:hint="eastAsia"/>
          <w:color w:val="000000"/>
        </w:rPr>
        <w:t xml:space="preserve"> </w:t>
      </w:r>
      <w:r>
        <w:rPr>
          <w:rFonts w:ascii="宋体" w:eastAsia="宋体" w:hAnsi="宋体" w:cs="宋体" w:hint="eastAsia"/>
          <w:color w:val="000000"/>
        </w:rPr>
        <w:t>mm；前、</w:t>
      </w:r>
      <w:r>
        <w:rPr>
          <w:rFonts w:ascii="宋体" w:eastAsia="宋体" w:hAnsi="宋体" w:cs="宋体" w:hint="eastAsia"/>
          <w:color w:val="000000"/>
        </w:rPr>
        <w:t>后轮距为1500</w:t>
      </w:r>
      <w:r>
        <w:rPr>
          <w:rFonts w:ascii="宋体" w:eastAsia="宋体" w:hAnsi="宋体" w:cs="宋体" w:hint="eastAsia"/>
          <w:color w:val="000000"/>
        </w:rPr>
        <w:t xml:space="preserve"> </w:t>
      </w:r>
      <w:r>
        <w:rPr>
          <w:rFonts w:ascii="宋体" w:eastAsia="宋体" w:hAnsi="宋体" w:cs="宋体" w:hint="eastAsia"/>
          <w:color w:val="000000"/>
        </w:rPr>
        <w:t>mm</w:t>
      </w:r>
      <w:r>
        <w:rPr>
          <w:rFonts w:ascii="宋体" w:eastAsia="宋体" w:hAnsi="宋体" w:cs="宋体" w:hint="eastAsia"/>
          <w:color w:val="000000"/>
        </w:rPr>
        <w:t>±</w:t>
      </w:r>
      <w:r>
        <w:rPr>
          <w:rFonts w:ascii="宋体" w:eastAsia="宋体" w:hAnsi="宋体" w:cs="宋体" w:hint="eastAsia"/>
          <w:color w:val="000000"/>
        </w:rPr>
        <w:t>10</w:t>
      </w:r>
      <w:r>
        <w:rPr>
          <w:rFonts w:ascii="宋体" w:eastAsia="宋体" w:hAnsi="宋体" w:cs="宋体" w:hint="eastAsia"/>
          <w:color w:val="000000"/>
        </w:rPr>
        <w:t xml:space="preserve"> </w:t>
      </w:r>
      <w:r>
        <w:rPr>
          <w:rFonts w:ascii="宋体" w:eastAsia="宋体" w:hAnsi="宋体" w:cs="宋体" w:hint="eastAsia"/>
          <w:color w:val="000000"/>
        </w:rPr>
        <w:t>mm。</w:t>
      </w:r>
    </w:p>
    <w:p w:rsidR="00A200F2">
      <w:pPr>
        <w:pStyle w:val="a26"/>
        <w:numPr>
          <w:ilvl w:val="3"/>
        </w:numPr>
        <w:spacing w:before="0" w:beforeLines="0" w:after="0" w:afterLines="0"/>
        <w:rPr>
          <w:rFonts w:ascii="宋体" w:eastAsia="宋体" w:hAnsi="宋体" w:cs="宋体" w:hint="eastAsia"/>
          <w:color w:val="000000"/>
        </w:rPr>
      </w:pPr>
      <w:r>
        <w:rPr>
          <w:rFonts w:ascii="宋体" w:eastAsia="宋体" w:hAnsi="宋体" w:cs="宋体" w:hint="eastAsia"/>
          <w:color w:val="000000"/>
        </w:rPr>
        <w:t>碰撞</w:t>
      </w:r>
      <w:r>
        <w:rPr>
          <w:rFonts w:ascii="宋体" w:eastAsia="宋体" w:hAnsi="宋体" w:cs="宋体" w:hint="eastAsia"/>
          <w:color w:val="000000"/>
        </w:rPr>
        <w:t>试验</w:t>
      </w:r>
      <w:r>
        <w:rPr>
          <w:rFonts w:ascii="宋体" w:eastAsia="宋体" w:hAnsi="宋体" w:cs="宋体" w:hint="eastAsia"/>
          <w:color w:val="000000"/>
        </w:rPr>
        <w:t>速度为50</w:t>
      </w:r>
      <w:r>
        <w:rPr>
          <w:rFonts w:ascii="宋体" w:eastAsia="宋体" w:hAnsi="宋体" w:cs="宋体" w:hint="eastAsia"/>
          <w:color w:val="000000"/>
        </w:rPr>
        <w:t xml:space="preserve"> </w:t>
      </w:r>
      <w:r>
        <w:rPr>
          <w:rFonts w:ascii="宋体" w:eastAsia="宋体" w:hAnsi="宋体" w:cs="宋体" w:hint="eastAsia"/>
          <w:color w:val="000000"/>
        </w:rPr>
        <w:t>km/h</w:t>
      </w:r>
      <w:r>
        <w:rPr>
          <w:rFonts w:ascii="宋体" w:eastAsia="宋体" w:hAnsi="宋体" w:cs="宋体" w:hint="eastAsia"/>
          <w:color w:val="000000"/>
        </w:rPr>
        <w:t>±</w:t>
      </w:r>
      <w:r>
        <w:rPr>
          <w:rFonts w:ascii="宋体" w:eastAsia="宋体" w:hAnsi="宋体" w:cs="宋体" w:hint="eastAsia"/>
          <w:color w:val="000000"/>
        </w:rPr>
        <w:t>2</w:t>
      </w:r>
      <w:r>
        <w:rPr>
          <w:rFonts w:ascii="宋体" w:eastAsia="宋体" w:hAnsi="宋体" w:cs="宋体" w:hint="eastAsia"/>
          <w:color w:val="000000"/>
        </w:rPr>
        <w:t xml:space="preserve"> </w:t>
      </w:r>
      <w:r>
        <w:rPr>
          <w:rFonts w:ascii="宋体" w:eastAsia="宋体" w:hAnsi="宋体" w:cs="宋体" w:hint="eastAsia"/>
          <w:color w:val="000000"/>
        </w:rPr>
        <w:t>km/h，并且该速度至少在碰撞接触前</w:t>
      </w:r>
      <w:r>
        <w:rPr>
          <w:rFonts w:ascii="宋体" w:eastAsia="宋体" w:hAnsi="宋体" w:cs="宋体" w:hint="eastAsia"/>
          <w:color w:val="000000"/>
        </w:rPr>
        <w:t>1 m</w:t>
      </w:r>
      <w:r>
        <w:rPr>
          <w:rFonts w:ascii="宋体" w:eastAsia="宋体" w:hAnsi="宋体" w:cs="宋体" w:hint="eastAsia"/>
          <w:color w:val="000000"/>
        </w:rPr>
        <w:t>内保持稳定。</w:t>
      </w:r>
      <w:r>
        <w:rPr>
          <w:rFonts w:ascii="宋体" w:eastAsia="宋体" w:hAnsi="宋体" w:cs="宋体" w:hint="eastAsia"/>
          <w:color w:val="000000"/>
        </w:rPr>
        <w:t>用于测量移动壁障</w:t>
      </w:r>
      <w:r>
        <w:rPr>
          <w:rFonts w:ascii="宋体" w:eastAsia="宋体" w:hAnsi="宋体" w:cs="宋体" w:hint="eastAsia"/>
          <w:color w:val="000000"/>
        </w:rPr>
        <w:t>速度</w:t>
      </w:r>
      <w:r>
        <w:rPr>
          <w:rFonts w:ascii="宋体" w:eastAsia="宋体" w:hAnsi="宋体" w:cs="宋体" w:hint="eastAsia"/>
          <w:color w:val="000000"/>
        </w:rPr>
        <w:t>的</w:t>
      </w:r>
      <w:r>
        <w:rPr>
          <w:rFonts w:ascii="宋体" w:eastAsia="宋体" w:hAnsi="宋体" w:cs="宋体" w:hint="eastAsia"/>
          <w:color w:val="000000"/>
        </w:rPr>
        <w:t>仪器的准确度为1</w:t>
      </w:r>
      <w:r>
        <w:rPr>
          <w:rFonts w:ascii="宋体" w:eastAsia="宋体" w:hAnsi="宋体" w:cs="宋体" w:hint="eastAsia"/>
          <w:color w:val="000000"/>
        </w:rPr>
        <w:t>%</w:t>
      </w:r>
      <w:r>
        <w:rPr>
          <w:rFonts w:ascii="宋体" w:eastAsia="宋体" w:hAnsi="宋体" w:cs="宋体" w:hint="eastAsia"/>
          <w:color w:val="000000"/>
        </w:rPr>
        <w:t>。</w:t>
      </w:r>
    </w:p>
    <w:p w:rsidR="00A200F2">
      <w:pPr>
        <w:pStyle w:val="a26"/>
        <w:spacing w:before="156" w:after="156"/>
        <w:outlineLvl w:val="2"/>
        <w:rPr>
          <w:color w:val="000000"/>
        </w:rPr>
      </w:pPr>
      <w:r>
        <w:rPr>
          <w:rFonts w:hint="eastAsia"/>
          <w:color w:val="000000"/>
        </w:rPr>
        <w:t>碰撞装置质量和速度的</w:t>
      </w:r>
      <w:r>
        <w:rPr>
          <w:rFonts w:hint="eastAsia"/>
          <w:color w:val="000000"/>
        </w:rPr>
        <w:t>特殊</w:t>
      </w:r>
      <w:r>
        <w:rPr>
          <w:rFonts w:hint="eastAsia"/>
          <w:color w:val="000000"/>
        </w:rPr>
        <w:t>要求</w:t>
      </w:r>
    </w:p>
    <w:p w:rsidR="00A200F2">
      <w:pPr>
        <w:pStyle w:val="a2"/>
        <w:rPr>
          <w:rFonts w:hint="eastAsia"/>
          <w:color w:val="000000"/>
        </w:rPr>
      </w:pPr>
      <w:r>
        <w:rPr>
          <w:rFonts w:hint="eastAsia"/>
          <w:color w:val="000000"/>
        </w:rPr>
        <w:t>如果碰撞装置质量大于6</w:t>
      </w:r>
      <w:r>
        <w:rPr>
          <w:color w:val="000000"/>
        </w:rPr>
        <w:t>.2.4.</w:t>
      </w:r>
      <w:r>
        <w:rPr>
          <w:rFonts w:hint="eastAsia"/>
          <w:color w:val="000000"/>
        </w:rPr>
        <w:t>2</w:t>
      </w:r>
      <w:r>
        <w:rPr>
          <w:rFonts w:hint="eastAsia"/>
          <w:color w:val="000000"/>
        </w:rPr>
        <w:t>的</w:t>
      </w:r>
      <w:r>
        <w:rPr>
          <w:rFonts w:hint="eastAsia"/>
          <w:color w:val="000000"/>
        </w:rPr>
        <w:t>规定和（或）碰撞试验速度高于6.2.4.3的规定，且车辆符合本</w:t>
      </w:r>
      <w:r>
        <w:rPr>
          <w:rFonts w:hint="eastAsia"/>
          <w:color w:val="000000"/>
        </w:rPr>
        <w:t>文件</w:t>
      </w:r>
      <w:r>
        <w:rPr>
          <w:rFonts w:hint="eastAsia"/>
          <w:color w:val="000000"/>
        </w:rPr>
        <w:t>规定的要求，则该试验有效。</w:t>
      </w:r>
    </w:p>
    <w:p w:rsidR="00A200F2">
      <w:pPr>
        <w:pStyle w:val="a26"/>
        <w:spacing w:before="156" w:after="156"/>
        <w:outlineLvl w:val="2"/>
        <w:rPr>
          <w:color w:val="000000"/>
        </w:rPr>
      </w:pPr>
      <w:r>
        <w:rPr>
          <w:rFonts w:hint="eastAsia"/>
          <w:color w:val="000000"/>
        </w:rPr>
        <w:t>试验车辆状态</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试验车辆应装备计入车辆整备质量中的所有正常安装的部件和设备。</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应向燃油箱加注至少90%同等质量的水或其密度和粘度与正常使用燃油相近的非可燃液体。其他系统（如制动液罐、散热器</w:t>
      </w:r>
      <w:r>
        <w:rPr>
          <w:rFonts w:ascii="宋体" w:eastAsia="宋体" w:hAnsi="宋体" w:cs="宋体" w:hint="eastAsia"/>
          <w:color w:val="000000"/>
        </w:rPr>
        <w:t>、</w:t>
      </w:r>
      <w:r>
        <w:rPr>
          <w:rFonts w:ascii="宋体" w:eastAsia="宋体" w:hAnsi="宋体" w:cs="宋体" w:hint="eastAsia"/>
          <w:color w:val="000000"/>
        </w:rPr>
        <w:t>选择性催化还原器等）可以排空。</w:t>
      </w:r>
      <w:r>
        <w:rPr>
          <w:rFonts w:ascii="宋体" w:eastAsia="宋体" w:hAnsi="宋体" w:cs="宋体" w:hint="eastAsia"/>
          <w:color w:val="000000"/>
        </w:rPr>
        <w:t>燃油箱（如有）应排空后</w:t>
      </w:r>
      <w:r>
        <w:rPr>
          <w:rFonts w:ascii="宋体" w:eastAsia="宋体" w:hAnsi="宋体" w:cs="宋体" w:hint="eastAsia"/>
          <w:color w:val="000000"/>
        </w:rPr>
        <w:t>注入水，</w:t>
      </w:r>
      <w:r>
        <w:rPr>
          <w:rFonts w:ascii="宋体" w:eastAsia="宋体" w:hAnsi="宋体" w:cs="宋体" w:hint="eastAsia"/>
          <w:color w:val="000000"/>
        </w:rPr>
        <w:t>装入水的质量</w:t>
      </w:r>
      <w:r>
        <w:rPr>
          <w:rFonts w:ascii="宋体" w:eastAsia="宋体" w:hAnsi="宋体" w:cs="宋体" w:hint="eastAsia"/>
          <w:color w:val="000000"/>
        </w:rPr>
        <w:t>至少</w:t>
      </w:r>
      <w:r>
        <w:rPr>
          <w:rFonts w:ascii="宋体" w:eastAsia="宋体" w:hAnsi="宋体" w:cs="宋体" w:hint="eastAsia"/>
          <w:color w:val="000000"/>
        </w:rPr>
        <w:t>为</w:t>
      </w:r>
      <w:r>
        <w:rPr>
          <w:rFonts w:ascii="宋体" w:eastAsia="宋体" w:hAnsi="宋体" w:cs="宋体" w:hint="eastAsia"/>
          <w:color w:val="000000"/>
        </w:rPr>
        <w:t>制造厂</w:t>
      </w:r>
      <w:r>
        <w:rPr>
          <w:rFonts w:ascii="宋体" w:eastAsia="宋体" w:hAnsi="宋体" w:cs="宋体" w:hint="eastAsia"/>
          <w:color w:val="000000"/>
        </w:rPr>
        <w:t>规定的装满油质量的90%</w:t>
      </w:r>
      <w:r>
        <w:rPr>
          <w:rFonts w:ascii="宋体" w:eastAsia="宋体" w:hAnsi="宋体" w:cs="宋体" w:hint="eastAsia"/>
          <w:color w:val="000000"/>
        </w:rPr>
        <w:t>。</w:t>
      </w:r>
      <w:r>
        <w:rPr>
          <w:rFonts w:ascii="宋体" w:eastAsia="宋体" w:hAnsi="宋体" w:cs="宋体" w:hint="eastAsia"/>
          <w:color w:val="000000"/>
        </w:rPr>
        <w:t>所有其</w:t>
      </w:r>
      <w:r>
        <w:rPr>
          <w:rFonts w:ascii="宋体" w:eastAsia="宋体" w:hAnsi="宋体" w:cs="宋体" w:hint="eastAsia"/>
          <w:color w:val="000000"/>
        </w:rPr>
        <w:t>他</w:t>
      </w:r>
      <w:r>
        <w:rPr>
          <w:rFonts w:ascii="宋体" w:eastAsia="宋体" w:hAnsi="宋体" w:cs="宋体" w:hint="eastAsia"/>
          <w:color w:val="000000"/>
        </w:rPr>
        <w:t>系统（制动</w:t>
      </w:r>
      <w:r>
        <w:rPr>
          <w:rFonts w:ascii="宋体" w:eastAsia="宋体" w:hAnsi="宋体" w:cs="宋体" w:hint="eastAsia"/>
          <w:color w:val="000000"/>
        </w:rPr>
        <w:t>系统</w:t>
      </w:r>
      <w:r>
        <w:rPr>
          <w:rFonts w:ascii="宋体" w:eastAsia="宋体" w:hAnsi="宋体" w:cs="宋体" w:hint="eastAsia"/>
          <w:color w:val="000000"/>
        </w:rPr>
        <w:t>、润滑</w:t>
      </w:r>
      <w:r>
        <w:rPr>
          <w:rFonts w:ascii="宋体" w:eastAsia="宋体" w:hAnsi="宋体" w:cs="宋体" w:hint="eastAsia"/>
          <w:color w:val="000000"/>
        </w:rPr>
        <w:t>系统</w:t>
      </w:r>
      <w:r>
        <w:rPr>
          <w:rFonts w:ascii="宋体" w:eastAsia="宋体" w:hAnsi="宋体" w:cs="宋体" w:hint="eastAsia"/>
          <w:color w:val="000000"/>
        </w:rPr>
        <w:t>、冷却</w:t>
      </w:r>
      <w:r>
        <w:rPr>
          <w:rFonts w:ascii="宋体" w:eastAsia="宋体" w:hAnsi="宋体" w:cs="宋体" w:hint="eastAsia"/>
          <w:color w:val="000000"/>
        </w:rPr>
        <w:t>系统</w:t>
      </w:r>
      <w:r>
        <w:rPr>
          <w:rFonts w:ascii="宋体" w:eastAsia="宋体" w:hAnsi="宋体" w:cs="宋体" w:hint="eastAsia"/>
          <w:color w:val="000000"/>
        </w:rPr>
        <w:t>等）可以排空，排除液体的质量应予补偿</w:t>
      </w:r>
      <w:r>
        <w:rPr>
          <w:rFonts w:ascii="宋体" w:eastAsia="宋体" w:hAnsi="宋体" w:cs="宋体" w:hint="eastAsia"/>
          <w:color w:val="000000"/>
        </w:rPr>
        <w:t>。</w:t>
      </w:r>
    </w:p>
    <w:p w:rsidR="00A200F2">
      <w:pPr>
        <w:pStyle w:val="a26"/>
        <w:numPr>
          <w:ilvl w:val="3"/>
        </w:numPr>
        <w:spacing w:beforeLines="0" w:afterLines="0"/>
        <w:rPr>
          <w:rFonts w:ascii="宋体" w:eastAsia="宋体" w:hAnsi="宋体" w:cs="宋体" w:hint="eastAsia"/>
          <w:strike/>
          <w:color w:val="000000"/>
        </w:rPr>
      </w:pPr>
      <w:r>
        <w:rPr>
          <w:rFonts w:ascii="宋体" w:eastAsia="宋体" w:hAnsi="宋体" w:cs="宋体" w:hint="eastAsia"/>
          <w:color w:val="000000"/>
        </w:rPr>
        <w:t>对于</w:t>
      </w:r>
      <w:r>
        <w:rPr>
          <w:rFonts w:ascii="宋体" w:eastAsia="宋体" w:hAnsi="宋体" w:cs="宋体" w:hint="eastAsia"/>
          <w:color w:val="000000"/>
        </w:rPr>
        <w:t>可外接充电式REES</w:t>
      </w:r>
      <w:r>
        <w:rPr>
          <w:rFonts w:ascii="宋体" w:eastAsia="宋体" w:hAnsi="宋体" w:cs="宋体" w:hint="eastAsia"/>
          <w:color w:val="000000"/>
        </w:rPr>
        <w:t>S</w:t>
      </w:r>
      <w:r>
        <w:rPr>
          <w:rFonts w:ascii="宋体" w:eastAsia="宋体" w:hAnsi="宋体" w:cs="宋体" w:hint="eastAsia"/>
          <w:color w:val="000000"/>
        </w:rPr>
        <w:t>装置，应按照</w:t>
      </w:r>
      <w:r>
        <w:rPr>
          <w:rFonts w:ascii="宋体" w:eastAsia="宋体" w:hAnsi="宋体" w:cs="宋体" w:hint="eastAsia"/>
          <w:color w:val="000000"/>
        </w:rPr>
        <w:t>制造厂</w:t>
      </w:r>
      <w:r>
        <w:rPr>
          <w:rFonts w:ascii="宋体" w:eastAsia="宋体" w:hAnsi="宋体" w:cs="宋体" w:hint="eastAsia"/>
          <w:color w:val="000000"/>
        </w:rPr>
        <w:t>规定</w:t>
      </w:r>
      <w:r>
        <w:rPr>
          <w:rFonts w:ascii="宋体" w:eastAsia="宋体" w:hAnsi="宋体" w:cs="宋体" w:hint="eastAsia"/>
          <w:color w:val="000000"/>
        </w:rPr>
        <w:t>将REES</w:t>
      </w:r>
      <w:r>
        <w:rPr>
          <w:rFonts w:ascii="宋体" w:eastAsia="宋体" w:hAnsi="宋体" w:cs="宋体" w:hint="eastAsia"/>
          <w:color w:val="000000"/>
        </w:rPr>
        <w:t>S</w:t>
      </w:r>
      <w:r>
        <w:rPr>
          <w:rFonts w:ascii="宋体" w:eastAsia="宋体" w:hAnsi="宋体" w:cs="宋体" w:hint="eastAsia"/>
          <w:color w:val="000000"/>
        </w:rPr>
        <w:t>充电至最大电荷状态</w:t>
      </w:r>
      <w:r>
        <w:rPr>
          <w:rFonts w:ascii="宋体" w:eastAsia="宋体" w:hAnsi="宋体" w:cs="宋体" w:hint="eastAsia"/>
          <w:color w:val="000000"/>
        </w:rPr>
        <w:t>。</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车辆应</w:t>
      </w:r>
      <w:r>
        <w:rPr>
          <w:rFonts w:ascii="宋体" w:eastAsia="宋体" w:hAnsi="宋体" w:cs="宋体" w:hint="eastAsia"/>
          <w:color w:val="000000"/>
        </w:rPr>
        <w:t>处于空挡</w:t>
      </w:r>
      <w:r>
        <w:rPr>
          <w:rFonts w:ascii="宋体" w:eastAsia="宋体" w:hAnsi="宋体" w:cs="宋体" w:hint="eastAsia"/>
          <w:color w:val="000000"/>
        </w:rPr>
        <w:t>状态</w:t>
      </w:r>
      <w:r>
        <w:rPr>
          <w:rFonts w:ascii="宋体" w:eastAsia="宋体" w:hAnsi="宋体" w:cs="宋体" w:hint="eastAsia"/>
          <w:color w:val="000000"/>
        </w:rPr>
        <w:t>，驻车制动器</w:t>
      </w:r>
      <w:r>
        <w:rPr>
          <w:rFonts w:ascii="宋体" w:eastAsia="宋体" w:hAnsi="宋体" w:cs="宋体" w:hint="eastAsia"/>
          <w:color w:val="000000"/>
        </w:rPr>
        <w:t>应</w:t>
      </w:r>
      <w:r>
        <w:rPr>
          <w:rFonts w:ascii="宋体" w:eastAsia="宋体" w:hAnsi="宋体" w:cs="宋体" w:hint="eastAsia"/>
          <w:color w:val="000000"/>
        </w:rPr>
        <w:t>处于制动状态。</w:t>
      </w:r>
    </w:p>
    <w:p w:rsidR="00A200F2">
      <w:pPr>
        <w:pStyle w:val="a26"/>
        <w:numPr>
          <w:ilvl w:val="3"/>
        </w:numPr>
        <w:spacing w:beforeLines="0" w:afterLines="0"/>
      </w:pPr>
      <w:r>
        <w:rPr>
          <w:rFonts w:ascii="宋体" w:eastAsia="宋体" w:hAnsi="宋体" w:cs="宋体" w:hint="eastAsia"/>
          <w:color w:val="000000"/>
        </w:rPr>
        <w:t>车门应处于全锁紧但不锁止状态；</w:t>
      </w:r>
      <w:r>
        <w:rPr>
          <w:rFonts w:ascii="宋体" w:eastAsia="宋体" w:hAnsi="宋体" w:cs="宋体" w:hint="eastAsia"/>
          <w:color w:val="000000"/>
        </w:rPr>
        <w:t>对于</w:t>
      </w:r>
      <w:r>
        <w:rPr>
          <w:rFonts w:ascii="宋体" w:eastAsia="宋体" w:hAnsi="宋体" w:cs="宋体" w:hint="eastAsia"/>
          <w:color w:val="000000"/>
        </w:rPr>
        <w:t>装备了自动激活</w:t>
      </w:r>
      <w:r>
        <w:rPr>
          <w:rFonts w:ascii="宋体" w:eastAsia="宋体" w:hAnsi="宋体" w:cs="宋体" w:hint="eastAsia"/>
          <w:color w:val="000000"/>
        </w:rPr>
        <w:t>式</w:t>
      </w:r>
      <w:r>
        <w:rPr>
          <w:rFonts w:ascii="宋体" w:eastAsia="宋体" w:hAnsi="宋体" w:cs="宋体" w:hint="eastAsia"/>
          <w:color w:val="000000"/>
        </w:rPr>
        <w:t>车门锁止系统</w:t>
      </w:r>
      <w:r>
        <w:rPr>
          <w:rFonts w:ascii="宋体" w:eastAsia="宋体" w:hAnsi="宋体" w:cs="宋体" w:hint="eastAsia"/>
          <w:color w:val="000000"/>
        </w:rPr>
        <w:t>的</w:t>
      </w:r>
      <w:r>
        <w:rPr>
          <w:rFonts w:ascii="宋体" w:eastAsia="宋体" w:hAnsi="宋体" w:cs="宋体" w:hint="eastAsia"/>
          <w:color w:val="000000"/>
        </w:rPr>
        <w:t>车辆，试验前所有车门</w:t>
      </w:r>
      <w:r>
        <w:rPr>
          <w:rFonts w:ascii="宋体" w:eastAsia="宋体" w:hAnsi="宋体" w:cs="宋体" w:hint="eastAsia"/>
          <w:color w:val="000000"/>
        </w:rPr>
        <w:t>应</w:t>
      </w:r>
      <w:r>
        <w:rPr>
          <w:rFonts w:ascii="宋体" w:eastAsia="宋体" w:hAnsi="宋体" w:cs="宋体" w:hint="eastAsia"/>
          <w:color w:val="000000"/>
        </w:rPr>
        <w:t>处于全锁紧</w:t>
      </w:r>
      <w:r>
        <w:rPr>
          <w:rFonts w:ascii="宋体" w:eastAsia="宋体" w:hAnsi="宋体" w:cs="宋体" w:hint="eastAsia"/>
          <w:color w:val="000000"/>
        </w:rPr>
        <w:t>且</w:t>
      </w:r>
      <w:r>
        <w:rPr>
          <w:rFonts w:ascii="宋体" w:eastAsia="宋体" w:hAnsi="宋体" w:cs="宋体" w:hint="eastAsia"/>
          <w:color w:val="000000"/>
        </w:rPr>
        <w:t>锁止</w:t>
      </w:r>
      <w:r>
        <w:rPr>
          <w:rFonts w:ascii="宋体" w:eastAsia="宋体" w:hAnsi="宋体" w:cs="宋体" w:hint="eastAsia"/>
          <w:color w:val="000000"/>
        </w:rPr>
        <w:t>的</w:t>
      </w:r>
      <w:r>
        <w:rPr>
          <w:rFonts w:ascii="宋体" w:eastAsia="宋体" w:hAnsi="宋体" w:cs="宋体" w:hint="eastAsia"/>
          <w:color w:val="000000"/>
        </w:rPr>
        <w:t>状态。</w:t>
      </w:r>
    </w:p>
    <w:p w:rsidR="00A200F2">
      <w:pPr>
        <w:pStyle w:val="a26"/>
        <w:numPr>
          <w:ilvl w:val="3"/>
        </w:numPr>
        <w:spacing w:before="0" w:beforeLines="0" w:after="0" w:afterLines="0"/>
        <w:rPr>
          <w:rFonts w:ascii="宋体" w:eastAsia="宋体" w:hAnsi="宋体" w:cs="宋体"/>
          <w:color w:val="000000"/>
        </w:rPr>
      </w:pPr>
      <w:r>
        <w:rPr>
          <w:rFonts w:ascii="宋体" w:eastAsia="宋体" w:hAnsi="宋体" w:cs="宋体" w:hint="eastAsia"/>
          <w:color w:val="000000"/>
        </w:rPr>
        <w:t>调整驾驶员座椅，放置Hybrid III型50百分位男性假人，使用安全带约束；</w:t>
      </w:r>
      <w:r>
        <w:rPr>
          <w:rFonts w:ascii="宋体" w:eastAsia="宋体" w:hAnsi="宋体" w:cs="宋体" w:hint="eastAsia"/>
          <w:color w:val="000000"/>
        </w:rPr>
        <w:t>座椅调整、假人的安放和调整应符合GB 11551的规定</w:t>
      </w:r>
      <w:r>
        <w:rPr>
          <w:rFonts w:ascii="宋体" w:eastAsia="宋体" w:hAnsi="宋体" w:cs="宋体" w:hint="eastAsia"/>
          <w:color w:val="000000"/>
        </w:rPr>
        <w:t>。</w:t>
      </w:r>
    </w:p>
    <w:p w:rsidR="00A200F2">
      <w:pPr>
        <w:pStyle w:val="a26"/>
        <w:numPr>
          <w:ilvl w:val="3"/>
        </w:numPr>
        <w:spacing w:before="0" w:beforeLines="0" w:after="0" w:afterLines="0"/>
        <w:rPr>
          <w:rFonts w:ascii="宋体" w:eastAsia="宋体" w:hAnsi="宋体" w:cs="宋体"/>
          <w:color w:val="000000"/>
        </w:rPr>
        <w:sectPr w:rsidSect="00A200F2">
          <w:headerReference w:type="default" r:id="rId13"/>
          <w:footerReference w:type="default" r:id="rId14"/>
          <w:type w:val="nextPage"/>
          <w:pgSz w:w="11906" w:h="16838"/>
          <w:pgMar w:top="567" w:right="1134" w:bottom="1134" w:left="1418" w:header="1418" w:footer="1134" w:gutter="0"/>
          <w:pgNumType w:start="3"/>
          <w:cols w:space="720"/>
          <w:formProt w:val="0"/>
          <w:titlePg w:val="0"/>
          <w:docGrid w:type="lines" w:linePitch="312"/>
        </w:sectPr>
      </w:pPr>
      <w:r>
        <w:rPr>
          <w:rFonts w:ascii="宋体" w:eastAsia="宋体" w:hAnsi="宋体" w:cs="宋体" w:hint="eastAsia"/>
          <w:color w:val="000000"/>
        </w:rPr>
        <w:t>若制造厂要求，应允许</w:t>
      </w:r>
      <w:r>
        <w:rPr>
          <w:rFonts w:ascii="宋体" w:eastAsia="宋体" w:hAnsi="宋体" w:cs="宋体" w:hint="eastAsia"/>
          <w:color w:val="000000"/>
        </w:rPr>
        <w:t>下述试验车辆进行试验</w:t>
      </w:r>
      <w:r>
        <w:rPr>
          <w:rFonts w:ascii="宋体" w:eastAsia="宋体" w:hAnsi="宋体" w:cs="宋体" w:hint="eastAsia"/>
          <w:color w:val="000000"/>
        </w:rPr>
        <w:t>：</w:t>
      </w:r>
    </w:p>
    <w:p w:rsidR="00A200F2">
      <w:pPr>
        <w:pStyle w:val="a59"/>
        <w:numPr>
          <w:ilvl w:val="0"/>
          <w:numId w:val="0"/>
        </w:numPr>
        <w:spacing w:before="0" w:beforeLines="0" w:after="0" w:afterLines="0"/>
        <w:ind w:firstLine="420" w:firstLineChars="200"/>
        <w:rPr>
          <w:rFonts w:ascii="宋体" w:eastAsia="宋体" w:hAnsi="宋体" w:cs="宋体"/>
          <w:color w:val="000000"/>
        </w:rPr>
      </w:pPr>
      <w:r>
        <w:rPr>
          <w:rFonts w:ascii="宋体" w:eastAsia="宋体" w:hAnsi="宋体" w:cs="宋体" w:hint="eastAsia"/>
          <w:color w:val="000000"/>
        </w:rPr>
        <w:t>a)</w:t>
      </w:r>
      <w:r>
        <w:rPr>
          <w:rFonts w:ascii="宋体" w:eastAsia="宋体" w:hAnsi="宋体" w:cs="宋体" w:hint="eastAsia"/>
          <w:color w:val="000000"/>
        </w:rPr>
        <w:t>可以使用已进行过其他（包括影响其结构的）试验的同一辆试验车进行本文件所规定的试验。</w:t>
      </w:r>
    </w:p>
    <w:p w:rsidR="00A200F2">
      <w:pPr>
        <w:pStyle w:val="a59"/>
        <w:numPr>
          <w:ilvl w:val="0"/>
          <w:numId w:val="0"/>
        </w:numPr>
        <w:spacing w:before="0" w:beforeLines="0" w:after="0" w:afterLines="0"/>
        <w:ind w:firstLine="420" w:firstLineChars="200"/>
        <w:rPr>
          <w:rFonts w:ascii="宋体" w:eastAsia="宋体" w:hAnsi="宋体" w:cs="宋体"/>
          <w:color w:val="000000"/>
        </w:rPr>
      </w:pPr>
      <w:r>
        <w:rPr>
          <w:rFonts w:ascii="宋体" w:eastAsia="宋体" w:hAnsi="宋体" w:cs="宋体" w:hint="eastAsia"/>
          <w:color w:val="000000"/>
        </w:rPr>
        <w:t>b)</w:t>
      </w:r>
      <w:r>
        <w:rPr>
          <w:rFonts w:ascii="宋体" w:eastAsia="宋体" w:hAnsi="宋体" w:cs="宋体" w:hint="eastAsia"/>
          <w:color w:val="000000"/>
        </w:rPr>
        <w:t>允许</w:t>
      </w:r>
      <w:r>
        <w:rPr>
          <w:rFonts w:ascii="宋体" w:eastAsia="宋体" w:hAnsi="宋体" w:cs="宋体" w:hint="eastAsia"/>
          <w:color w:val="000000"/>
        </w:rPr>
        <w:t>试验</w:t>
      </w:r>
      <w:r>
        <w:rPr>
          <w:rFonts w:ascii="宋体" w:eastAsia="宋体" w:hAnsi="宋体" w:cs="宋体" w:hint="eastAsia"/>
          <w:color w:val="000000"/>
        </w:rPr>
        <w:t>车辆的</w:t>
      </w:r>
      <w:r>
        <w:rPr>
          <w:rFonts w:ascii="宋体" w:eastAsia="宋体" w:hAnsi="宋体" w:cs="宋体" w:hint="eastAsia"/>
          <w:color w:val="000000"/>
        </w:rPr>
        <w:t>质量</w:t>
      </w:r>
      <w:r>
        <w:rPr>
          <w:rFonts w:ascii="宋体" w:eastAsia="宋体" w:hAnsi="宋体" w:cs="宋体" w:hint="eastAsia"/>
          <w:color w:val="000000"/>
        </w:rPr>
        <w:t>增加，但不超过其整备质量的</w:t>
      </w:r>
      <w:r>
        <w:rPr>
          <w:rFonts w:ascii="宋体" w:eastAsia="宋体" w:hAnsi="宋体" w:cs="宋体" w:hint="eastAsia"/>
          <w:color w:val="000000"/>
        </w:rPr>
        <w:t>8</w:t>
      </w:r>
      <w:r>
        <w:rPr>
          <w:rFonts w:ascii="宋体" w:eastAsia="宋体" w:hAnsi="宋体" w:cs="宋体" w:hint="eastAsia"/>
          <w:color w:val="000000"/>
        </w:rPr>
        <w:t>%，附加</w:t>
      </w:r>
      <w:r>
        <w:rPr>
          <w:rFonts w:ascii="宋体" w:eastAsia="宋体" w:hAnsi="宋体" w:cs="宋体" w:hint="eastAsia"/>
          <w:color w:val="000000"/>
        </w:rPr>
        <w:t>部分</w:t>
      </w:r>
      <w:r>
        <w:rPr>
          <w:rFonts w:ascii="宋体" w:eastAsia="宋体" w:hAnsi="宋体" w:cs="宋体" w:hint="eastAsia"/>
          <w:color w:val="000000"/>
        </w:rPr>
        <w:t>应牢固地固定在结构件上，试验中不应影响乘员舱结构性能。</w:t>
      </w:r>
    </w:p>
    <w:p w:rsidR="00A200F2">
      <w:pPr>
        <w:pStyle w:val="a7"/>
        <w:numPr>
          <w:ilvl w:val="0"/>
          <w:numId w:val="0"/>
        </w:numPr>
        <w:ind w:left="980" w:hanging="980"/>
        <w:outlineLvl w:val="0"/>
        <w:rPr>
          <w:color w:val="000000"/>
        </w:rPr>
      </w:pPr>
      <w:bookmarkStart w:id="54" w:name="_Toc77766177"/>
      <w:r>
        <w:rPr>
          <w:rFonts w:hint="eastAsia"/>
          <w:color w:val="000000"/>
        </w:rPr>
        <w:t>7</w:t>
      </w:r>
      <w:r>
        <w:rPr>
          <w:color w:val="000000"/>
        </w:rPr>
        <w:t xml:space="preserve"> </w:t>
      </w:r>
      <w:r>
        <w:rPr>
          <w:rFonts w:hint="eastAsia"/>
          <w:color w:val="000000"/>
        </w:rPr>
        <w:t>同一型式判定</w:t>
      </w:r>
      <w:bookmarkEnd w:id="54"/>
    </w:p>
    <w:p w:rsidR="00A200F2">
      <w:pPr>
        <w:pStyle w:val="a2"/>
        <w:rPr>
          <w:rFonts w:hint="eastAsia"/>
          <w:color w:val="000000"/>
        </w:rPr>
      </w:pPr>
      <w:r>
        <w:rPr>
          <w:rFonts w:hint="eastAsia"/>
          <w:color w:val="000000"/>
        </w:rPr>
        <w:t>如符合下述规定，则视为同一型式</w:t>
      </w:r>
      <w:r>
        <w:rPr>
          <w:rFonts w:hint="eastAsia"/>
          <w:color w:val="000000"/>
        </w:rPr>
        <w:t>车辆</w:t>
      </w:r>
      <w:r>
        <w:rPr>
          <w:rFonts w:hint="eastAsia"/>
          <w:color w:val="000000"/>
        </w:rPr>
        <w:t>：</w:t>
      </w:r>
    </w:p>
    <w:p w:rsidR="00A200F2">
      <w:pPr>
        <w:pStyle w:val="a2"/>
        <w:rPr>
          <w:color w:val="000000"/>
        </w:rPr>
      </w:pPr>
      <w:r>
        <w:rPr>
          <w:rFonts w:hint="eastAsia"/>
          <w:color w:val="000000"/>
        </w:rPr>
        <w:t>a)</w:t>
      </w:r>
      <w:r>
        <w:rPr>
          <w:rFonts w:hint="eastAsia"/>
          <w:color w:val="000000"/>
        </w:rPr>
        <w:t>车辆</w:t>
      </w:r>
      <w:r>
        <w:rPr>
          <w:rFonts w:hint="eastAsia"/>
          <w:color w:val="000000"/>
        </w:rPr>
        <w:t>整备质量</w:t>
      </w:r>
      <w:r>
        <w:rPr>
          <w:rFonts w:hint="eastAsia"/>
          <w:color w:val="000000"/>
        </w:rPr>
        <w:t>变化不大于</w:t>
      </w:r>
      <w:r>
        <w:rPr>
          <w:rFonts w:hAnsi="宋体" w:hint="eastAsia"/>
          <w:color w:val="000000"/>
        </w:rPr>
        <w:t>8</w:t>
      </w:r>
      <w:r>
        <w:rPr>
          <w:rFonts w:hAnsi="宋体" w:hint="eastAsia"/>
          <w:color w:val="000000"/>
        </w:rPr>
        <w:t>%</w:t>
      </w:r>
      <w:r>
        <w:rPr>
          <w:rFonts w:hint="eastAsia"/>
          <w:color w:val="000000"/>
        </w:rPr>
        <w:t>、车辆长度和宽度</w:t>
      </w:r>
      <w:r>
        <w:rPr>
          <w:rFonts w:hint="eastAsia"/>
          <w:color w:val="000000"/>
        </w:rPr>
        <w:t>相同</w:t>
      </w:r>
      <w:r>
        <w:rPr>
          <w:rFonts w:hint="eastAsia"/>
          <w:color w:val="000000"/>
        </w:rPr>
        <w:t>；</w:t>
      </w:r>
    </w:p>
    <w:p w:rsidR="00A200F2">
      <w:pPr>
        <w:pStyle w:val="a2"/>
        <w:rPr>
          <w:rFonts w:hint="eastAsia"/>
          <w:color w:val="000000"/>
        </w:rPr>
      </w:pPr>
      <w:r>
        <w:rPr>
          <w:rFonts w:hint="eastAsia"/>
          <w:color w:val="000000"/>
        </w:rPr>
        <w:t>b</w:t>
      </w:r>
      <w:r>
        <w:rPr>
          <w:rFonts w:hint="eastAsia"/>
          <w:color w:val="000000"/>
        </w:rPr>
        <w:t>)通过最后排座椅R点的横向平面之后车辆的</w:t>
      </w:r>
      <w:r>
        <w:rPr>
          <w:rFonts w:hAnsi="宋体" w:hint="eastAsia"/>
          <w:color w:val="000000"/>
        </w:rPr>
        <w:t>结构、形状</w:t>
      </w:r>
      <w:r>
        <w:rPr>
          <w:rFonts w:hAnsi="宋体" w:hint="eastAsia"/>
          <w:color w:val="000000"/>
        </w:rPr>
        <w:t>、</w:t>
      </w:r>
      <w:r>
        <w:rPr>
          <w:rFonts w:hAnsi="宋体" w:hint="eastAsia"/>
          <w:color w:val="000000"/>
        </w:rPr>
        <w:t>尺寸</w:t>
      </w:r>
      <w:r>
        <w:rPr>
          <w:rFonts w:hAnsi="宋体" w:hint="eastAsia"/>
          <w:color w:val="000000"/>
        </w:rPr>
        <w:t>和</w:t>
      </w:r>
      <w:r>
        <w:rPr>
          <w:rFonts w:hAnsi="宋体" w:hint="eastAsia"/>
          <w:color w:val="000000"/>
        </w:rPr>
        <w:t>材料</w:t>
      </w:r>
      <w:r>
        <w:rPr>
          <w:rFonts w:hint="eastAsia"/>
          <w:color w:val="000000"/>
        </w:rPr>
        <w:t>相同</w:t>
      </w:r>
      <w:r>
        <w:rPr>
          <w:rFonts w:hint="eastAsia"/>
          <w:color w:val="000000"/>
        </w:rPr>
        <w:t>；</w:t>
      </w:r>
    </w:p>
    <w:p w:rsidR="00A200F2">
      <w:pPr>
        <w:pStyle w:val="a2"/>
        <w:rPr>
          <w:rFonts w:hint="eastAsia"/>
          <w:color w:val="000000"/>
        </w:rPr>
      </w:pPr>
      <w:r>
        <w:rPr>
          <w:rFonts w:hint="eastAsia"/>
          <w:color w:val="000000"/>
        </w:rPr>
        <w:t>c</w:t>
      </w:r>
      <w:r>
        <w:rPr>
          <w:rFonts w:hint="eastAsia"/>
          <w:color w:val="000000"/>
        </w:rPr>
        <w:t>)发动机</w:t>
      </w:r>
      <w:r>
        <w:rPr>
          <w:rFonts w:hAnsi="宋体" w:hint="eastAsia"/>
          <w:color w:val="000000"/>
        </w:rPr>
        <w:t>或驱动电机的</w:t>
      </w:r>
      <w:r>
        <w:rPr>
          <w:rFonts w:hint="eastAsia"/>
          <w:color w:val="000000"/>
        </w:rPr>
        <w:t>布置方式</w:t>
      </w:r>
      <w:r>
        <w:rPr>
          <w:rFonts w:hint="eastAsia"/>
          <w:color w:val="000000"/>
        </w:rPr>
        <w:t>（</w:t>
      </w:r>
      <w:r>
        <w:rPr>
          <w:rFonts w:hint="eastAsia"/>
          <w:color w:val="000000"/>
        </w:rPr>
        <w:t>横向或纵向</w:t>
      </w:r>
      <w:r>
        <w:rPr>
          <w:rFonts w:hint="eastAsia"/>
          <w:color w:val="000000"/>
        </w:rPr>
        <w:t>）</w:t>
      </w:r>
      <w:r>
        <w:rPr>
          <w:rFonts w:hint="eastAsia"/>
          <w:color w:val="000000"/>
        </w:rPr>
        <w:t>和位置相同</w:t>
      </w:r>
      <w:r>
        <w:rPr>
          <w:rFonts w:hint="eastAsia"/>
          <w:color w:val="000000"/>
        </w:rPr>
        <w:t>（前置、中置或后置）；</w:t>
      </w:r>
    </w:p>
    <w:p w:rsidR="00A200F2">
      <w:pPr>
        <w:pStyle w:val="a2"/>
        <w:rPr>
          <w:rFonts w:hint="eastAsia"/>
          <w:color w:val="000000"/>
        </w:rPr>
      </w:pPr>
      <w:r>
        <w:rPr>
          <w:rFonts w:hint="eastAsia"/>
          <w:color w:val="000000"/>
        </w:rPr>
        <w:t>d</w:t>
      </w:r>
      <w:r>
        <w:rPr>
          <w:rFonts w:hint="eastAsia"/>
          <w:color w:val="000000"/>
        </w:rPr>
        <w:t>)</w:t>
      </w:r>
      <w:r>
        <w:rPr>
          <w:rFonts w:hint="eastAsia"/>
          <w:color w:val="000000"/>
        </w:rPr>
        <w:t>燃油箱的结构、形状、尺寸、材料相同；</w:t>
      </w:r>
    </w:p>
    <w:p w:rsidR="00A200F2">
      <w:pPr>
        <w:pStyle w:val="a2"/>
        <w:rPr>
          <w:rFonts w:hint="eastAsia"/>
          <w:color w:val="000000"/>
        </w:rPr>
      </w:pPr>
      <w:r>
        <w:rPr>
          <w:rFonts w:hint="eastAsia"/>
          <w:color w:val="000000"/>
        </w:rPr>
        <w:t>e</w:t>
      </w:r>
      <w:r>
        <w:rPr>
          <w:rFonts w:hint="eastAsia"/>
          <w:color w:val="000000"/>
        </w:rPr>
        <w:t>)燃油箱后端至</w:t>
      </w:r>
      <w:r>
        <w:rPr>
          <w:rFonts w:hint="eastAsia"/>
          <w:color w:val="000000"/>
        </w:rPr>
        <w:t>车身</w:t>
      </w:r>
      <w:r>
        <w:rPr>
          <w:rFonts w:hint="eastAsia"/>
          <w:color w:val="000000"/>
        </w:rPr>
        <w:t>最后端的距离相</w:t>
      </w:r>
      <w:r>
        <w:rPr>
          <w:rFonts w:hint="eastAsia"/>
          <w:color w:val="000000"/>
        </w:rPr>
        <w:t>同或增加</w:t>
      </w:r>
      <w:r>
        <w:rPr>
          <w:rFonts w:hint="eastAsia"/>
          <w:color w:val="000000"/>
        </w:rPr>
        <w:t>；</w:t>
      </w:r>
    </w:p>
    <w:p w:rsidR="00A200F2">
      <w:pPr>
        <w:pStyle w:val="a2"/>
        <w:rPr>
          <w:rFonts w:hint="eastAsia"/>
          <w:color w:val="000000"/>
        </w:rPr>
      </w:pPr>
      <w:r>
        <w:rPr>
          <w:rFonts w:hint="eastAsia"/>
          <w:color w:val="000000"/>
        </w:rPr>
        <w:t>f</w:t>
      </w:r>
      <w:r>
        <w:rPr>
          <w:rFonts w:hint="eastAsia"/>
          <w:color w:val="000000"/>
        </w:rPr>
        <w:t>)可充电储能</w:t>
      </w:r>
      <w:r>
        <w:rPr>
          <w:rFonts w:hint="eastAsia"/>
          <w:color w:val="000000"/>
        </w:rPr>
        <w:t>系统</w:t>
      </w:r>
      <w:r>
        <w:rPr>
          <w:rFonts w:hint="eastAsia"/>
          <w:color w:val="000000"/>
        </w:rPr>
        <w:t>（</w:t>
      </w:r>
      <w:r>
        <w:rPr>
          <w:rFonts w:hint="eastAsia"/>
          <w:color w:val="000000"/>
        </w:rPr>
        <w:t>REESS</w:t>
      </w:r>
      <w:r>
        <w:rPr>
          <w:rFonts w:hint="eastAsia"/>
          <w:color w:val="000000"/>
        </w:rPr>
        <w:t>）</w:t>
      </w:r>
      <w:r>
        <w:rPr>
          <w:rFonts w:hint="eastAsia"/>
          <w:color w:val="000000"/>
        </w:rPr>
        <w:t>的型号相同</w:t>
      </w:r>
      <w:r>
        <w:rPr>
          <w:rFonts w:hint="eastAsia"/>
          <w:color w:val="000000"/>
        </w:rPr>
        <w:t>、</w:t>
      </w:r>
      <w:r>
        <w:rPr>
          <w:rFonts w:hint="eastAsia"/>
          <w:color w:val="000000"/>
        </w:rPr>
        <w:t>在车辆上的布</w:t>
      </w:r>
      <w:r>
        <w:rPr>
          <w:rFonts w:hint="eastAsia"/>
          <w:color w:val="000000"/>
        </w:rPr>
        <w:t>置</w:t>
      </w:r>
      <w:r>
        <w:rPr>
          <w:rFonts w:hint="eastAsia"/>
          <w:color w:val="000000"/>
        </w:rPr>
        <w:t>方式和</w:t>
      </w:r>
      <w:r>
        <w:rPr>
          <w:rFonts w:hint="eastAsia"/>
          <w:color w:val="000000"/>
        </w:rPr>
        <w:t>位置相同</w:t>
      </w:r>
      <w:r>
        <w:rPr>
          <w:rFonts w:hint="eastAsia"/>
          <w:color w:val="000000"/>
        </w:rPr>
        <w:t>。</w:t>
      </w:r>
    </w:p>
    <w:p w:rsidR="00A200F2">
      <w:pPr>
        <w:pStyle w:val="a7"/>
        <w:numPr>
          <w:ilvl w:val="0"/>
          <w:numId w:val="0"/>
        </w:numPr>
        <w:ind w:left="980" w:hanging="980"/>
        <w:outlineLvl w:val="0"/>
        <w:rPr>
          <w:color w:val="000000"/>
        </w:rPr>
      </w:pPr>
      <w:bookmarkStart w:id="55" w:name="_Toc77766178"/>
      <w:r>
        <w:rPr>
          <w:rFonts w:hint="eastAsia"/>
          <w:color w:val="000000"/>
        </w:rPr>
        <w:t>8</w:t>
      </w:r>
      <w:r>
        <w:rPr>
          <w:color w:val="000000"/>
        </w:rPr>
        <w:t xml:space="preserve"> </w:t>
      </w:r>
      <w:r>
        <w:rPr>
          <w:rFonts w:hint="eastAsia"/>
          <w:color w:val="000000"/>
        </w:rPr>
        <w:t>实施</w:t>
      </w:r>
      <w:bookmarkEnd w:id="55"/>
      <w:r>
        <w:rPr>
          <w:rFonts w:hint="eastAsia"/>
          <w:color w:val="000000"/>
        </w:rPr>
        <w:t>过渡期</w:t>
      </w:r>
    </w:p>
    <w:p w:rsidR="00A200F2">
      <w:pPr>
        <w:pStyle w:val="a60"/>
        <w:tabs>
          <w:tab w:val="center" w:pos="4201"/>
          <w:tab w:val="right" w:leader="dot" w:pos="9298"/>
        </w:tabs>
        <w:ind w:left="420" w:leftChars="200"/>
        <w:outlineLvl w:val="9"/>
        <w:rPr>
          <w:rFonts w:hAnsi="宋体"/>
          <w:color w:val="000000"/>
        </w:rPr>
      </w:pPr>
      <w:r>
        <w:rPr>
          <w:rFonts w:hAnsi="宋体" w:hint="eastAsia"/>
          <w:color w:val="000000"/>
        </w:rPr>
        <w:t>对于新申请型式批准的车型，自本文件实施之日起开始执行；</w:t>
      </w:r>
    </w:p>
    <w:p w:rsidR="00A200F2">
      <w:pPr>
        <w:pStyle w:val="a60"/>
        <w:tabs>
          <w:tab w:val="center" w:pos="4201"/>
          <w:tab w:val="right" w:leader="dot" w:pos="9298"/>
        </w:tabs>
        <w:ind w:left="420" w:leftChars="200"/>
        <w:outlineLvl w:val="9"/>
        <w:rPr>
          <w:color w:val="000000"/>
        </w:rPr>
      </w:pPr>
      <w:r>
        <w:rPr>
          <w:rFonts w:hAnsi="宋体" w:hint="eastAsia"/>
          <w:color w:val="000000"/>
        </w:rPr>
        <w:t>对于已获得型式批准的车型，自本文件实施之日起第25个月开始执行。</w:t>
      </w:r>
    </w:p>
    <w:p w:rsidR="00A200F2">
      <w:pPr>
        <w:pStyle w:val="a71"/>
        <w:framePr w:hSpace="0" w:vSpace="0" w:wrap="auto" w:vAnchor="margin" w:hAnchor="text" w:xAlign="left" w:yAlign="inline"/>
        <w:rPr>
          <w:color w:val="000000"/>
        </w:rPr>
      </w:pPr>
    </w:p>
    <w:p w:rsidR="00A200F2">
      <w:pPr>
        <w:pStyle w:val="a71"/>
        <w:framePr w:hSpace="0" w:vSpace="0" w:wrap="auto" w:vAnchor="margin" w:hAnchor="text" w:xAlign="left" w:yAlign="inline"/>
        <w:rPr>
          <w:color w:val="000000"/>
        </w:rPr>
      </w:pPr>
    </w:p>
    <w:p w:rsidR="00A200F2">
      <w:pPr>
        <w:pStyle w:val="a71"/>
        <w:framePr w:hSpace="0" w:vSpace="0" w:wrap="auto" w:vAnchor="margin" w:hAnchor="text" w:xAlign="left" w:yAlign="inline"/>
        <w:rPr>
          <w:color w:val="000000"/>
        </w:rPr>
      </w:pPr>
      <w:r>
        <w:rPr>
          <w:color w:val="000000"/>
        </w:rPr>
        <w:pict>
          <v:line id="直接连接符 28" o:spid="_x0000_s1033" style="position:absolute;z-index:251665408" from="175pt,1.35pt" to="285.25pt,1.35pt" stroked="t">
            <v:fill o:detectmouseclick="t"/>
            <o:lock v:ext="edit" aspectratio="f"/>
          </v:line>
        </w:pict>
      </w:r>
    </w:p>
    <w:p w:rsidR="00A200F2">
      <w:pPr>
        <w:pStyle w:val="a71"/>
        <w:framePr w:hSpace="0" w:vSpace="0" w:wrap="auto" w:vAnchor="margin" w:hAnchor="text" w:xAlign="left" w:yAlign="inline"/>
        <w:rPr>
          <w:color w:val="000000"/>
        </w:rPr>
      </w:pPr>
    </w:p>
    <w:p w:rsidR="00AD6714">
      <w:pPr>
        <w:pStyle w:val="a71"/>
        <w:framePr w:hSpace="0" w:vSpace="0" w:wrap="auto" w:vAnchor="margin" w:hAnchor="text" w:xAlign="left" w:yAlign="inline"/>
        <w:rPr>
          <w:color w:val="000000"/>
        </w:rPr>
        <w:sectPr w:rsidSect="00A200F2">
          <w:headerReference w:type="default" r:id="rId15"/>
          <w:footerReference w:type="default" r:id="rId16"/>
          <w:type w:val="nextPage"/>
          <w:pgSz w:w="11906" w:h="16838"/>
          <w:pgMar w:top="567" w:right="1134" w:bottom="1134" w:left="1418" w:header="1418" w:footer="1134" w:gutter="0"/>
          <w:pgNumType w:start="4"/>
          <w:cols w:space="720"/>
          <w:formProt w:val="0"/>
          <w:titlePg w:val="0"/>
          <w:docGrid w:type="lines" w:linePitch="312"/>
        </w:sectPr>
      </w:pPr>
    </w:p>
    <w:p w:rsidR="00AD6714">
      <w:pPr>
        <w:pStyle w:val="Default"/>
        <w:ind w:left="5250"/>
      </w:pPr>
    </w:p>
    <w:p w:rsidR="00AD6714">
      <w:pPr>
        <w:pStyle w:val="Default"/>
        <w:tabs>
          <w:tab w:val="left" w:pos="2742"/>
        </w:tabs>
        <w:spacing w:line="480" w:lineRule="auto"/>
        <w:ind w:left="5250"/>
        <w:rPr>
          <w:sz w:val="44"/>
          <w:szCs w:val="44"/>
        </w:rPr>
      </w:pPr>
      <w:r>
        <w:rPr>
          <w:sz w:val="44"/>
          <w:szCs w:val="44"/>
        </w:rPr>
        <w:tab/>
      </w:r>
    </w:p>
    <w:p w:rsidR="00AD6714">
      <w:pPr>
        <w:pStyle w:val="Default"/>
        <w:tabs>
          <w:tab w:val="left" w:pos="2742"/>
        </w:tabs>
        <w:spacing w:line="480" w:lineRule="auto"/>
        <w:ind w:left="5250"/>
        <w:rPr>
          <w:sz w:val="44"/>
          <w:szCs w:val="44"/>
        </w:rPr>
      </w:pPr>
    </w:p>
    <w:p w:rsidR="00AD6714">
      <w:pPr>
        <w:pStyle w:val="Default"/>
        <w:spacing w:line="480" w:lineRule="auto"/>
        <w:ind w:left="5250"/>
        <w:rPr>
          <w:sz w:val="44"/>
          <w:szCs w:val="44"/>
        </w:rPr>
      </w:pPr>
    </w:p>
    <w:p w:rsidR="00AD6714">
      <w:pPr>
        <w:pStyle w:val="Default"/>
        <w:spacing w:line="480" w:lineRule="auto"/>
        <w:ind w:left="5250"/>
        <w:jc w:val="center"/>
        <w:rPr>
          <w:rFonts w:ascii="黑体" w:eastAsia="黑体" w:hAnsi="黑体"/>
          <w:sz w:val="52"/>
          <w:szCs w:val="52"/>
        </w:rPr>
      </w:pPr>
      <w:r>
        <w:rPr>
          <w:rFonts w:ascii="黑体" w:eastAsia="黑体" w:hAnsi="黑体" w:hint="eastAsia"/>
          <w:sz w:val="52"/>
          <w:szCs w:val="52"/>
        </w:rPr>
        <w:t>强制性国家标准</w:t>
      </w:r>
    </w:p>
    <w:p w:rsidR="00AD6714">
      <w:pPr>
        <w:pStyle w:val="Default"/>
        <w:spacing w:line="480" w:lineRule="auto"/>
        <w:ind w:left="5250"/>
        <w:jc w:val="center"/>
        <w:rPr>
          <w:rFonts w:ascii="黑体" w:eastAsia="黑体" w:hAnsi="黑体"/>
          <w:sz w:val="52"/>
          <w:szCs w:val="52"/>
        </w:rPr>
      </w:pPr>
      <w:r>
        <w:rPr>
          <w:rFonts w:ascii="黑体" w:eastAsia="黑体" w:hAnsi="黑体" w:hint="eastAsia"/>
          <w:sz w:val="52"/>
          <w:szCs w:val="52"/>
        </w:rPr>
        <w:t xml:space="preserve">GB </w:t>
      </w:r>
      <w:r>
        <w:rPr>
          <w:rFonts w:ascii="黑体" w:eastAsia="黑体" w:hAnsi="黑体" w:hint="eastAsia"/>
          <w:sz w:val="52"/>
          <w:szCs w:val="52"/>
        </w:rPr>
        <w:t>20072</w:t>
      </w:r>
      <w:r>
        <w:rPr>
          <w:rFonts w:ascii="黑体" w:eastAsia="黑体" w:hAnsi="黑体" w:hint="eastAsia"/>
          <w:sz w:val="52"/>
          <w:szCs w:val="52"/>
        </w:rPr>
        <w:t>《乘用车后碰撞安全要求》</w:t>
      </w:r>
    </w:p>
    <w:p w:rsidR="00AD6714">
      <w:pPr>
        <w:pStyle w:val="Default"/>
        <w:ind w:left="5250"/>
        <w:jc w:val="center"/>
        <w:rPr>
          <w:rFonts w:ascii="黑体" w:eastAsia="黑体" w:hAnsi="黑体"/>
          <w:sz w:val="32"/>
          <w:szCs w:val="32"/>
        </w:rPr>
      </w:pPr>
      <w:r>
        <w:rPr>
          <w:rFonts w:ascii="黑体" w:eastAsia="黑体" w:hAnsi="黑体" w:hint="eastAsia"/>
          <w:sz w:val="32"/>
          <w:szCs w:val="32"/>
        </w:rPr>
        <w:t>（征求意见稿）</w:t>
      </w:r>
    </w:p>
    <w:p w:rsidR="00AD6714">
      <w:pPr>
        <w:pStyle w:val="Default"/>
        <w:ind w:left="5250"/>
        <w:jc w:val="center"/>
        <w:rPr>
          <w:sz w:val="52"/>
          <w:szCs w:val="52"/>
        </w:rPr>
      </w:pPr>
      <w:r>
        <w:rPr>
          <w:rFonts w:ascii="黑体" w:eastAsia="黑体" w:hAnsi="黑体" w:hint="eastAsia"/>
          <w:sz w:val="52"/>
          <w:szCs w:val="52"/>
        </w:rPr>
        <w:t>编制说明</w:t>
      </w:r>
    </w:p>
    <w:p w:rsidR="00AD6714">
      <w:pPr>
        <w:pStyle w:val="Default"/>
        <w:ind w:left="5250"/>
        <w:rPr>
          <w:sz w:val="52"/>
          <w:szCs w:val="52"/>
        </w:rPr>
      </w:pPr>
    </w:p>
    <w:p w:rsidR="00AD6714">
      <w:pPr>
        <w:pStyle w:val="Default"/>
        <w:ind w:left="5250"/>
        <w:rPr>
          <w:sz w:val="52"/>
          <w:szCs w:val="52"/>
        </w:rPr>
      </w:pPr>
    </w:p>
    <w:p w:rsidR="00AD6714">
      <w:pPr>
        <w:pStyle w:val="Default"/>
        <w:ind w:left="5250"/>
        <w:rPr>
          <w:sz w:val="52"/>
          <w:szCs w:val="52"/>
        </w:rPr>
      </w:pPr>
    </w:p>
    <w:p w:rsidR="00AD6714">
      <w:pPr>
        <w:pStyle w:val="Default"/>
        <w:ind w:left="5250"/>
        <w:rPr>
          <w:sz w:val="52"/>
          <w:szCs w:val="52"/>
        </w:rPr>
      </w:pPr>
    </w:p>
    <w:p w:rsidR="00AD6714">
      <w:pPr>
        <w:pStyle w:val="Default"/>
        <w:ind w:left="5250"/>
        <w:rPr>
          <w:sz w:val="52"/>
          <w:szCs w:val="52"/>
        </w:rPr>
      </w:pPr>
    </w:p>
    <w:p w:rsidR="00AD6714">
      <w:pPr>
        <w:rPr>
          <w:rFonts w:ascii="宋体" w:hAnsi="宋体"/>
          <w:sz w:val="28"/>
          <w:szCs w:val="28"/>
        </w:rPr>
      </w:pPr>
    </w:p>
    <w:p w:rsidR="00AD6714">
      <w:pPr>
        <w:rPr>
          <w:rFonts w:ascii="宋体" w:hAnsi="宋体"/>
          <w:sz w:val="28"/>
          <w:szCs w:val="28"/>
        </w:rPr>
      </w:pPr>
    </w:p>
    <w:p w:rsidR="00AD6714">
      <w:pPr>
        <w:jc w:val="center"/>
        <w:rPr>
          <w:sz w:val="28"/>
          <w:szCs w:val="28"/>
        </w:rPr>
      </w:pPr>
      <w:r>
        <w:rPr>
          <w:rFonts w:hint="eastAsia"/>
          <w:sz w:val="28"/>
          <w:szCs w:val="28"/>
        </w:rPr>
        <w:t>《乘用车后碰撞安全要求》</w:t>
      </w:r>
      <w:r>
        <w:rPr>
          <w:sz w:val="28"/>
          <w:szCs w:val="28"/>
        </w:rPr>
        <w:t>标准</w:t>
      </w:r>
      <w:r>
        <w:rPr>
          <w:rFonts w:hint="eastAsia"/>
          <w:sz w:val="28"/>
          <w:szCs w:val="28"/>
        </w:rPr>
        <w:t>起草</w:t>
      </w:r>
      <w:r>
        <w:rPr>
          <w:sz w:val="28"/>
          <w:szCs w:val="28"/>
        </w:rPr>
        <w:t>组</w:t>
      </w:r>
    </w:p>
    <w:p w:rsidR="00AD6714">
      <w:pPr>
        <w:pStyle w:val="Default"/>
        <w:ind w:left="5250"/>
        <w:jc w:val="center"/>
        <w:outlineLvl w:val="0"/>
        <w:rPr>
          <w:rFonts w:ascii="Times New Roman" w:cs="Times New Roman"/>
          <w:bCs/>
          <w:sz w:val="28"/>
          <w:szCs w:val="28"/>
        </w:rPr>
      </w:pPr>
      <w:bookmarkStart w:id="56" w:name="_Toc6563"/>
      <w:bookmarkStart w:id="57" w:name="_Toc4474"/>
      <w:bookmarkStart w:id="58" w:name="_Toc1833"/>
      <w:bookmarkStart w:id="59" w:name="_Toc36212234"/>
      <w:bookmarkStart w:id="60" w:name="_Toc10447"/>
      <w:bookmarkStart w:id="61" w:name="_Toc64898470"/>
      <w:r>
        <w:rPr>
          <w:rFonts w:ascii="Times New Roman" w:cs="Times New Roman" w:hint="eastAsia"/>
          <w:bCs/>
          <w:sz w:val="28"/>
          <w:szCs w:val="28"/>
        </w:rPr>
        <w:t>202</w:t>
      </w:r>
      <w:r>
        <w:rPr>
          <w:rFonts w:ascii="Times New Roman" w:cs="Times New Roman" w:hint="eastAsia"/>
          <w:bCs/>
          <w:sz w:val="28"/>
          <w:szCs w:val="28"/>
        </w:rPr>
        <w:t>3</w:t>
      </w:r>
      <w:r>
        <w:rPr>
          <w:rFonts w:ascii="Times New Roman" w:cs="Times New Roman"/>
          <w:bCs/>
          <w:sz w:val="28"/>
          <w:szCs w:val="28"/>
        </w:rPr>
        <w:t>年</w:t>
      </w:r>
      <w:r>
        <w:rPr>
          <w:rFonts w:ascii="Times New Roman" w:cs="Times New Roman" w:hint="eastAsia"/>
          <w:bCs/>
          <w:sz w:val="28"/>
          <w:szCs w:val="28"/>
        </w:rPr>
        <w:t>8</w:t>
      </w:r>
      <w:r>
        <w:rPr>
          <w:rFonts w:ascii="Times New Roman" w:cs="Times New Roman"/>
          <w:bCs/>
          <w:sz w:val="28"/>
          <w:szCs w:val="28"/>
        </w:rPr>
        <w:t>月</w:t>
      </w:r>
      <w:bookmarkEnd w:id="56"/>
      <w:bookmarkEnd w:id="57"/>
      <w:bookmarkEnd w:id="58"/>
      <w:bookmarkEnd w:id="59"/>
      <w:bookmarkEnd w:id="60"/>
      <w:bookmarkEnd w:id="61"/>
    </w:p>
    <w:p w:rsidR="00AD6714">
      <w:pPr>
        <w:pStyle w:val="Default"/>
        <w:ind w:left="5250"/>
        <w:jc w:val="center"/>
        <w:outlineLvl w:val="0"/>
        <w:rPr>
          <w:rFonts w:ascii="Times New Roman" w:cs="Times New Roman"/>
          <w:bCs/>
          <w:sz w:val="28"/>
          <w:szCs w:val="28"/>
        </w:rPr>
      </w:pPr>
    </w:p>
    <w:p w:rsidR="00AD6714">
      <w:pPr>
        <w:pStyle w:val="Default"/>
        <w:ind w:left="5250"/>
        <w:jc w:val="center"/>
        <w:outlineLvl w:val="0"/>
        <w:rPr>
          <w:rFonts w:ascii="Times New Roman" w:cs="Times New Roman"/>
          <w:bCs/>
          <w:sz w:val="28"/>
          <w:szCs w:val="28"/>
        </w:rPr>
        <w:sectPr w:rsidSect="00A200F2">
          <w:headerReference w:type="default" r:id="rId17"/>
          <w:footerReference w:type="default" r:id="rId18"/>
          <w:footerReference w:type="first" r:id="rId19"/>
          <w:pgSz w:w="11906" w:h="16838"/>
          <w:pgMar w:top="567" w:right="1134" w:bottom="1134" w:left="1418" w:header="1418" w:footer="1134" w:gutter="0"/>
          <w:pgNumType w:start="1"/>
          <w:cols w:space="720"/>
          <w:formProt w:val="0"/>
          <w:docGrid w:type="lines" w:linePitch="312"/>
        </w:sectPr>
      </w:pPr>
    </w:p>
    <w:p w:rsidR="00AD6714">
      <w:pPr>
        <w:spacing w:before="156" w:beforeLines="50" w:after="156" w:afterLines="50"/>
        <w:ind w:firstLine="420"/>
        <w:rPr>
          <w:rFonts w:ascii="黑体" w:eastAsia="黑体" w:hAnsi="黑体"/>
          <w:sz w:val="28"/>
          <w:szCs w:val="28"/>
        </w:rPr>
      </w:pPr>
      <w:r>
        <w:rPr>
          <w:rFonts w:ascii="宋体" w:hAnsi="宋体" w:hint="eastAsia"/>
        </w:rPr>
        <w:t xml:space="preserve">                             </w:t>
      </w:r>
      <w:r>
        <w:rPr>
          <w:rFonts w:ascii="黑体" w:eastAsia="黑体" w:hAnsi="黑体" w:cs="宋体"/>
          <w:color w:val="000000"/>
          <w:kern w:val="0"/>
          <w:sz w:val="28"/>
          <w:szCs w:val="28"/>
        </w:rPr>
        <w:t xml:space="preserve">    </w:t>
      </w:r>
      <w:r>
        <w:rPr>
          <w:rFonts w:ascii="黑体" w:eastAsia="黑体" w:hAnsi="黑体" w:cs="宋体"/>
          <w:color w:val="000000"/>
          <w:kern w:val="0"/>
          <w:sz w:val="28"/>
          <w:szCs w:val="28"/>
        </w:rPr>
        <w:t>目</w:t>
      </w:r>
      <w:r>
        <w:rPr>
          <w:rFonts w:ascii="黑体" w:eastAsia="黑体" w:hAnsi="黑体" w:cs="宋体" w:hint="eastAsia"/>
          <w:color w:val="000000"/>
          <w:kern w:val="0"/>
          <w:sz w:val="28"/>
          <w:szCs w:val="28"/>
        </w:rPr>
        <w:t xml:space="preserve"> 次</w:t>
      </w:r>
    </w:p>
    <w:p w:rsidR="00AD6714">
      <w:pPr>
        <w:pStyle w:val="WPSOffice1"/>
        <w:tabs>
          <w:tab w:val="right" w:leader="dot" w:pos="8306"/>
        </w:tabs>
      </w:pPr>
      <w:r>
        <w:rPr>
          <w:bCs/>
          <w:sz w:val="28"/>
          <w:szCs w:val="28"/>
        </w:rPr>
        <w:fldChar w:fldCharType="begin"/>
      </w:r>
      <w:r>
        <w:rPr>
          <w:bCs/>
          <w:sz w:val="28"/>
          <w:szCs w:val="28"/>
        </w:rPr>
        <w:instrText xml:space="preserve">TOC \o "1-1" \h \u </w:instrText>
      </w:r>
      <w:r>
        <w:rPr>
          <w:bCs/>
          <w:sz w:val="28"/>
          <w:szCs w:val="28"/>
        </w:rPr>
        <w:fldChar w:fldCharType="separate"/>
      </w:r>
    </w:p>
    <w:p w:rsidR="00AD6714">
      <w:pPr>
        <w:pStyle w:val="WPSOffice1"/>
        <w:tabs>
          <w:tab w:val="right" w:leader="dot" w:pos="8306"/>
        </w:tabs>
        <w:spacing w:line="400" w:lineRule="exact"/>
        <w:rPr>
          <w:sz w:val="21"/>
          <w:szCs w:val="21"/>
        </w:rPr>
      </w:pPr>
      <w:hyperlink w:anchor="_Toc32662" w:history="1">
        <w:r>
          <w:rPr>
            <w:rFonts w:eastAsia="黑体"/>
            <w:bCs/>
            <w:sz w:val="21"/>
            <w:szCs w:val="21"/>
          </w:rPr>
          <w:t>一、工作简况</w:t>
        </w:r>
        <w:r>
          <w:rPr>
            <w:sz w:val="21"/>
            <w:szCs w:val="21"/>
          </w:rPr>
          <w:tab/>
        </w:r>
        <w:r>
          <w:rPr>
            <w:rFonts w:hint="eastAsia"/>
            <w:sz w:val="21"/>
            <w:szCs w:val="21"/>
          </w:rPr>
          <w:t>1</w:t>
        </w:r>
      </w:hyperlink>
    </w:p>
    <w:p w:rsidR="00AD6714">
      <w:pPr>
        <w:pStyle w:val="WPSOffice1"/>
        <w:tabs>
          <w:tab w:val="right" w:leader="dot" w:pos="8306"/>
        </w:tabs>
        <w:spacing w:line="400" w:lineRule="exact"/>
        <w:rPr>
          <w:sz w:val="21"/>
          <w:szCs w:val="21"/>
        </w:rPr>
      </w:pPr>
      <w:hyperlink w:anchor="_Toc5551" w:history="1">
        <w:r>
          <w:rPr>
            <w:rFonts w:eastAsia="黑体"/>
            <w:sz w:val="21"/>
            <w:szCs w:val="22"/>
          </w:rPr>
          <w:t>二、</w:t>
        </w:r>
        <w:r>
          <w:rPr>
            <w:rFonts w:eastAsia="黑体"/>
            <w:bCs/>
            <w:sz w:val="21"/>
            <w:szCs w:val="21"/>
          </w:rPr>
          <w:t>编制原则、强制性国家标准主要技术要求的依据及理由</w:t>
        </w:r>
        <w:r>
          <w:rPr>
            <w:sz w:val="21"/>
            <w:szCs w:val="21"/>
          </w:rPr>
          <w:tab/>
        </w:r>
        <w:r>
          <w:rPr>
            <w:rFonts w:hint="eastAsia"/>
            <w:sz w:val="21"/>
            <w:szCs w:val="21"/>
          </w:rPr>
          <w:t>5</w:t>
        </w:r>
      </w:hyperlink>
    </w:p>
    <w:p w:rsidR="00AD6714">
      <w:pPr>
        <w:pStyle w:val="WPSOffice1"/>
        <w:tabs>
          <w:tab w:val="right" w:leader="dot" w:pos="8306"/>
        </w:tabs>
        <w:spacing w:line="400" w:lineRule="exact"/>
        <w:rPr>
          <w:sz w:val="21"/>
          <w:szCs w:val="21"/>
        </w:rPr>
      </w:pPr>
      <w:hyperlink w:anchor="_Toc30008" w:history="1">
        <w:r>
          <w:rPr>
            <w:rFonts w:eastAsia="黑体" w:hint="eastAsia"/>
            <w:bCs/>
            <w:sz w:val="21"/>
            <w:szCs w:val="21"/>
          </w:rPr>
          <w:t>三、与有关法律、行政法规和其他标准的关系</w:t>
        </w:r>
        <w:r>
          <w:rPr>
            <w:sz w:val="21"/>
            <w:szCs w:val="21"/>
          </w:rPr>
          <w:tab/>
        </w:r>
        <w:r>
          <w:rPr>
            <w:rFonts w:hint="eastAsia"/>
            <w:sz w:val="21"/>
            <w:szCs w:val="21"/>
          </w:rPr>
          <w:t>1</w:t>
        </w:r>
      </w:hyperlink>
      <w:r>
        <w:rPr>
          <w:rFonts w:hint="eastAsia"/>
          <w:bCs/>
          <w:sz w:val="21"/>
          <w:szCs w:val="32"/>
        </w:rPr>
        <w:t>4</w:t>
      </w:r>
    </w:p>
    <w:p w:rsidR="00AD6714">
      <w:pPr>
        <w:pStyle w:val="WPSOffice1"/>
        <w:tabs>
          <w:tab w:val="right" w:leader="dot" w:pos="8306"/>
        </w:tabs>
        <w:spacing w:line="400" w:lineRule="exact"/>
        <w:rPr>
          <w:sz w:val="21"/>
          <w:szCs w:val="21"/>
        </w:rPr>
      </w:pPr>
      <w:hyperlink w:anchor="_Toc18703" w:history="1">
        <w:r>
          <w:rPr>
            <w:rFonts w:eastAsia="黑体" w:hint="eastAsia"/>
            <w:bCs/>
            <w:sz w:val="21"/>
            <w:szCs w:val="21"/>
          </w:rPr>
          <w:t>四、与国际标准化组织、其他国家或者地区有关法律法规和标准的比对分析</w:t>
        </w:r>
        <w:r>
          <w:rPr>
            <w:sz w:val="21"/>
            <w:szCs w:val="21"/>
          </w:rPr>
          <w:tab/>
        </w:r>
        <w:r>
          <w:rPr>
            <w:rFonts w:hint="eastAsia"/>
            <w:sz w:val="21"/>
            <w:szCs w:val="21"/>
          </w:rPr>
          <w:t>1</w:t>
        </w:r>
      </w:hyperlink>
      <w:r>
        <w:rPr>
          <w:rFonts w:hint="eastAsia"/>
          <w:bCs/>
          <w:sz w:val="21"/>
          <w:szCs w:val="32"/>
        </w:rPr>
        <w:t>4</w:t>
      </w:r>
    </w:p>
    <w:p w:rsidR="00AD6714">
      <w:pPr>
        <w:pStyle w:val="WPSOffice1"/>
        <w:tabs>
          <w:tab w:val="right" w:leader="dot" w:pos="8306"/>
        </w:tabs>
        <w:spacing w:line="400" w:lineRule="exact"/>
        <w:rPr>
          <w:sz w:val="21"/>
          <w:szCs w:val="21"/>
        </w:rPr>
      </w:pPr>
      <w:hyperlink w:anchor="_Toc11881" w:history="1">
        <w:r>
          <w:rPr>
            <w:rFonts w:eastAsia="黑体" w:hint="eastAsia"/>
            <w:bCs/>
            <w:sz w:val="21"/>
            <w:szCs w:val="21"/>
          </w:rPr>
          <w:t>五、重大分歧意见的处理过程、处理意见及其依据</w:t>
        </w:r>
        <w:r>
          <w:rPr>
            <w:sz w:val="21"/>
            <w:szCs w:val="21"/>
          </w:rPr>
          <w:tab/>
        </w:r>
        <w:r>
          <w:rPr>
            <w:rFonts w:hint="eastAsia"/>
            <w:sz w:val="21"/>
            <w:szCs w:val="21"/>
          </w:rPr>
          <w:t>1</w:t>
        </w:r>
      </w:hyperlink>
      <w:r>
        <w:rPr>
          <w:rFonts w:hint="eastAsia"/>
          <w:bCs/>
          <w:sz w:val="21"/>
          <w:szCs w:val="32"/>
        </w:rPr>
        <w:t>4</w:t>
      </w:r>
    </w:p>
    <w:p w:rsidR="00AD6714">
      <w:pPr>
        <w:pStyle w:val="WPSOffice1"/>
        <w:tabs>
          <w:tab w:val="right" w:leader="dot" w:pos="8306"/>
        </w:tabs>
        <w:spacing w:line="400" w:lineRule="exact"/>
        <w:rPr>
          <w:sz w:val="21"/>
          <w:szCs w:val="21"/>
        </w:rPr>
      </w:pPr>
      <w:hyperlink w:anchor="_Toc16406" w:history="1">
        <w:r>
          <w:rPr>
            <w:rFonts w:eastAsia="黑体" w:hint="eastAsia"/>
            <w:bCs/>
            <w:sz w:val="21"/>
            <w:szCs w:val="21"/>
          </w:rPr>
          <w:t>六、对强制性国家标准自发布日期至实施日期之间的过渡期的建议及理由</w:t>
        </w:r>
        <w:r>
          <w:rPr>
            <w:sz w:val="21"/>
            <w:szCs w:val="21"/>
          </w:rPr>
          <w:tab/>
        </w:r>
        <w:r>
          <w:rPr>
            <w:rFonts w:hint="eastAsia"/>
            <w:sz w:val="21"/>
            <w:szCs w:val="21"/>
          </w:rPr>
          <w:t>1</w:t>
        </w:r>
      </w:hyperlink>
      <w:r>
        <w:rPr>
          <w:rFonts w:hint="eastAsia"/>
          <w:bCs/>
          <w:sz w:val="21"/>
          <w:szCs w:val="32"/>
        </w:rPr>
        <w:t>4</w:t>
      </w:r>
    </w:p>
    <w:p w:rsidR="00AD6714">
      <w:pPr>
        <w:pStyle w:val="WPSOffice1"/>
        <w:tabs>
          <w:tab w:val="right" w:leader="dot" w:pos="8306"/>
        </w:tabs>
        <w:spacing w:line="400" w:lineRule="exact"/>
        <w:rPr>
          <w:sz w:val="21"/>
          <w:szCs w:val="21"/>
        </w:rPr>
      </w:pPr>
      <w:hyperlink w:anchor="_Toc23204" w:history="1">
        <w:r>
          <w:rPr>
            <w:rFonts w:eastAsia="黑体" w:hint="eastAsia"/>
            <w:bCs/>
            <w:sz w:val="21"/>
            <w:szCs w:val="21"/>
          </w:rPr>
          <w:t>七、与实施强制性国家标准有关的政策措施</w:t>
        </w:r>
        <w:r>
          <w:rPr>
            <w:sz w:val="21"/>
            <w:szCs w:val="21"/>
          </w:rPr>
          <w:tab/>
        </w:r>
        <w:r>
          <w:rPr>
            <w:rFonts w:hint="eastAsia"/>
            <w:sz w:val="21"/>
            <w:szCs w:val="21"/>
          </w:rPr>
          <w:t>1</w:t>
        </w:r>
      </w:hyperlink>
      <w:r>
        <w:rPr>
          <w:rFonts w:hint="eastAsia"/>
          <w:bCs/>
          <w:sz w:val="21"/>
          <w:szCs w:val="32"/>
        </w:rPr>
        <w:t>4</w:t>
      </w:r>
    </w:p>
    <w:p w:rsidR="00AD6714">
      <w:pPr>
        <w:pStyle w:val="WPSOffice1"/>
        <w:tabs>
          <w:tab w:val="right" w:leader="dot" w:pos="8306"/>
        </w:tabs>
        <w:spacing w:line="400" w:lineRule="exact"/>
        <w:rPr>
          <w:sz w:val="21"/>
          <w:szCs w:val="21"/>
        </w:rPr>
      </w:pPr>
      <w:hyperlink w:anchor="_Toc20051" w:history="1">
        <w:r>
          <w:rPr>
            <w:rFonts w:eastAsia="黑体" w:hint="eastAsia"/>
            <w:bCs/>
            <w:sz w:val="21"/>
            <w:szCs w:val="21"/>
          </w:rPr>
          <w:t>八、是否需要对外通报的建议及理由</w:t>
        </w:r>
        <w:r>
          <w:rPr>
            <w:sz w:val="21"/>
            <w:szCs w:val="21"/>
          </w:rPr>
          <w:tab/>
        </w:r>
        <w:r>
          <w:rPr>
            <w:rFonts w:hint="eastAsia"/>
            <w:sz w:val="21"/>
            <w:szCs w:val="21"/>
          </w:rPr>
          <w:t>1</w:t>
        </w:r>
      </w:hyperlink>
      <w:r>
        <w:rPr>
          <w:rFonts w:hint="eastAsia"/>
          <w:bCs/>
          <w:sz w:val="21"/>
          <w:szCs w:val="32"/>
        </w:rPr>
        <w:t>5</w:t>
      </w:r>
    </w:p>
    <w:p w:rsidR="00AD6714">
      <w:pPr>
        <w:pStyle w:val="WPSOffice1"/>
        <w:tabs>
          <w:tab w:val="right" w:leader="dot" w:pos="8306"/>
        </w:tabs>
        <w:spacing w:line="400" w:lineRule="exact"/>
        <w:rPr>
          <w:sz w:val="21"/>
          <w:szCs w:val="21"/>
        </w:rPr>
      </w:pPr>
      <w:hyperlink w:anchor="_Toc5040" w:history="1">
        <w:r>
          <w:rPr>
            <w:rFonts w:eastAsia="黑体" w:hint="eastAsia"/>
            <w:bCs/>
            <w:sz w:val="21"/>
            <w:szCs w:val="21"/>
          </w:rPr>
          <w:t>九、废止现行有关标准的建议</w:t>
        </w:r>
        <w:r>
          <w:rPr>
            <w:sz w:val="21"/>
            <w:szCs w:val="21"/>
          </w:rPr>
          <w:tab/>
        </w:r>
        <w:r>
          <w:rPr>
            <w:rFonts w:hint="eastAsia"/>
            <w:sz w:val="21"/>
            <w:szCs w:val="21"/>
          </w:rPr>
          <w:t>1</w:t>
        </w:r>
      </w:hyperlink>
      <w:r>
        <w:rPr>
          <w:rFonts w:hint="eastAsia"/>
          <w:bCs/>
          <w:sz w:val="21"/>
          <w:szCs w:val="32"/>
        </w:rPr>
        <w:t>5</w:t>
      </w:r>
    </w:p>
    <w:p w:rsidR="00AD6714">
      <w:pPr>
        <w:pStyle w:val="WPSOffice1"/>
        <w:tabs>
          <w:tab w:val="right" w:leader="dot" w:pos="8306"/>
        </w:tabs>
        <w:spacing w:line="400" w:lineRule="exact"/>
        <w:rPr>
          <w:sz w:val="21"/>
          <w:szCs w:val="21"/>
        </w:rPr>
      </w:pPr>
      <w:hyperlink w:anchor="_Toc25358" w:history="1">
        <w:r>
          <w:rPr>
            <w:rFonts w:eastAsia="黑体" w:hint="eastAsia"/>
            <w:bCs/>
            <w:sz w:val="21"/>
            <w:szCs w:val="21"/>
          </w:rPr>
          <w:t>十、涉及专利的有关说明</w:t>
        </w:r>
        <w:r>
          <w:rPr>
            <w:sz w:val="21"/>
            <w:szCs w:val="21"/>
          </w:rPr>
          <w:tab/>
        </w:r>
        <w:r>
          <w:rPr>
            <w:rFonts w:hint="eastAsia"/>
            <w:sz w:val="21"/>
            <w:szCs w:val="21"/>
          </w:rPr>
          <w:t>1</w:t>
        </w:r>
      </w:hyperlink>
      <w:r>
        <w:rPr>
          <w:rFonts w:hint="eastAsia"/>
          <w:bCs/>
          <w:sz w:val="21"/>
          <w:szCs w:val="32"/>
        </w:rPr>
        <w:t>5</w:t>
      </w:r>
    </w:p>
    <w:p w:rsidR="00AD6714">
      <w:pPr>
        <w:pStyle w:val="WPSOffice1"/>
        <w:tabs>
          <w:tab w:val="right" w:leader="dot" w:pos="8306"/>
        </w:tabs>
        <w:spacing w:line="400" w:lineRule="exact"/>
        <w:rPr>
          <w:sz w:val="21"/>
          <w:szCs w:val="21"/>
        </w:rPr>
      </w:pPr>
      <w:hyperlink w:anchor="_Toc21632" w:history="1">
        <w:r>
          <w:rPr>
            <w:rFonts w:eastAsia="黑体" w:hint="eastAsia"/>
            <w:bCs/>
            <w:sz w:val="21"/>
            <w:szCs w:val="21"/>
          </w:rPr>
          <w:t>十一、强制性国家标准所涉及的产品、过程或者服务目录</w:t>
        </w:r>
        <w:r>
          <w:rPr>
            <w:sz w:val="21"/>
            <w:szCs w:val="21"/>
          </w:rPr>
          <w:tab/>
        </w:r>
        <w:r>
          <w:rPr>
            <w:rFonts w:hint="eastAsia"/>
            <w:sz w:val="21"/>
            <w:szCs w:val="21"/>
          </w:rPr>
          <w:t>1</w:t>
        </w:r>
      </w:hyperlink>
      <w:r>
        <w:rPr>
          <w:rFonts w:hint="eastAsia"/>
          <w:bCs/>
          <w:sz w:val="21"/>
          <w:szCs w:val="32"/>
        </w:rPr>
        <w:t>5</w:t>
      </w:r>
    </w:p>
    <w:p w:rsidR="00AD6714">
      <w:pPr>
        <w:pStyle w:val="WPSOffice1"/>
        <w:tabs>
          <w:tab w:val="right" w:leader="dot" w:pos="8306"/>
        </w:tabs>
        <w:spacing w:line="400" w:lineRule="exact"/>
        <w:rPr>
          <w:sz w:val="21"/>
          <w:szCs w:val="21"/>
        </w:rPr>
      </w:pPr>
      <w:hyperlink w:anchor="_Toc26551" w:history="1">
        <w:r>
          <w:rPr>
            <w:rFonts w:eastAsia="黑体" w:hint="eastAsia"/>
            <w:bCs/>
            <w:sz w:val="21"/>
            <w:szCs w:val="21"/>
          </w:rPr>
          <w:t>十二、其他应当予以说明的事项</w:t>
        </w:r>
        <w:r>
          <w:rPr>
            <w:sz w:val="21"/>
            <w:szCs w:val="21"/>
          </w:rPr>
          <w:tab/>
        </w:r>
        <w:r>
          <w:rPr>
            <w:rFonts w:hint="eastAsia"/>
            <w:sz w:val="21"/>
            <w:szCs w:val="21"/>
          </w:rPr>
          <w:t>1</w:t>
        </w:r>
      </w:hyperlink>
      <w:r>
        <w:rPr>
          <w:rFonts w:hint="eastAsia"/>
          <w:bCs/>
          <w:sz w:val="21"/>
          <w:szCs w:val="32"/>
        </w:rPr>
        <w:t>5</w:t>
      </w:r>
    </w:p>
    <w:p w:rsidR="00AD6714">
      <w:pPr>
        <w:pStyle w:val="Default"/>
        <w:ind w:left="5250"/>
        <w:jc w:val="center"/>
        <w:rPr>
          <w:rFonts w:ascii="Times New Roman" w:cs="Times New Roman"/>
          <w:bCs/>
          <w:sz w:val="28"/>
          <w:szCs w:val="28"/>
        </w:rPr>
      </w:pPr>
      <w:r>
        <w:rPr>
          <w:rFonts w:ascii="Times New Roman" w:cs="Times New Roman"/>
          <w:bCs/>
          <w:szCs w:val="28"/>
        </w:rPr>
        <w:fldChar w:fldCharType="end"/>
      </w:r>
      <w:bookmarkStart w:id="62" w:name="_GoBack"/>
      <w:bookmarkEnd w:id="62"/>
    </w:p>
    <w:p w:rsidR="00AD6714">
      <w:pPr>
        <w:autoSpaceDE w:val="0"/>
        <w:autoSpaceDN w:val="0"/>
        <w:adjustRightInd w:val="0"/>
        <w:jc w:val="center"/>
        <w:outlineLvl w:val="0"/>
        <w:rPr>
          <w:rFonts w:ascii="黑体" w:eastAsia="黑体" w:hAnsi="黑体"/>
          <w:color w:val="000000"/>
          <w:kern w:val="0"/>
          <w:sz w:val="32"/>
          <w:szCs w:val="32"/>
        </w:rPr>
        <w:sectPr w:rsidSect="00A200F2">
          <w:headerReference w:type="default" r:id="rId20"/>
          <w:footerReference w:type="default" r:id="rId21"/>
          <w:footerReference w:type="first" r:id="rId22"/>
          <w:pgSz w:w="11906" w:h="16838"/>
          <w:pgMar w:top="1440" w:right="1800" w:bottom="1440" w:left="1800" w:header="851" w:footer="992" w:gutter="0"/>
          <w:pgNumType w:start="1"/>
          <w:cols w:space="425"/>
          <w:docGrid w:type="lines" w:linePitch="312"/>
        </w:sectPr>
      </w:pPr>
      <w:bookmarkStart w:id="63" w:name="_Toc6933"/>
    </w:p>
    <w:p w:rsidR="00AD6714">
      <w:pPr>
        <w:autoSpaceDE w:val="0"/>
        <w:autoSpaceDN w:val="0"/>
        <w:adjustRightInd w:val="0"/>
        <w:jc w:val="center"/>
        <w:outlineLvl w:val="0"/>
        <w:rPr>
          <w:rFonts w:ascii="黑体" w:eastAsia="黑体" w:hAnsi="黑体"/>
          <w:color w:val="000000"/>
          <w:kern w:val="0"/>
          <w:sz w:val="32"/>
          <w:szCs w:val="32"/>
        </w:rPr>
      </w:pPr>
      <w:r>
        <w:rPr>
          <w:rFonts w:ascii="黑体" w:eastAsia="黑体" w:hAnsi="黑体" w:hint="eastAsia"/>
          <w:color w:val="000000"/>
          <w:kern w:val="0"/>
          <w:sz w:val="32"/>
          <w:szCs w:val="32"/>
        </w:rPr>
        <w:t>GB 20072《乘用车后碰撞安全要求》</w:t>
      </w:r>
      <w:bookmarkEnd w:id="63"/>
    </w:p>
    <w:p w:rsidR="00AD6714">
      <w:pPr>
        <w:autoSpaceDE w:val="0"/>
        <w:autoSpaceDN w:val="0"/>
        <w:adjustRightInd w:val="0"/>
        <w:jc w:val="center"/>
        <w:outlineLvl w:val="0"/>
        <w:rPr>
          <w:rFonts w:ascii="黑体" w:eastAsia="黑体" w:hAnsi="黑体"/>
          <w:color w:val="000000"/>
          <w:kern w:val="0"/>
          <w:sz w:val="32"/>
          <w:szCs w:val="32"/>
        </w:rPr>
      </w:pPr>
      <w:r>
        <w:rPr>
          <w:rFonts w:ascii="黑体" w:eastAsia="黑体" w:hAnsi="黑体" w:hint="eastAsia"/>
          <w:color w:val="000000"/>
          <w:kern w:val="0"/>
          <w:sz w:val="32"/>
          <w:szCs w:val="32"/>
        </w:rPr>
        <w:t>（</w:t>
      </w:r>
      <w:r>
        <w:rPr>
          <w:rFonts w:ascii="黑体" w:eastAsia="黑体" w:hAnsi="黑体" w:hint="eastAsia"/>
          <w:color w:val="000000"/>
          <w:kern w:val="0"/>
          <w:sz w:val="32"/>
          <w:szCs w:val="32"/>
        </w:rPr>
        <w:t>征求意见稿</w:t>
      </w:r>
      <w:r>
        <w:rPr>
          <w:rFonts w:ascii="黑体" w:eastAsia="黑体" w:hAnsi="黑体" w:hint="eastAsia"/>
          <w:color w:val="000000"/>
          <w:kern w:val="0"/>
          <w:sz w:val="32"/>
          <w:szCs w:val="32"/>
        </w:rPr>
        <w:t>）</w:t>
      </w:r>
    </w:p>
    <w:p w:rsidR="00AD6714">
      <w:pPr>
        <w:autoSpaceDE w:val="0"/>
        <w:autoSpaceDN w:val="0"/>
        <w:adjustRightInd w:val="0"/>
        <w:jc w:val="center"/>
        <w:outlineLvl w:val="0"/>
        <w:rPr>
          <w:rFonts w:ascii="黑体" w:eastAsia="黑体" w:hAnsi="黑体"/>
          <w:color w:val="000000"/>
          <w:kern w:val="0"/>
          <w:sz w:val="32"/>
          <w:szCs w:val="32"/>
        </w:rPr>
      </w:pPr>
      <w:bookmarkStart w:id="64" w:name="_Toc8137"/>
      <w:bookmarkStart w:id="65" w:name="_Toc36212237"/>
      <w:bookmarkStart w:id="66" w:name="_Toc31546"/>
      <w:bookmarkStart w:id="67" w:name="_Toc64898474"/>
      <w:bookmarkStart w:id="68" w:name="_Toc12678"/>
      <w:bookmarkStart w:id="69" w:name="_Toc30226"/>
      <w:r>
        <w:rPr>
          <w:rFonts w:ascii="黑体" w:eastAsia="黑体" w:hAnsi="黑体" w:hint="eastAsia"/>
          <w:color w:val="000000"/>
          <w:kern w:val="0"/>
          <w:sz w:val="32"/>
          <w:szCs w:val="32"/>
        </w:rPr>
        <w:t>编制说明</w:t>
      </w:r>
      <w:bookmarkEnd w:id="64"/>
      <w:bookmarkEnd w:id="65"/>
      <w:bookmarkEnd w:id="66"/>
      <w:bookmarkEnd w:id="67"/>
      <w:bookmarkEnd w:id="68"/>
      <w:bookmarkEnd w:id="69"/>
    </w:p>
    <w:p w:rsidR="00AD6714">
      <w:pPr>
        <w:autoSpaceDE w:val="0"/>
        <w:autoSpaceDN w:val="0"/>
        <w:adjustRightInd w:val="0"/>
        <w:spacing w:line="400" w:lineRule="exact"/>
        <w:ind w:firstLine="480"/>
        <w:jc w:val="left"/>
        <w:outlineLvl w:val="0"/>
        <w:rPr>
          <w:rFonts w:eastAsia="黑体"/>
          <w:bCs/>
          <w:color w:val="000000"/>
          <w:kern w:val="0"/>
          <w:sz w:val="24"/>
        </w:rPr>
      </w:pPr>
      <w:bookmarkStart w:id="70" w:name="_Toc7124"/>
      <w:bookmarkStart w:id="71" w:name="_Toc733"/>
      <w:bookmarkStart w:id="72" w:name="_Toc32662"/>
      <w:bookmarkStart w:id="73" w:name="_Toc36212238"/>
      <w:bookmarkStart w:id="74" w:name="_Toc64898475"/>
      <w:r>
        <w:rPr>
          <w:rFonts w:eastAsia="黑体"/>
          <w:bCs/>
          <w:color w:val="000000"/>
          <w:kern w:val="0"/>
          <w:sz w:val="24"/>
        </w:rPr>
        <w:t>一、工作简况</w:t>
      </w:r>
      <w:bookmarkEnd w:id="70"/>
      <w:bookmarkEnd w:id="71"/>
      <w:bookmarkEnd w:id="72"/>
      <w:bookmarkEnd w:id="73"/>
      <w:bookmarkEnd w:id="74"/>
    </w:p>
    <w:p w:rsidR="00AD6714">
      <w:pPr>
        <w:autoSpaceDE w:val="0"/>
        <w:autoSpaceDN w:val="0"/>
        <w:adjustRightInd w:val="0"/>
        <w:spacing w:line="400" w:lineRule="exact"/>
        <w:ind w:firstLine="422"/>
        <w:jc w:val="left"/>
        <w:outlineLvl w:val="1"/>
        <w:rPr>
          <w:b/>
          <w:szCs w:val="21"/>
        </w:rPr>
      </w:pPr>
      <w:r>
        <w:rPr>
          <w:b/>
          <w:szCs w:val="21"/>
        </w:rPr>
        <w:t>（一）</w:t>
      </w:r>
      <w:r>
        <w:rPr>
          <w:b/>
          <w:szCs w:val="21"/>
        </w:rPr>
        <w:t>任务来源</w:t>
      </w:r>
    </w:p>
    <w:p w:rsidR="00AD6714">
      <w:pPr>
        <w:snapToGrid w:val="0"/>
        <w:spacing w:line="400" w:lineRule="exact"/>
        <w:ind w:firstLine="420"/>
        <w:rPr>
          <w:szCs w:val="21"/>
        </w:rPr>
      </w:pPr>
      <w:r>
        <w:rPr>
          <w:szCs w:val="21"/>
        </w:rPr>
        <w:t>根据国家标准化管理委员会</w:t>
      </w:r>
      <w:r>
        <w:rPr>
          <w:rFonts w:hint="eastAsia"/>
          <w:szCs w:val="21"/>
        </w:rPr>
        <w:t>于</w:t>
      </w:r>
      <w:r>
        <w:rPr>
          <w:rFonts w:hint="eastAsia"/>
          <w:szCs w:val="21"/>
        </w:rPr>
        <w:t>2021年1</w:t>
      </w:r>
      <w:r>
        <w:rPr>
          <w:rFonts w:hint="eastAsia"/>
          <w:szCs w:val="21"/>
        </w:rPr>
        <w:t>2</w:t>
      </w:r>
      <w:r>
        <w:rPr>
          <w:rFonts w:hint="eastAsia"/>
          <w:szCs w:val="21"/>
        </w:rPr>
        <w:t>月</w:t>
      </w:r>
      <w:r>
        <w:rPr>
          <w:rFonts w:hint="eastAsia"/>
          <w:szCs w:val="21"/>
        </w:rPr>
        <w:t>21</w:t>
      </w:r>
      <w:r>
        <w:rPr>
          <w:rFonts w:hint="eastAsia"/>
          <w:szCs w:val="21"/>
        </w:rPr>
        <w:t>日</w:t>
      </w:r>
      <w:r>
        <w:rPr>
          <w:rFonts w:hint="eastAsia"/>
          <w:szCs w:val="21"/>
        </w:rPr>
        <w:t>发布</w:t>
      </w:r>
      <w:r>
        <w:rPr>
          <w:szCs w:val="21"/>
        </w:rPr>
        <w:t>的国标委发</w:t>
      </w:r>
      <w:r>
        <w:rPr>
          <w:szCs w:val="21"/>
        </w:rPr>
        <w:t>〔2021〕37号文下达的强制性国家标准制修订计划，</w:t>
      </w:r>
      <w:r>
        <w:rPr>
          <w:rFonts w:hint="eastAsia"/>
          <w:szCs w:val="21"/>
        </w:rPr>
        <w:t>委托全国汽车标准化技术委员会汽车碰撞试验及碰撞防护分</w:t>
      </w:r>
      <w:r>
        <w:rPr>
          <w:rFonts w:hint="eastAsia"/>
          <w:szCs w:val="21"/>
        </w:rPr>
        <w:t>技术委员会</w:t>
      </w:r>
      <w:r>
        <w:rPr>
          <w:rFonts w:hint="eastAsia"/>
          <w:szCs w:val="21"/>
        </w:rPr>
        <w:t>（</w:t>
      </w:r>
      <w:r>
        <w:rPr>
          <w:rFonts w:hint="eastAsia"/>
          <w:szCs w:val="21"/>
        </w:rPr>
        <w:t>SAC/</w:t>
      </w:r>
      <w:hyperlink r:id="rId23" w:tgtFrame="https://std.samr.gov.cn/gb/search/_blank" w:history="1">
        <w:r>
          <w:rPr>
            <w:rFonts w:hint="eastAsia"/>
            <w:szCs w:val="21"/>
          </w:rPr>
          <w:t>TC114</w:t>
        </w:r>
        <w:r>
          <w:rPr>
            <w:rFonts w:hint="eastAsia"/>
            <w:szCs w:val="21"/>
          </w:rPr>
          <w:t>/</w:t>
        </w:r>
        <w:r>
          <w:rPr>
            <w:rFonts w:hint="eastAsia"/>
            <w:szCs w:val="21"/>
          </w:rPr>
          <w:t>SC33</w:t>
        </w:r>
      </w:hyperlink>
      <w:r>
        <w:rPr>
          <w:rFonts w:hint="eastAsia"/>
          <w:szCs w:val="21"/>
        </w:rPr>
        <w:t>）</w:t>
      </w:r>
      <w:r>
        <w:rPr>
          <w:rFonts w:hint="eastAsia"/>
          <w:szCs w:val="21"/>
        </w:rPr>
        <w:t>组织起草</w:t>
      </w:r>
      <w:r>
        <w:rPr>
          <w:rFonts w:hint="eastAsia"/>
          <w:szCs w:val="21"/>
        </w:rPr>
        <w:t>，由</w:t>
      </w:r>
      <w:r>
        <w:rPr>
          <w:szCs w:val="21"/>
        </w:rPr>
        <w:t>中国汽车技术研究中心有限公司</w:t>
      </w:r>
      <w:r>
        <w:rPr>
          <w:szCs w:val="21"/>
        </w:rPr>
        <w:t>、上海汽车集团股份有限公司</w:t>
      </w:r>
      <w:r>
        <w:rPr>
          <w:szCs w:val="21"/>
        </w:rPr>
        <w:t>等单位承担修订</w:t>
      </w:r>
      <w:r>
        <w:rPr>
          <w:rFonts w:hint="eastAsia"/>
          <w:szCs w:val="21"/>
        </w:rPr>
        <w:t>《</w:t>
      </w:r>
      <w:r>
        <w:rPr>
          <w:rFonts w:hint="eastAsia"/>
          <w:szCs w:val="21"/>
        </w:rPr>
        <w:t>乘用车后碰撞安全要求</w:t>
      </w:r>
      <w:r>
        <w:rPr>
          <w:rFonts w:hint="eastAsia"/>
          <w:szCs w:val="21"/>
        </w:rPr>
        <w:t>》</w:t>
      </w:r>
      <w:r>
        <w:rPr>
          <w:szCs w:val="21"/>
        </w:rPr>
        <w:t>强制性国家标准项目，项目编号20214454-Q-339。</w:t>
      </w:r>
    </w:p>
    <w:p w:rsidR="00AD6714">
      <w:pPr>
        <w:autoSpaceDE w:val="0"/>
        <w:autoSpaceDN w:val="0"/>
        <w:adjustRightInd w:val="0"/>
        <w:spacing w:line="400" w:lineRule="exact"/>
        <w:ind w:firstLine="422"/>
        <w:jc w:val="left"/>
        <w:outlineLvl w:val="1"/>
        <w:rPr>
          <w:b/>
          <w:szCs w:val="21"/>
        </w:rPr>
      </w:pPr>
      <w:r>
        <w:rPr>
          <w:b/>
          <w:szCs w:val="21"/>
        </w:rPr>
        <w:t>（二）背景意义及必要性</w:t>
      </w:r>
    </w:p>
    <w:p w:rsidR="00AD6714">
      <w:pPr>
        <w:adjustRightInd w:val="0"/>
        <w:snapToGrid w:val="0"/>
        <w:spacing w:line="400" w:lineRule="exact"/>
        <w:ind w:firstLine="420"/>
        <w:rPr>
          <w:szCs w:val="21"/>
          <w:shd w:val="clear" w:color="auto" w:fill="FFFFFF"/>
        </w:rPr>
      </w:pPr>
      <w:r>
        <w:rPr>
          <w:rFonts w:hint="eastAsia"/>
          <w:szCs w:val="21"/>
          <w:shd w:val="clear" w:color="auto" w:fill="FFFFFF"/>
        </w:rPr>
        <w:t>GB 20072</w:t>
      </w:r>
      <w:r>
        <w:rPr>
          <w:rFonts w:hint="eastAsia"/>
          <w:szCs w:val="21"/>
          <w:shd w:val="clear" w:color="auto" w:fill="FFFFFF"/>
        </w:rPr>
        <w:t>—</w:t>
      </w:r>
      <w:r>
        <w:rPr>
          <w:rFonts w:hint="eastAsia"/>
          <w:szCs w:val="21"/>
          <w:shd w:val="clear" w:color="auto" w:fill="FFFFFF"/>
        </w:rPr>
        <w:t>2006《乘用车后碰撞燃油系统安全要求》发布于2006年</w:t>
      </w:r>
      <w:r>
        <w:rPr>
          <w:rFonts w:hint="eastAsia"/>
          <w:szCs w:val="21"/>
          <w:shd w:val="clear" w:color="auto" w:fill="FFFFFF"/>
        </w:rPr>
        <w:t>。</w:t>
      </w:r>
      <w:r>
        <w:rPr>
          <w:rFonts w:hint="eastAsia"/>
          <w:szCs w:val="21"/>
          <w:shd w:val="clear" w:color="auto" w:fill="FFFFFF"/>
        </w:rPr>
        <w:t>在</w:t>
      </w:r>
      <w:r>
        <w:rPr>
          <w:rFonts w:hint="eastAsia"/>
          <w:szCs w:val="21"/>
          <w:shd w:val="clear" w:color="auto" w:fill="FFFFFF"/>
        </w:rPr>
        <w:t>一些</w:t>
      </w:r>
      <w:r>
        <w:rPr>
          <w:rFonts w:hint="eastAsia"/>
          <w:szCs w:val="21"/>
          <w:shd w:val="clear" w:color="auto" w:fill="FFFFFF"/>
        </w:rPr>
        <w:t>典型追尾事故工况</w:t>
      </w:r>
      <w:r>
        <w:rPr>
          <w:rFonts w:hint="eastAsia"/>
          <w:szCs w:val="21"/>
          <w:shd w:val="clear" w:color="auto" w:fill="FFFFFF"/>
        </w:rPr>
        <w:t>中</w:t>
      </w:r>
      <w:r>
        <w:rPr>
          <w:rFonts w:hint="eastAsia"/>
          <w:szCs w:val="21"/>
          <w:shd w:val="clear" w:color="auto" w:fill="FFFFFF"/>
        </w:rPr>
        <w:t>，对碰撞后燃油系统安全提出了更高的要</w:t>
      </w:r>
      <w:r>
        <w:rPr>
          <w:rFonts w:hint="eastAsia"/>
          <w:szCs w:val="21"/>
          <w:shd w:val="clear" w:color="auto" w:fill="FFFFFF"/>
        </w:rPr>
        <w:t>求，事故形态</w:t>
      </w:r>
      <w:r>
        <w:rPr>
          <w:rFonts w:hint="eastAsia"/>
          <w:szCs w:val="21"/>
          <w:shd w:val="clear" w:color="auto" w:fill="FFFFFF"/>
        </w:rPr>
        <w:t>也</w:t>
      </w:r>
      <w:r>
        <w:rPr>
          <w:rFonts w:hint="eastAsia"/>
          <w:szCs w:val="21"/>
          <w:shd w:val="clear" w:color="auto" w:fill="FFFFFF"/>
        </w:rPr>
        <w:t>与现有</w:t>
      </w:r>
      <w:r>
        <w:rPr>
          <w:rFonts w:hint="eastAsia"/>
          <w:szCs w:val="21"/>
          <w:shd w:val="clear" w:color="auto" w:fill="FFFFFF"/>
        </w:rPr>
        <w:t>标准</w:t>
      </w:r>
      <w:r>
        <w:rPr>
          <w:rFonts w:hint="eastAsia"/>
          <w:szCs w:val="21"/>
          <w:shd w:val="clear" w:color="auto" w:fill="FFFFFF"/>
        </w:rPr>
        <w:t>测试方法存在较大的差异</w:t>
      </w:r>
      <w:r>
        <w:rPr>
          <w:rFonts w:hint="eastAsia"/>
          <w:szCs w:val="21"/>
          <w:shd w:val="clear" w:color="auto" w:fill="FFFFFF"/>
        </w:rPr>
        <w:t>。标准中</w:t>
      </w:r>
      <w:r>
        <w:rPr>
          <w:rFonts w:hint="eastAsia"/>
          <w:szCs w:val="21"/>
          <w:shd w:val="clear" w:color="auto" w:fill="FFFFFF"/>
        </w:rPr>
        <w:t>对于车辆碰撞试验后的性能要求已不能满足当今汽车技术的迅速发展</w:t>
      </w:r>
      <w:r>
        <w:rPr>
          <w:rFonts w:hint="eastAsia"/>
          <w:szCs w:val="21"/>
          <w:shd w:val="clear" w:color="auto" w:fill="FFFFFF"/>
        </w:rPr>
        <w:t>的需求</w:t>
      </w:r>
      <w:r>
        <w:rPr>
          <w:rFonts w:hint="eastAsia"/>
          <w:szCs w:val="21"/>
          <w:shd w:val="clear" w:color="auto" w:fill="FFFFFF"/>
        </w:rPr>
        <w:t>，主要体现在：一是</w:t>
      </w:r>
      <w:r>
        <w:rPr>
          <w:rFonts w:hint="eastAsia"/>
          <w:szCs w:val="21"/>
          <w:shd w:val="clear" w:color="auto" w:fill="FFFFFF"/>
        </w:rPr>
        <w:t>随着汽车在中国的普及以及不同车型车辆保有量的多元化，使得现今我国的平均车型特征发生了明显的变化，</w:t>
      </w:r>
      <w:r>
        <w:rPr>
          <w:rFonts w:hint="eastAsia"/>
          <w:szCs w:val="21"/>
          <w:shd w:val="clear" w:color="auto" w:fill="FFFFFF"/>
        </w:rPr>
        <w:t>标准中</w:t>
      </w:r>
      <w:r>
        <w:rPr>
          <w:rFonts w:hint="eastAsia"/>
          <w:szCs w:val="21"/>
          <w:shd w:val="clear" w:color="auto" w:fill="FFFFFF"/>
        </w:rPr>
        <w:t>原有的追尾碰撞</w:t>
      </w:r>
      <w:r>
        <w:rPr>
          <w:rFonts w:hint="eastAsia"/>
          <w:szCs w:val="21"/>
          <w:shd w:val="clear" w:color="auto" w:fill="FFFFFF"/>
        </w:rPr>
        <w:t>移动</w:t>
      </w:r>
      <w:r>
        <w:rPr>
          <w:rFonts w:hint="eastAsia"/>
          <w:szCs w:val="21"/>
          <w:shd w:val="clear" w:color="auto" w:fill="FFFFFF"/>
        </w:rPr>
        <w:t>台车已不能真实</w:t>
      </w:r>
      <w:r>
        <w:rPr>
          <w:rFonts w:hint="eastAsia"/>
          <w:szCs w:val="21"/>
        </w:rPr>
        <w:t>代表</w:t>
      </w:r>
      <w:r>
        <w:rPr>
          <w:rFonts w:hint="eastAsia"/>
          <w:szCs w:val="21"/>
        </w:rPr>
        <w:t>事故</w:t>
      </w:r>
      <w:r>
        <w:rPr>
          <w:rFonts w:hint="eastAsia"/>
          <w:szCs w:val="21"/>
          <w:shd w:val="clear" w:color="auto" w:fill="FFFFFF"/>
        </w:rPr>
        <w:t>“</w:t>
      </w:r>
      <w:r>
        <w:rPr>
          <w:rFonts w:hint="eastAsia"/>
          <w:szCs w:val="21"/>
          <w:shd w:val="clear" w:color="auto" w:fill="FFFFFF"/>
        </w:rPr>
        <w:t>平均车辆</w:t>
      </w:r>
      <w:r>
        <w:rPr>
          <w:rFonts w:hint="eastAsia"/>
          <w:szCs w:val="21"/>
          <w:shd w:val="clear" w:color="auto" w:fill="FFFFFF"/>
        </w:rPr>
        <w:t>”</w:t>
      </w:r>
      <w:r>
        <w:rPr>
          <w:rFonts w:hint="eastAsia"/>
          <w:szCs w:val="21"/>
          <w:shd w:val="clear" w:color="auto" w:fill="FFFFFF"/>
        </w:rPr>
        <w:t>特征</w:t>
      </w:r>
      <w:r>
        <w:rPr>
          <w:rFonts w:hint="eastAsia"/>
          <w:szCs w:val="21"/>
          <w:shd w:val="clear" w:color="auto" w:fill="FFFFFF"/>
        </w:rPr>
        <w:t>；</w:t>
      </w:r>
      <w:r>
        <w:rPr>
          <w:rFonts w:hint="eastAsia"/>
          <w:szCs w:val="21"/>
        </w:rPr>
        <w:t>二是随着</w:t>
      </w:r>
      <w:r>
        <w:rPr>
          <w:rFonts w:hint="eastAsia"/>
          <w:szCs w:val="21"/>
        </w:rPr>
        <w:t>电动车的保有量不断增加，</w:t>
      </w:r>
      <w:r>
        <w:rPr>
          <w:rFonts w:hint="eastAsia"/>
          <w:szCs w:val="21"/>
        </w:rPr>
        <w:t>其碰撞后的电安全要求也</w:t>
      </w:r>
      <w:r>
        <w:rPr>
          <w:rFonts w:hint="eastAsia"/>
          <w:szCs w:val="21"/>
        </w:rPr>
        <w:t>同样值得关注。</w:t>
      </w:r>
      <w:r>
        <w:rPr>
          <w:rFonts w:hint="eastAsia"/>
          <w:szCs w:val="21"/>
          <w:shd w:val="clear" w:color="auto" w:fill="FFFFFF"/>
        </w:rPr>
        <w:t>因此，</w:t>
      </w:r>
      <w:r>
        <w:rPr>
          <w:rFonts w:hint="eastAsia"/>
          <w:szCs w:val="21"/>
          <w:shd w:val="clear" w:color="auto" w:fill="FFFFFF"/>
        </w:rPr>
        <w:t>上述</w:t>
      </w:r>
      <w:r>
        <w:rPr>
          <w:rFonts w:hint="eastAsia"/>
          <w:szCs w:val="21"/>
          <w:shd w:val="clear" w:color="auto" w:fill="FFFFFF"/>
        </w:rPr>
        <w:t>变化</w:t>
      </w:r>
      <w:r>
        <w:rPr>
          <w:rFonts w:hint="eastAsia"/>
          <w:szCs w:val="21"/>
          <w:shd w:val="clear" w:color="auto" w:fill="FFFFFF"/>
        </w:rPr>
        <w:t>亟待</w:t>
      </w:r>
      <w:r>
        <w:rPr>
          <w:rFonts w:hint="eastAsia"/>
          <w:szCs w:val="21"/>
          <w:shd w:val="clear" w:color="auto" w:fill="FFFFFF"/>
        </w:rPr>
        <w:t>在</w:t>
      </w:r>
      <w:r>
        <w:rPr>
          <w:rFonts w:hint="eastAsia"/>
          <w:szCs w:val="21"/>
          <w:shd w:val="clear" w:color="auto" w:fill="FFFFFF"/>
        </w:rPr>
        <w:t>新标准中</w:t>
      </w:r>
      <w:r>
        <w:rPr>
          <w:rFonts w:hint="eastAsia"/>
          <w:szCs w:val="21"/>
          <w:shd w:val="clear" w:color="auto" w:fill="FFFFFF"/>
        </w:rPr>
        <w:t>体现相应技术内容</w:t>
      </w:r>
      <w:r>
        <w:rPr>
          <w:rFonts w:hint="eastAsia"/>
          <w:szCs w:val="21"/>
          <w:shd w:val="clear" w:color="auto" w:fill="FFFFFF"/>
        </w:rPr>
        <w:t>。《乘用车后碰撞安全要求》是我国汽车</w:t>
      </w:r>
      <w:r>
        <w:rPr>
          <w:rFonts w:hint="eastAsia"/>
          <w:szCs w:val="21"/>
          <w:shd w:val="clear" w:color="auto" w:fill="FFFFFF"/>
        </w:rPr>
        <w:t>技术标准</w:t>
      </w:r>
      <w:r>
        <w:rPr>
          <w:rFonts w:hint="eastAsia"/>
          <w:szCs w:val="21"/>
          <w:shd w:val="clear" w:color="auto" w:fill="FFFFFF"/>
        </w:rPr>
        <w:t>体系的重要组成部分，作为强制性标准，是政府加强汽车产品管理、引导和规范行业发展的</w:t>
      </w:r>
      <w:r>
        <w:rPr>
          <w:rFonts w:hint="eastAsia"/>
          <w:szCs w:val="21"/>
          <w:shd w:val="clear" w:color="auto" w:fill="FFFFFF"/>
        </w:rPr>
        <w:t>重要依据，也是指导企业产品规划和研发的重要文件。</w:t>
      </w:r>
    </w:p>
    <w:p w:rsidR="00AD6714">
      <w:pPr>
        <w:adjustRightInd w:val="0"/>
        <w:snapToGrid w:val="0"/>
        <w:spacing w:line="400" w:lineRule="exact"/>
        <w:ind w:firstLine="420"/>
        <w:rPr>
          <w:szCs w:val="21"/>
          <w:shd w:val="clear" w:color="auto" w:fill="FFFFFF"/>
        </w:rPr>
      </w:pPr>
      <w:r>
        <w:rPr>
          <w:rFonts w:hint="eastAsia"/>
          <w:szCs w:val="21"/>
          <w:shd w:val="clear" w:color="auto" w:fill="FFFFFF"/>
        </w:rPr>
        <w:t>本项目是对GB 20072</w:t>
      </w:r>
      <w:r>
        <w:rPr>
          <w:rFonts w:hint="eastAsia"/>
          <w:szCs w:val="21"/>
          <w:shd w:val="clear" w:color="auto" w:fill="FFFFFF"/>
        </w:rPr>
        <w:t>—</w:t>
      </w:r>
      <w:r>
        <w:rPr>
          <w:rFonts w:hint="eastAsia"/>
          <w:szCs w:val="21"/>
          <w:shd w:val="clear" w:color="auto" w:fill="FFFFFF"/>
        </w:rPr>
        <w:t>2006《乘用车后碰撞燃油系统安全要求》的修订，旨在升级和完善后碰撞</w:t>
      </w:r>
      <w:r>
        <w:rPr>
          <w:rFonts w:hint="eastAsia"/>
          <w:szCs w:val="21"/>
          <w:shd w:val="clear" w:color="auto" w:fill="FFFFFF"/>
        </w:rPr>
        <w:t>后</w:t>
      </w:r>
      <w:r>
        <w:rPr>
          <w:rFonts w:hint="eastAsia"/>
          <w:szCs w:val="21"/>
          <w:shd w:val="clear" w:color="auto" w:fill="FFFFFF"/>
        </w:rPr>
        <w:t>汽车安全技术要求，建立更科学的考核指标和评价体系，适应汽车追尾碰撞工况下对燃油系统安全性能</w:t>
      </w:r>
      <w:r>
        <w:rPr>
          <w:rFonts w:hint="eastAsia"/>
          <w:szCs w:val="21"/>
        </w:rPr>
        <w:t>以及电安全性能</w:t>
      </w:r>
      <w:r>
        <w:rPr>
          <w:rFonts w:hint="eastAsia"/>
          <w:szCs w:val="21"/>
          <w:shd w:val="clear" w:color="auto" w:fill="FFFFFF"/>
        </w:rPr>
        <w:t>的发展需求，降低和</w:t>
      </w:r>
      <w:r>
        <w:rPr>
          <w:rFonts w:hint="eastAsia"/>
          <w:szCs w:val="21"/>
          <w:shd w:val="clear" w:color="auto" w:fill="FFFFFF"/>
        </w:rPr>
        <w:t>减少</w:t>
      </w:r>
      <w:r>
        <w:rPr>
          <w:rFonts w:hint="eastAsia"/>
          <w:szCs w:val="21"/>
          <w:shd w:val="clear" w:color="auto" w:fill="FFFFFF"/>
        </w:rPr>
        <w:t>碰撞试验后发生火灾的风险，持续推动我国汽车安全性能的持续提高。</w:t>
      </w:r>
    </w:p>
    <w:p w:rsidR="00AD6714">
      <w:pPr>
        <w:autoSpaceDE w:val="0"/>
        <w:autoSpaceDN w:val="0"/>
        <w:adjustRightInd w:val="0"/>
        <w:spacing w:line="400" w:lineRule="exact"/>
        <w:ind w:firstLine="422"/>
        <w:jc w:val="left"/>
        <w:outlineLvl w:val="1"/>
        <w:rPr>
          <w:b/>
          <w:szCs w:val="21"/>
        </w:rPr>
      </w:pPr>
      <w:r>
        <w:rPr>
          <w:b/>
          <w:szCs w:val="21"/>
        </w:rPr>
        <w:t>（三）主要工作过程</w:t>
      </w:r>
    </w:p>
    <w:p w:rsidR="00AD6714">
      <w:pPr>
        <w:numPr>
          <w:ilvl w:val="12"/>
          <w:numId w:val="0"/>
        </w:numPr>
        <w:spacing w:before="156" w:beforeLines="50"/>
        <w:ind w:firstLine="420"/>
        <w:jc w:val="left"/>
        <w:rPr>
          <w:rFonts w:ascii="宋体" w:hAnsi="宋体" w:cs="宋体"/>
          <w:b/>
          <w:bCs/>
          <w:szCs w:val="21"/>
        </w:rPr>
      </w:pPr>
      <w:r>
        <w:rPr>
          <w:rFonts w:ascii="宋体" w:hAnsi="宋体" w:cs="宋体" w:hint="eastAsia"/>
          <w:b/>
          <w:bCs/>
          <w:szCs w:val="21"/>
        </w:rPr>
        <w:t>1、主要工作概述</w:t>
      </w:r>
    </w:p>
    <w:p w:rsidR="00AD6714">
      <w:pPr>
        <w:spacing w:line="400" w:lineRule="exact"/>
        <w:ind w:firstLine="420"/>
        <w:rPr>
          <w:rFonts w:ascii="宋体" w:hAnsi="宋体"/>
          <w:szCs w:val="21"/>
        </w:rPr>
      </w:pPr>
      <w:r>
        <w:rPr>
          <w:rFonts w:ascii="宋体" w:hAnsi="宋体" w:hint="eastAsia"/>
          <w:szCs w:val="21"/>
        </w:rPr>
        <w:t>全国汽车标准化技术委员会汽车碰撞试验及碰撞防护分技术委员会组织成立</w:t>
      </w:r>
      <w:r>
        <w:rPr>
          <w:rFonts w:hint="eastAsia"/>
          <w:szCs w:val="21"/>
        </w:rPr>
        <w:t>《乘用车后碰撞安全要求》</w:t>
      </w:r>
      <w:r>
        <w:rPr>
          <w:rFonts w:hint="eastAsia"/>
          <w:szCs w:val="21"/>
        </w:rPr>
        <w:t>标准起草组</w:t>
      </w:r>
      <w:r>
        <w:rPr>
          <w:rFonts w:ascii="宋体" w:hAnsi="宋体" w:hint="eastAsia"/>
          <w:szCs w:val="21"/>
        </w:rPr>
        <w:t>，于201</w:t>
      </w:r>
      <w:r>
        <w:rPr>
          <w:rFonts w:ascii="宋体" w:hAnsi="宋体" w:hint="eastAsia"/>
          <w:szCs w:val="21"/>
        </w:rPr>
        <w:t>9</w:t>
      </w:r>
      <w:r>
        <w:rPr>
          <w:rFonts w:ascii="宋体" w:hAnsi="宋体" w:hint="eastAsia"/>
          <w:szCs w:val="21"/>
        </w:rPr>
        <w:t>年</w:t>
      </w:r>
      <w:r>
        <w:rPr>
          <w:rFonts w:ascii="宋体" w:hAnsi="宋体" w:hint="eastAsia"/>
          <w:szCs w:val="21"/>
        </w:rPr>
        <w:t>4</w:t>
      </w:r>
      <w:r>
        <w:rPr>
          <w:rFonts w:ascii="宋体" w:hAnsi="宋体" w:hint="eastAsia"/>
          <w:szCs w:val="21"/>
        </w:rPr>
        <w:t>月启动标准研究与起草工作，由中国汽车技术研究中心有限公司</w:t>
      </w:r>
      <w:r>
        <w:rPr>
          <w:rFonts w:ascii="宋体" w:hAnsi="宋体" w:hint="eastAsia"/>
          <w:szCs w:val="21"/>
        </w:rPr>
        <w:t>、</w:t>
      </w:r>
      <w:r>
        <w:rPr>
          <w:szCs w:val="21"/>
        </w:rPr>
        <w:t>上海汽车集团股份有限公司</w:t>
      </w:r>
      <w:r>
        <w:rPr>
          <w:rFonts w:ascii="宋体" w:hAnsi="宋体" w:hint="eastAsia"/>
          <w:szCs w:val="21"/>
        </w:rPr>
        <w:t>牵头组织主要汽车生产企业、检测机构、高校及科研院所共同研究修订</w:t>
      </w:r>
      <w:r>
        <w:rPr>
          <w:rFonts w:ascii="宋体" w:hAnsi="宋体" w:hint="eastAsia"/>
          <w:szCs w:val="21"/>
        </w:rPr>
        <w:t>GB 20072</w:t>
      </w:r>
      <w:r>
        <w:rPr>
          <w:rFonts w:hint="eastAsia"/>
          <w:szCs w:val="21"/>
        </w:rPr>
        <w:t>《乘用车后碰撞安全要求》</w:t>
      </w:r>
      <w:r>
        <w:rPr>
          <w:rFonts w:ascii="宋体" w:hAnsi="宋体" w:hint="eastAsia"/>
          <w:szCs w:val="21"/>
        </w:rPr>
        <w:t>强制性国家标准。工作组通过技术调研、集中讨论、现场调查和试验验证等多种形式，广泛组织行业力量共同开展</w:t>
      </w:r>
      <w:r>
        <w:rPr>
          <w:rFonts w:hint="eastAsia"/>
          <w:szCs w:val="21"/>
        </w:rPr>
        <w:t>汽车</w:t>
      </w:r>
      <w:r>
        <w:rPr>
          <w:rFonts w:hint="eastAsia"/>
          <w:szCs w:val="21"/>
        </w:rPr>
        <w:t>追尾</w:t>
      </w:r>
      <w:r>
        <w:rPr>
          <w:rFonts w:hint="eastAsia"/>
          <w:szCs w:val="21"/>
        </w:rPr>
        <w:t>碰撞的乘员保护</w:t>
      </w:r>
      <w:r>
        <w:rPr>
          <w:rFonts w:hint="eastAsia"/>
          <w:szCs w:val="21"/>
        </w:rPr>
        <w:t>标准</w:t>
      </w:r>
      <w:r>
        <w:rPr>
          <w:rFonts w:ascii="宋体" w:hAnsi="宋体" w:hint="eastAsia"/>
          <w:szCs w:val="21"/>
        </w:rPr>
        <w:t>的研究与修订工作，深入研究汽车</w:t>
      </w:r>
      <w:r>
        <w:rPr>
          <w:rFonts w:ascii="宋体" w:hAnsi="宋体" w:hint="eastAsia"/>
          <w:szCs w:val="21"/>
        </w:rPr>
        <w:t>追尾</w:t>
      </w:r>
      <w:r>
        <w:rPr>
          <w:rFonts w:ascii="宋体" w:hAnsi="宋体" w:hint="eastAsia"/>
          <w:szCs w:val="21"/>
        </w:rPr>
        <w:t>碰撞</w:t>
      </w:r>
      <w:r>
        <w:rPr>
          <w:rFonts w:ascii="宋体" w:hAnsi="宋体" w:hint="eastAsia"/>
          <w:szCs w:val="21"/>
        </w:rPr>
        <w:t>安全</w:t>
      </w:r>
      <w:r>
        <w:rPr>
          <w:rFonts w:ascii="宋体" w:hAnsi="宋体" w:hint="eastAsia"/>
          <w:szCs w:val="21"/>
        </w:rPr>
        <w:t>相关的技术及应用情况，集合行业力量共同修订完成了标准</w:t>
      </w:r>
      <w:r>
        <w:rPr>
          <w:rFonts w:ascii="宋体" w:hAnsi="宋体" w:hint="eastAsia"/>
          <w:szCs w:val="21"/>
        </w:rPr>
        <w:t>技术内容</w:t>
      </w:r>
      <w:r>
        <w:rPr>
          <w:rFonts w:ascii="宋体" w:hAnsi="宋体" w:hint="eastAsia"/>
          <w:szCs w:val="21"/>
        </w:rPr>
        <w:t>。</w:t>
      </w:r>
      <w:r>
        <w:rPr>
          <w:rFonts w:ascii="宋体" w:hAnsi="宋体"/>
          <w:szCs w:val="21"/>
        </w:rPr>
        <w:br/>
      </w:r>
      <w:r>
        <w:rPr>
          <w:rFonts w:ascii="宋体" w:hAnsi="宋体"/>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 w:history="1">
        <w:r>
          <w:rPr>
            <w:rFonts w:ascii="SimSun" w:eastAsia="SimSun" w:hAnsi="SimSun" w:cs="SimSun"/>
            <w:b/>
            <w:bCs/>
            <w:color w:val="0000EE"/>
            <w:kern w:val="0"/>
            <w:sz w:val="30"/>
            <w:szCs w:val="30"/>
            <w:u w:val="single" w:color="0000EE"/>
          </w:rPr>
          <w:t>https://d.book118.com/178106045066006032</w:t>
        </w:r>
      </w:hyperlink>
    </w:p>
    <w:p w:rsidR="00AD6714">
      <w:pPr>
        <w:spacing w:line="400" w:lineRule="exact"/>
        <w:ind w:firstLine="420"/>
        <w:rPr>
          <w:rFonts w:ascii="宋体" w:hAnsi="宋体"/>
          <w:szCs w:val="21"/>
        </w:rPr>
      </w:pPr>
    </w:p>
    <w:sectPr w:rsidSect="00A200F2">
      <w:headerReference w:type="default" r:id="rId25"/>
      <w:footerReference w:type="default" r:id="rId26"/>
      <w:footerReference w:type="first" r:id="rId27"/>
      <w:pgSz w:w="11906" w:h="16838"/>
      <w:pgMar w:top="1440" w:right="1800" w:bottom="1440" w:left="1800" w:header="851" w:footer="992" w:gutter="0"/>
      <w:pgNumType w:start="1"/>
      <w:cols w:space="425"/>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DY16">
    <w:altName w:val="Segoe Print"/>
    <w:panose1 w:val="00000000000000000000"/>
    <w:charset w:val="00"/>
    <w:family w:val="auto"/>
    <w:pitch w:val="default"/>
    <w:sig w:usb0="00000000" w:usb1="00000000" w:usb2="00000000" w:usb3="00000000" w:csb0="00000001" w:csb1="00000000"/>
  </w:font>
  <w:font w:name="方正小标宋简体">
    <w:altName w:val="微软雅黑"/>
    <w:panose1 w:val="02000000000000000000"/>
    <w:charset w:val="86"/>
    <w:family w:val="script"/>
    <w:pitch w:val="default"/>
    <w:sig w:usb0="A00002BF" w:usb1="184F6CFA" w:usb2="00000012" w:usb3="00000000" w:csb0="00040001" w:csb1="00000000"/>
  </w:font>
  <w:font w:name="等线 Light">
    <w:panose1 w:val="02010600030101010101"/>
    <w:charset w:val="86"/>
    <w:family w:val="auto"/>
    <w:pitch w:val="variable"/>
    <w:sig w:usb0="A00002BF" w:usb1="38CF7CFA" w:usb2="00000016" w:usb3="00000000" w:csb0="0004000F" w:csb1="00000000"/>
  </w:font>
  <w:font w:name="DejaVu Sans">
    <w:altName w:val="Times New Roman"/>
    <w:panose1 w:val="00000000000000000000"/>
    <w:charset w:val="00"/>
    <w:family w:val="roman"/>
    <w:pitch w:val="default"/>
    <w:sig w:usb0="00000000" w:usb1="00000000" w:usb2="00000008" w:usb3="00000000" w:csb0="000001FF" w:csb1="00000000"/>
  </w:font>
  <w:font w:name="方正黑体_GBK">
    <w:panose1 w:val="02000000000000000000"/>
    <w:charset w:val="86"/>
    <w:family w:val="auto"/>
    <w:pitch w:val="default"/>
    <w:sig w:usb0="A00002BF" w:usb1="38CF7CFA" w:usb2="00082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37"/>
    </w:pPr>
    <w: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right;mso-position-horizontal-relative:margin;mso-wrap-style:none;position:absolute;z-index:251658240" filled="f" stroked="f">
          <v:fill o:detectmouseclick="t"/>
          <o:lock v:ext="edit" aspectratio="f"/>
          <v:textbox style="mso-fit-shape-to-text:t" inset="0,0,0,0">
            <w:txbxContent>
              <w:p w:rsidR="00A200F2">
                <w:pPr>
                  <w:pStyle w:val="a37"/>
                </w:pPr>
                <w:r>
                  <w:fldChar w:fldCharType="begin"/>
                </w:r>
                <w:r>
                  <w:instrText xml:space="preserve"> PAGE  \* MERGEFORMAT </w:instrText>
                </w:r>
                <w:r>
                  <w:fldChar w:fldCharType="separate"/>
                </w:r>
                <w:r>
                  <w:t>I</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37"/>
    </w:pPr>
    <w: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right;mso-position-horizontal-relative:margin;mso-wrap-style:none;position:absolute;z-index:251659264" filled="f" stroked="f">
          <v:fill o:detectmouseclick="t"/>
          <o:lock v:ext="edit" aspectratio="f"/>
          <v:textbox style="mso-fit-shape-to-text:t" inset="0,0,0,0">
            <w:txbxContent>
              <w:p w:rsidR="00A200F2">
                <w:pPr>
                  <w:pStyle w:val="a37"/>
                </w:pPr>
                <w:r>
                  <w:fldChar w:fldCharType="begin"/>
                </w:r>
                <w:r>
                  <w:instrText xml:space="preserve"> PAGE  \* MERGEFORMAT </w:instrText>
                </w:r>
                <w:r>
                  <w:fldChar w:fldCharType="separate"/>
                </w:r>
                <w:r>
                  <w:t>II</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37"/>
    </w:pPr>
    <w: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right;mso-position-horizontal-relative:margin;mso-wrap-style:none;position:absolute;z-index:251660288" filled="f" stroked="f">
          <v:fill o:detectmouseclick="t"/>
          <o:lock v:ext="edit" aspectratio="f"/>
          <v:textbox style="mso-fit-shape-to-text:t" inset="0,0,0,0">
            <w:txbxContent>
              <w:p w:rsidR="00A200F2">
                <w:pPr>
                  <w:pStyle w:val="a37"/>
                </w:pPr>
                <w:r>
                  <w:fldChar w:fldCharType="begin"/>
                </w:r>
                <w:r>
                  <w:instrText xml:space="preserve"> PAGE  \* MERGEFORMAT </w:instrText>
                </w:r>
                <w:r>
                  <w:fldChar w:fldCharType="separate"/>
                </w:r>
                <w:r>
                  <w:t>1</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37"/>
    </w:pPr>
    <w: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right;mso-position-horizontal-relative:margin;mso-wrap-style:none;position:absolute;z-index:251661312" filled="f" stroked="f">
          <v:fill o:detectmouseclick="t"/>
          <o:lock v:ext="edit" aspectratio="f"/>
          <v:textbox style="mso-fit-shape-to-text:t" inset="0,0,0,0">
            <w:txbxContent>
              <w:p w:rsidR="00A200F2">
                <w:pPr>
                  <w:pStyle w:val="a37"/>
                </w:pPr>
                <w:r>
                  <w:fldChar w:fldCharType="begin"/>
                </w:r>
                <w:r>
                  <w:instrText xml:space="preserve"> PAGE  \* MERGEFORMAT </w:instrText>
                </w:r>
                <w:r>
                  <w:fldChar w:fldCharType="separate"/>
                </w:r>
                <w:r>
                  <w:t>2</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37"/>
    </w:pPr>
    <w: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right;mso-position-horizontal-relative:margin;mso-wrap-style:none;position:absolute;z-index:251662336" filled="f" stroked="f">
          <v:fill o:detectmouseclick="t"/>
          <o:lock v:ext="edit" aspectratio="f"/>
          <v:textbox style="mso-fit-shape-to-text:t" inset="0,0,0,0">
            <w:txbxContent>
              <w:p w:rsidR="00A200F2">
                <w:pPr>
                  <w:pStyle w:val="a37"/>
                </w:pPr>
                <w:r>
                  <w:fldChar w:fldCharType="begin"/>
                </w:r>
                <w:r>
                  <w:instrText xml:space="preserve"> PAGE  \* MERGEFORMAT </w:instrText>
                </w:r>
                <w:r>
                  <w:fldChar w:fldCharType="separate"/>
                </w:r>
                <w:r>
                  <w:t>3</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37"/>
    </w:pPr>
    <w: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right;mso-position-horizontal-relative:margin;mso-wrap-style:none;position:absolute;z-index:251663360" filled="f" stroked="f">
          <v:fill o:detectmouseclick="t"/>
          <o:lock v:ext="edit" aspectratio="f"/>
          <v:textbox style="mso-fit-shape-to-text:t" inset="0,0,0,0">
            <w:txbxContent>
              <w:p w:rsidR="00A200F2">
                <w:pPr>
                  <w:pStyle w:val="a37"/>
                </w:pPr>
                <w:r>
                  <w:fldChar w:fldCharType="begin"/>
                </w:r>
                <w:r>
                  <w:instrText xml:space="preserve"> PAGE  \* MERGEFORMAT </w:instrText>
                </w:r>
                <w:r>
                  <w:fldChar w:fldCharType="separate"/>
                </w:r>
                <w:r>
                  <w:t>4</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Footer"/>
      <w:ind w:firstLine="360"/>
      <w:jc w:val="center"/>
    </w:pPr>
  </w:p>
  <w:p w:rsidR="00AD6714">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Footer"/>
      <w:ind w:firstLine="360"/>
      <w:jc w:val="center"/>
    </w:pPr>
  </w:p>
  <w:p w:rsidR="00AD6714">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Footer"/>
      <w:ind w:firstLine="360"/>
      <w:jc w:val="center"/>
    </w:pPr>
  </w:p>
  <w:p w:rsidR="00AD6714">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Footer"/>
      <w:ind w:firstLine="360"/>
      <w:jc w:val="center"/>
    </w:pPr>
    <w:r>
      <w:rPr>
        <w:noProof/>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visibility:visible;z-index:251664384" filled="f" stroked="f" strokeweight="0.5pt">
          <v:textbox style="mso-fit-shape-to-text:t" inset="0,0,0,0">
            <w:txbxContent>
              <w:p w:rsidR="00AD6714">
                <w:pPr>
                  <w:pStyle w:val="Footer"/>
                  <w:ind w:firstLine="360"/>
                  <w:jc w:val="center"/>
                </w:pPr>
                <w:r>
                  <w:fldChar w:fldCharType="begin"/>
                </w:r>
                <w:r>
                  <w:instrText>PAGE   \* MERGEFORMAT</w:instrText>
                </w:r>
                <w:r>
                  <w:fldChar w:fldCharType="separate"/>
                </w:r>
                <w:r>
                  <w:rPr>
                    <w:lang w:val="zh-CN"/>
                  </w:rPr>
                  <w:t>2</w:t>
                </w:r>
                <w:r>
                  <w:fldChar w:fldCharType="end"/>
                </w:r>
              </w:p>
              <w:p w:rsidR="00AD6714">
                <w:pPr>
                  <w:ind w:firstLine="420"/>
                </w:pPr>
              </w:p>
            </w:txbxContent>
          </v:textbox>
          <w10:wrap anchorx="margin"/>
        </v:shape>
      </w:pict>
    </w:r>
  </w:p>
  <w:p w:rsidR="00AD6714">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Footer"/>
      <w:ind w:firstLine="360"/>
      <w:jc w:val="center"/>
    </w:pPr>
    <w:r>
      <w:rPr>
        <w:noProof/>
      </w:rPr>
      <w:pict>
        <v:shapetype id="_x0000_t202" coordsize="21600,21600" o:spt="202" path="m,l,21600r21600,l21600,xe">
          <v:stroke joinstyle="miter"/>
          <v:path gradientshapeok="t" o:connecttype="rect"/>
        </v:shapetype>
        <v:shape id="文本框 7" o:spid="_x0000_s2056" type="#_x0000_t202" style="width:2in;height:2in;margin-top:0;margin-left:0;mso-position-horizontal:center;mso-position-horizontal-relative:margin;mso-wrap-style:none;position:absolute;visibility:visible;z-index:251666432" filled="f" stroked="f" strokeweight="0.5pt">
          <v:textbox style="mso-fit-shape-to-text:t" inset="0,0,0,0">
            <w:txbxContent>
              <w:p w:rsidR="00A200F2">
                <w:pPr>
                  <w:pStyle w:val="Footer"/>
                  <w:ind w:firstLine="360"/>
                  <w:jc w:val="center"/>
                </w:pPr>
                <w:r>
                  <w:fldChar w:fldCharType="begin"/>
                </w:r>
                <w:r>
                  <w:instrText>PAGE   \* MERGEFORMAT</w:instrText>
                </w:r>
                <w:r>
                  <w:fldChar w:fldCharType="separate"/>
                </w:r>
                <w:r>
                  <w:rPr>
                    <w:lang w:val="zh-CN"/>
                  </w:rPr>
                  <w:t>1</w:t>
                </w:r>
                <w:r>
                  <w:fldChar w:fldCharType="end"/>
                </w:r>
              </w:p>
              <w:p w:rsidR="00A200F2">
                <w:pPr>
                  <w:ind w:firstLine="420"/>
                </w:pPr>
              </w:p>
            </w:txbxContent>
          </v:textbox>
          <w10:wrap anchorx="margin"/>
        </v:shape>
      </w:pict>
    </w:r>
  </w:p>
  <w:p w:rsidR="00A200F2">
    <w:pPr>
      <w:pStyle w:val="Footer"/>
      <w:ind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Footer"/>
      <w:ind w:firstLine="360"/>
      <w:jc w:val="center"/>
    </w:pPr>
    <w:r>
      <w:rPr>
        <w:noProof/>
      </w:rPr>
      <w:pict>
        <v:shapetype id="_x0000_t202" coordsize="21600,21600" o:spt="202" path="m,l,21600r21600,l21600,xe">
          <v:stroke joinstyle="miter"/>
          <v:path gradientshapeok="t" o:connecttype="rect"/>
        </v:shapetype>
        <v:shape id="文本框 6" o:spid="_x0000_s2057" type="#_x0000_t202" style="width:2in;height:2in;margin-top:0;margin-left:0;mso-position-horizontal:center;mso-position-horizontal-relative:margin;mso-wrap-style:none;position:absolute;visibility:visible;z-index:251665408" filled="f" stroked="f" strokeweight="0.5pt">
          <v:textbox style="mso-fit-shape-to-text:t" inset="0,0,0,0">
            <w:txbxContent>
              <w:p w:rsidR="00AD6714">
                <w:pPr>
                  <w:pStyle w:val="Footer"/>
                  <w:ind w:firstLine="360"/>
                  <w:jc w:val="center"/>
                </w:pPr>
                <w:r>
                  <w:fldChar w:fldCharType="begin"/>
                </w:r>
                <w:r>
                  <w:instrText>PAGE   \* MERGEFORMAT</w:instrText>
                </w:r>
                <w:r>
                  <w:fldChar w:fldCharType="separate"/>
                </w:r>
                <w:r>
                  <w:rPr>
                    <w:lang w:val="zh-CN"/>
                  </w:rPr>
                  <w:t>2</w:t>
                </w:r>
                <w:r>
                  <w:fldChar w:fldCharType="end"/>
                </w:r>
              </w:p>
              <w:p w:rsidR="00AD6714">
                <w:pPr>
                  <w:ind w:firstLine="420"/>
                </w:pPr>
              </w:p>
            </w:txbxContent>
          </v:textbox>
          <w10:wrap anchorx="margin"/>
        </v:shape>
      </w:pict>
    </w:r>
  </w:p>
  <w:p w:rsidR="00AD6714">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42"/>
    </w:pPr>
    <w:r>
      <w:t xml:space="preserve">GB </w:t>
    </w:r>
    <w:r>
      <w:rPr>
        <w:rFonts w:hint="eastAsia"/>
      </w:rPr>
      <w:t>20072</w:t>
    </w:r>
    <w:r>
      <w:t>—</w:t>
    </w:r>
    <w:r>
      <w:rPr>
        <w:rFonts w:hint="eastAsia"/>
      </w:rPr>
      <w:t>202</w:t>
    </w:r>
    <w:r>
      <w:t>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42"/>
    </w:pPr>
    <w:r>
      <w:t xml:space="preserve">GB </w:t>
    </w:r>
    <w:r>
      <w:rPr>
        <w:rFonts w:hint="eastAsia"/>
      </w:rPr>
      <w:t>20072</w:t>
    </w:r>
    <w:r>
      <w:t>—</w:t>
    </w:r>
    <w:r>
      <w:rPr>
        <w:rFonts w:hint="eastAsia"/>
      </w:rPr>
      <w:t>202</w:t>
    </w:r>
    <w:r>
      <w:t>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42"/>
    </w:pPr>
    <w:r>
      <w:t xml:space="preserve">GB </w:t>
    </w:r>
    <w:r>
      <w:rPr>
        <w:rFonts w:hint="eastAsia"/>
      </w:rPr>
      <w:t>20072</w:t>
    </w:r>
    <w:r>
      <w:t>—</w:t>
    </w:r>
    <w:r>
      <w:rPr>
        <w:rFonts w:hint="eastAsia"/>
      </w:rPr>
      <w:t>202</w:t>
    </w:r>
    <w:r>
      <w:t>X</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42"/>
    </w:pPr>
    <w:r>
      <w:t xml:space="preserve">GB </w:t>
    </w:r>
    <w:r>
      <w:rPr>
        <w:rFonts w:hint="eastAsia"/>
      </w:rPr>
      <w:t>20072</w:t>
    </w:r>
    <w:r>
      <w:t>—</w:t>
    </w:r>
    <w:r>
      <w:rPr>
        <w:rFonts w:hint="eastAsia"/>
      </w:rPr>
      <w:t>202</w:t>
    </w:r>
    <w:r>
      <w:t>X</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42"/>
    </w:pPr>
    <w:r>
      <w:t xml:space="preserve">GB </w:t>
    </w:r>
    <w:r>
      <w:rPr>
        <w:rFonts w:hint="eastAsia"/>
      </w:rPr>
      <w:t>20072</w:t>
    </w:r>
    <w:r>
      <w:t>—</w:t>
    </w:r>
    <w:r>
      <w:rPr>
        <w:rFonts w:hint="eastAsia"/>
      </w:rPr>
      <w:t>202</w:t>
    </w:r>
    <w:r>
      <w:t>X</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F2">
    <w:pPr>
      <w:pStyle w:val="a42"/>
    </w:pPr>
    <w:r>
      <w:t xml:space="preserve">GB </w:t>
    </w:r>
    <w:r>
      <w:rPr>
        <w:rFonts w:hint="eastAsia"/>
      </w:rPr>
      <w:t>20072</w:t>
    </w:r>
    <w:r>
      <w:t>—</w:t>
    </w:r>
    <w:r>
      <w:rPr>
        <w:rFonts w:hint="eastAsia"/>
      </w:rPr>
      <w:t>202</w:t>
    </w:r>
    <w:r>
      <w:t>X</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Header"/>
      <w:adjustRightInd w:val="0"/>
      <w:ind w:firstLine="360"/>
    </w:pPr>
    <w:r>
      <w:rPr>
        <w:rFonts w:hint="eastAsia"/>
      </w:rPr>
      <w:t>《乘用车后碰撞安全要求》（征求意见稿）编制说明</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Header"/>
      <w:adjustRightInd w:val="0"/>
      <w:ind w:firstLine="360"/>
    </w:pPr>
    <w:r>
      <w:rPr>
        <w:rFonts w:hint="eastAsia"/>
      </w:rPr>
      <w:t>《乘用车后碰撞安全要求》（征求意见稿）编制说明</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714">
    <w:pPr>
      <w:pStyle w:val="Header"/>
      <w:adjustRightInd w:val="0"/>
      <w:ind w:firstLine="360"/>
    </w:pPr>
    <w:r>
      <w:rPr>
        <w:rFonts w:hint="eastAsia"/>
      </w:rPr>
      <w:t>《乘用车后碰撞安全要求》（征求意见稿）编制说明</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A4047F"/>
    <w:multiLevelType w:val="singleLevel"/>
    <w:tmpl w:val="B2A4047F"/>
    <w:lvl w:ilvl="0">
      <w:start w:val="1"/>
      <w:numFmt w:val="decimal"/>
      <w:suff w:val="nothing"/>
      <w:lvlText w:val="%1）"/>
      <w:lvlJc w:val="left"/>
    </w:lvl>
  </w:abstractNum>
  <w:abstractNum w:abstractNumId="1">
    <w:nsid w:val="079102AD"/>
    <w:multiLevelType w:val="multilevel"/>
    <w:tmpl w:val="079102AD"/>
    <w:lvl w:ilvl="0">
      <w:start w:val="1"/>
      <w:numFmt w:val="decimal"/>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2">
    <w:nsid w:val="093C6778"/>
    <w:multiLevelType w:val="multilevel"/>
    <w:tmpl w:val="093C6778"/>
    <w:lvl w:ilvl="0">
      <w:start w:val="1"/>
      <w:numFmt w:val="decimal"/>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
    <w:nsid w:val="0AE367E9"/>
    <w:multiLevelType w:val="multilevel"/>
    <w:tmpl w:val="0AE367E9"/>
    <w:lvl w:ilvl="0">
      <w:start w:val="1"/>
      <w:numFmt w:val="none"/>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4">
    <w:nsid w:val="0DDE2B46"/>
    <w:multiLevelType w:val="multilevel"/>
    <w:tmpl w:val="0DDE2B46"/>
    <w:lvl w:ilvl="0">
      <w:start w:val="1"/>
      <w:numFmt w:val="lowerLetter"/>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num" w:pos="57"/>
        </w:tabs>
        <w:ind w:left="363" w:hanging="363"/>
      </w:pPr>
      <w:rPr>
        <w:rFonts w:hint="eastAsia"/>
      </w:rPr>
    </w:lvl>
    <w:lvl w:ilvl="2">
      <w:start w:val="1"/>
      <w:numFmt w:val="lowerRoman"/>
      <w:lvlText w:val="%3."/>
      <w:lvlJc w:val="right"/>
      <w:pPr>
        <w:tabs>
          <w:tab w:val="num" w:pos="57"/>
        </w:tabs>
        <w:ind w:left="363" w:hanging="363"/>
      </w:pPr>
      <w:rPr>
        <w:rFonts w:hint="eastAsia"/>
      </w:rPr>
    </w:lvl>
    <w:lvl w:ilvl="3">
      <w:start w:val="1"/>
      <w:numFmt w:val="decimal"/>
      <w:lvlText w:val="%4."/>
      <w:lvlJc w:val="left"/>
      <w:pPr>
        <w:tabs>
          <w:tab w:val="num" w:pos="57"/>
        </w:tabs>
        <w:ind w:left="363" w:hanging="363"/>
      </w:pPr>
      <w:rPr>
        <w:rFonts w:hint="eastAsia"/>
      </w:rPr>
    </w:lvl>
    <w:lvl w:ilvl="4">
      <w:start w:val="1"/>
      <w:numFmt w:val="lowerLetter"/>
      <w:lvlText w:val="%5)"/>
      <w:lvlJc w:val="left"/>
      <w:pPr>
        <w:tabs>
          <w:tab w:val="num" w:pos="57"/>
        </w:tabs>
        <w:ind w:left="363" w:hanging="363"/>
      </w:pPr>
      <w:rPr>
        <w:rFonts w:hint="eastAsia"/>
      </w:rPr>
    </w:lvl>
    <w:lvl w:ilvl="5">
      <w:start w:val="1"/>
      <w:numFmt w:val="lowerRoman"/>
      <w:lvlText w:val="%6."/>
      <w:lvlJc w:val="right"/>
      <w:pPr>
        <w:tabs>
          <w:tab w:val="num" w:pos="57"/>
        </w:tabs>
        <w:ind w:left="363" w:hanging="363"/>
      </w:pPr>
      <w:rPr>
        <w:rFonts w:hint="eastAsia"/>
      </w:rPr>
    </w:lvl>
    <w:lvl w:ilvl="6">
      <w:start w:val="1"/>
      <w:numFmt w:val="decimal"/>
      <w:lvlText w:val="%7."/>
      <w:lvlJc w:val="left"/>
      <w:pPr>
        <w:tabs>
          <w:tab w:val="num" w:pos="57"/>
        </w:tabs>
        <w:ind w:left="363" w:hanging="363"/>
      </w:pPr>
      <w:rPr>
        <w:rFonts w:hint="eastAsia"/>
      </w:rPr>
    </w:lvl>
    <w:lvl w:ilvl="7">
      <w:start w:val="1"/>
      <w:numFmt w:val="lowerLetter"/>
      <w:lvlText w:val="%8)"/>
      <w:lvlJc w:val="left"/>
      <w:pPr>
        <w:tabs>
          <w:tab w:val="num" w:pos="57"/>
        </w:tabs>
        <w:ind w:left="363" w:hanging="363"/>
      </w:pPr>
      <w:rPr>
        <w:rFonts w:hint="eastAsia"/>
      </w:rPr>
    </w:lvl>
    <w:lvl w:ilvl="8">
      <w:start w:val="1"/>
      <w:numFmt w:val="lowerRoman"/>
      <w:lvlText w:val="%9."/>
      <w:lvlJc w:val="right"/>
      <w:pPr>
        <w:tabs>
          <w:tab w:val="num" w:pos="57"/>
        </w:tabs>
        <w:ind w:left="363" w:hanging="363"/>
      </w:pPr>
      <w:rPr>
        <w:rFonts w:hint="eastAsia"/>
      </w:rPr>
    </w:lvl>
  </w:abstractNum>
  <w:abstractNum w:abstractNumId="5">
    <w:nsid w:val="1DBF583A"/>
    <w:multiLevelType w:val="multilevel"/>
    <w:tmpl w:val="1DBF583A"/>
    <w:lvl w:ilvl="0">
      <w:start w:val="1"/>
      <w:numFmt w:val="decimal"/>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num" w:pos="180"/>
        </w:tabs>
        <w:ind w:left="1172" w:hanging="629"/>
      </w:pPr>
      <w:rPr>
        <w:rFonts w:hint="eastAsia"/>
        <w:vertAlign w:val="baseline"/>
      </w:rPr>
    </w:lvl>
    <w:lvl w:ilvl="2">
      <w:start w:val="1"/>
      <w:numFmt w:val="lowerRoman"/>
      <w:lvlText w:val="%3."/>
      <w:lvlJc w:val="right"/>
      <w:pPr>
        <w:tabs>
          <w:tab w:val="num" w:pos="180"/>
        </w:tabs>
        <w:ind w:left="1172" w:hanging="629"/>
      </w:pPr>
      <w:rPr>
        <w:rFonts w:hint="eastAsia"/>
        <w:vertAlign w:val="baseline"/>
      </w:rPr>
    </w:lvl>
    <w:lvl w:ilvl="3">
      <w:start w:val="1"/>
      <w:numFmt w:val="decimal"/>
      <w:lvlText w:val="%4."/>
      <w:lvlJc w:val="left"/>
      <w:pPr>
        <w:tabs>
          <w:tab w:val="num" w:pos="180"/>
        </w:tabs>
        <w:ind w:left="1172" w:hanging="629"/>
      </w:pPr>
      <w:rPr>
        <w:rFonts w:hint="eastAsia"/>
        <w:vertAlign w:val="baseline"/>
      </w:rPr>
    </w:lvl>
    <w:lvl w:ilvl="4">
      <w:start w:val="1"/>
      <w:numFmt w:val="lowerLetter"/>
      <w:lvlText w:val="%5)"/>
      <w:lvlJc w:val="left"/>
      <w:pPr>
        <w:tabs>
          <w:tab w:val="num" w:pos="180"/>
        </w:tabs>
        <w:ind w:left="1172" w:hanging="629"/>
      </w:pPr>
      <w:rPr>
        <w:rFonts w:hint="eastAsia"/>
        <w:vertAlign w:val="baseline"/>
      </w:rPr>
    </w:lvl>
    <w:lvl w:ilvl="5">
      <w:start w:val="1"/>
      <w:numFmt w:val="lowerRoman"/>
      <w:lvlText w:val="%6."/>
      <w:lvlJc w:val="right"/>
      <w:pPr>
        <w:tabs>
          <w:tab w:val="num" w:pos="180"/>
        </w:tabs>
        <w:ind w:left="1172" w:hanging="629"/>
      </w:pPr>
      <w:rPr>
        <w:rFonts w:hint="eastAsia"/>
        <w:vertAlign w:val="baseline"/>
      </w:rPr>
    </w:lvl>
    <w:lvl w:ilvl="6">
      <w:start w:val="1"/>
      <w:numFmt w:val="decimal"/>
      <w:lvlText w:val="%7."/>
      <w:lvlJc w:val="left"/>
      <w:pPr>
        <w:tabs>
          <w:tab w:val="num" w:pos="180"/>
        </w:tabs>
        <w:ind w:left="1172" w:hanging="629"/>
      </w:pPr>
      <w:rPr>
        <w:rFonts w:hint="eastAsia"/>
        <w:vertAlign w:val="baseline"/>
      </w:rPr>
    </w:lvl>
    <w:lvl w:ilvl="7">
      <w:start w:val="1"/>
      <w:numFmt w:val="lowerLetter"/>
      <w:lvlText w:val="%8)"/>
      <w:lvlJc w:val="left"/>
      <w:pPr>
        <w:tabs>
          <w:tab w:val="num" w:pos="180"/>
        </w:tabs>
        <w:ind w:left="1172" w:hanging="629"/>
      </w:pPr>
      <w:rPr>
        <w:rFonts w:hint="eastAsia"/>
        <w:vertAlign w:val="baseline"/>
      </w:rPr>
    </w:lvl>
    <w:lvl w:ilvl="8">
      <w:start w:val="1"/>
      <w:numFmt w:val="lowerRoman"/>
      <w:lvlText w:val="%9."/>
      <w:lvlJc w:val="right"/>
      <w:pPr>
        <w:tabs>
          <w:tab w:val="num" w:pos="180"/>
        </w:tabs>
        <w:ind w:left="1172" w:hanging="629"/>
      </w:pPr>
      <w:rPr>
        <w:rFonts w:hint="eastAsia"/>
        <w:vertAlign w:val="baseline"/>
      </w:rPr>
    </w:lvl>
  </w:abstractNum>
  <w:abstractNum w:abstractNumId="6">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default"/>
        <w:b w:val="0"/>
        <w:i w:val="0"/>
        <w:strike w:val="0"/>
        <w:dstrike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7">
    <w:nsid w:val="22827D5B"/>
    <w:multiLevelType w:val="multilevel"/>
    <w:tmpl w:val="22827D5B"/>
    <w:lvl w:ilvl="0">
      <w:start w:val="1"/>
      <w:numFmt w:val="none"/>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8">
    <w:nsid w:val="2A8F7113"/>
    <w:multiLevelType w:val="multilevel"/>
    <w:tmpl w:val="2A8F7113"/>
    <w:lvl w:ilvl="0">
      <w:start w:val="1"/>
      <w:numFmt w:val="upperLetter"/>
      <w:suff w:val="space"/>
      <w:lvlText w:val="%1"/>
      <w:lvlJc w:val="left"/>
      <w:pPr>
        <w:ind w:left="623" w:hanging="425"/>
      </w:pPr>
      <w:rPr>
        <w:rFonts w:hint="eastAsia"/>
      </w:rPr>
    </w:lvl>
    <w:lvl w:ilvl="1">
      <w:start w:val="1"/>
      <w:numFmt w:val="decimal"/>
      <w:suff w:val="nothing"/>
      <w:lvlText w:val="图%1.%2　"/>
      <w:lvlJc w:val="left"/>
      <w:pPr>
        <w:ind w:left="1190" w:hanging="567"/>
      </w:pPr>
      <w:rPr>
        <w:rFonts w:hint="eastAsia"/>
      </w:rPr>
    </w:lvl>
    <w:lvl w:ilvl="2">
      <w:start w:val="1"/>
      <w:numFmt w:val="decimal"/>
      <w:lvlText w:val="%1.%2.%3"/>
      <w:lvlJc w:val="left"/>
      <w:pPr>
        <w:tabs>
          <w:tab w:val="num" w:pos="1616"/>
        </w:tabs>
        <w:ind w:left="1616" w:hanging="567"/>
      </w:pPr>
      <w:rPr>
        <w:rFonts w:hint="eastAsia"/>
      </w:rPr>
    </w:lvl>
    <w:lvl w:ilvl="3">
      <w:start w:val="1"/>
      <w:numFmt w:val="decimal"/>
      <w:lvlText w:val="%1.%2.%3.%4"/>
      <w:lvlJc w:val="left"/>
      <w:pPr>
        <w:tabs>
          <w:tab w:val="num" w:pos="2914"/>
        </w:tabs>
        <w:ind w:left="2182" w:hanging="708"/>
      </w:pPr>
      <w:rPr>
        <w:rFonts w:hint="eastAsia"/>
      </w:rPr>
    </w:lvl>
    <w:lvl w:ilvl="4">
      <w:start w:val="1"/>
      <w:numFmt w:val="decimal"/>
      <w:lvlText w:val="%1.%2.%3.%4.%5"/>
      <w:lvlJc w:val="left"/>
      <w:pPr>
        <w:tabs>
          <w:tab w:val="num" w:pos="3699"/>
        </w:tabs>
        <w:ind w:left="2749" w:hanging="850"/>
      </w:pPr>
      <w:rPr>
        <w:rFonts w:hint="eastAsia"/>
      </w:rPr>
    </w:lvl>
    <w:lvl w:ilvl="5">
      <w:start w:val="1"/>
      <w:numFmt w:val="decimal"/>
      <w:lvlText w:val="%1.%2.%3.%4.%5.%6"/>
      <w:lvlJc w:val="left"/>
      <w:pPr>
        <w:tabs>
          <w:tab w:val="num" w:pos="4484"/>
        </w:tabs>
        <w:ind w:left="3458" w:hanging="1134"/>
      </w:pPr>
      <w:rPr>
        <w:rFonts w:hint="eastAsia"/>
      </w:rPr>
    </w:lvl>
    <w:lvl w:ilvl="6">
      <w:start w:val="1"/>
      <w:numFmt w:val="decimal"/>
      <w:lvlText w:val="%1.%2.%3.%4.%5.%6.%7"/>
      <w:lvlJc w:val="left"/>
      <w:pPr>
        <w:tabs>
          <w:tab w:val="num" w:pos="5269"/>
        </w:tabs>
        <w:ind w:left="4025" w:hanging="1276"/>
      </w:pPr>
      <w:rPr>
        <w:rFonts w:hint="eastAsia"/>
      </w:rPr>
    </w:lvl>
    <w:lvl w:ilvl="7">
      <w:start w:val="1"/>
      <w:numFmt w:val="decimal"/>
      <w:lvlText w:val="%1.%2.%3.%4.%5.%6.%7.%8"/>
      <w:lvlJc w:val="left"/>
      <w:pPr>
        <w:tabs>
          <w:tab w:val="num" w:pos="6054"/>
        </w:tabs>
        <w:ind w:left="4592" w:hanging="1418"/>
      </w:pPr>
      <w:rPr>
        <w:rFonts w:hint="eastAsia"/>
      </w:rPr>
    </w:lvl>
    <w:lvl w:ilvl="8">
      <w:start w:val="1"/>
      <w:numFmt w:val="decimal"/>
      <w:lvlText w:val="%1.%2.%3.%4.%5.%6.%7.%8.%9"/>
      <w:lvlJc w:val="left"/>
      <w:pPr>
        <w:tabs>
          <w:tab w:val="num" w:pos="6840"/>
        </w:tabs>
        <w:ind w:left="5300" w:hanging="1700"/>
      </w:pPr>
      <w:rPr>
        <w:rFonts w:hint="eastAsia"/>
      </w:rPr>
    </w:lvl>
  </w:abstractNum>
  <w:abstractNum w:abstractNumId="9">
    <w:nsid w:val="2C5917C3"/>
    <w:multiLevelType w:val="multilevel"/>
    <w:tmpl w:val="2C5917C3"/>
    <w:lvl w:ilvl="0">
      <w:start w:val="1"/>
      <w:numFmt w:val="none"/>
      <w:suff w:val="nothing"/>
      <w:lvlText w:val="%1——"/>
      <w:lvlJc w:val="left"/>
      <w:pPr>
        <w:ind w:left="833" w:hanging="408"/>
      </w:pPr>
      <w:rPr>
        <w:rFonts w:hint="eastAsia"/>
      </w:rPr>
    </w:lvl>
    <w:lvl w:ilvl="1">
      <w:start w:val="1"/>
      <w:numFmt w:val="bullet"/>
      <w:lvlText w:val=""/>
      <w:lvlJc w:val="left"/>
      <w:pPr>
        <w:tabs>
          <w:tab w:val="num" w:pos="760"/>
        </w:tabs>
        <w:ind w:left="1264" w:hanging="413"/>
      </w:pPr>
      <w:rPr>
        <w:rFonts w:ascii="Symbol" w:hAnsi="Symbol" w:hint="default"/>
        <w:color w:val="auto"/>
      </w:rPr>
    </w:lvl>
    <w:lvl w:ilvl="2">
      <w:start w:val="1"/>
      <w:numFmt w:val="bullet"/>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0">
    <w:nsid w:val="32907749"/>
    <w:multiLevelType w:val="singleLevel"/>
    <w:tmpl w:val="79BF88E4"/>
    <w:lvl w:ilvl="0">
      <w:start w:val="1"/>
      <w:numFmt w:val="lowerLetter"/>
      <w:lvlText w:val="%1)"/>
      <w:lvlJc w:val="left"/>
      <w:pPr>
        <w:tabs>
          <w:tab w:val="num" w:pos="312"/>
        </w:tabs>
      </w:pPr>
    </w:lvl>
  </w:abstractNum>
  <w:abstractNum w:abstractNumId="11">
    <w:nsid w:val="3D733618"/>
    <w:multiLevelType w:val="multilevel"/>
    <w:tmpl w:val="3D733618"/>
    <w:lvl w:ilvl="0">
      <w:start w:val="1"/>
      <w:numFmt w:val="decimal"/>
      <w:lvlText w:val="%1)"/>
      <w:lvlJc w:val="left"/>
      <w:pPr>
        <w:tabs>
          <w:tab w:val="num" w:pos="0"/>
        </w:tabs>
        <w:ind w:left="720" w:hanging="357"/>
      </w:pPr>
      <w:rPr>
        <w:rFonts w:hint="eastAsia"/>
      </w:rPr>
    </w:lvl>
    <w:lvl w:ilvl="1">
      <w:start w:val="1"/>
      <w:numFmt w:val="lowerLetter"/>
      <w:lvlText w:val="%2)"/>
      <w:lvlJc w:val="left"/>
      <w:pPr>
        <w:tabs>
          <w:tab w:val="num" w:pos="504"/>
        </w:tabs>
        <w:ind w:left="544" w:hanging="544"/>
      </w:pPr>
      <w:rPr>
        <w:rFonts w:hint="eastAsia"/>
      </w:rPr>
    </w:lvl>
    <w:lvl w:ilvl="2">
      <w:start w:val="1"/>
      <w:numFmt w:val="lowerRoman"/>
      <w:lvlText w:val="%3."/>
      <w:lvlJc w:val="right"/>
      <w:pPr>
        <w:tabs>
          <w:tab w:val="num" w:pos="532"/>
        </w:tabs>
        <w:ind w:left="544" w:hanging="544"/>
      </w:pPr>
      <w:rPr>
        <w:rFonts w:hint="eastAsia"/>
      </w:rPr>
    </w:lvl>
    <w:lvl w:ilvl="3">
      <w:start w:val="1"/>
      <w:numFmt w:val="decimal"/>
      <w:lvlText w:val="%4."/>
      <w:lvlJc w:val="left"/>
      <w:pPr>
        <w:tabs>
          <w:tab w:val="num" w:pos="560"/>
        </w:tabs>
        <w:ind w:left="544" w:hanging="544"/>
      </w:pPr>
      <w:rPr>
        <w:rFonts w:hint="eastAsia"/>
      </w:rPr>
    </w:lvl>
    <w:lvl w:ilvl="4">
      <w:start w:val="1"/>
      <w:numFmt w:val="lowerLetter"/>
      <w:lvlText w:val="%5)"/>
      <w:lvlJc w:val="left"/>
      <w:pPr>
        <w:tabs>
          <w:tab w:val="num" w:pos="588"/>
        </w:tabs>
        <w:ind w:left="544" w:hanging="544"/>
      </w:pPr>
      <w:rPr>
        <w:rFonts w:hint="eastAsia"/>
      </w:rPr>
    </w:lvl>
    <w:lvl w:ilvl="5">
      <w:start w:val="1"/>
      <w:numFmt w:val="lowerRoman"/>
      <w:lvlText w:val="%6."/>
      <w:lvlJc w:val="right"/>
      <w:pPr>
        <w:tabs>
          <w:tab w:val="num" w:pos="616"/>
        </w:tabs>
        <w:ind w:left="544" w:hanging="544"/>
      </w:pPr>
      <w:rPr>
        <w:rFonts w:hint="eastAsia"/>
      </w:rPr>
    </w:lvl>
    <w:lvl w:ilvl="6">
      <w:start w:val="1"/>
      <w:numFmt w:val="decimal"/>
      <w:lvlText w:val="%7."/>
      <w:lvlJc w:val="left"/>
      <w:pPr>
        <w:tabs>
          <w:tab w:val="num" w:pos="644"/>
        </w:tabs>
        <w:ind w:left="544" w:hanging="544"/>
      </w:pPr>
      <w:rPr>
        <w:rFonts w:hint="eastAsia"/>
      </w:rPr>
    </w:lvl>
    <w:lvl w:ilvl="7">
      <w:start w:val="1"/>
      <w:numFmt w:val="lowerLetter"/>
      <w:lvlText w:val="%8)"/>
      <w:lvlJc w:val="left"/>
      <w:pPr>
        <w:tabs>
          <w:tab w:val="num" w:pos="672"/>
        </w:tabs>
        <w:ind w:left="544" w:hanging="544"/>
      </w:pPr>
      <w:rPr>
        <w:rFonts w:hint="eastAsia"/>
      </w:rPr>
    </w:lvl>
    <w:lvl w:ilvl="8">
      <w:start w:val="1"/>
      <w:numFmt w:val="lowerRoman"/>
      <w:lvlText w:val="%9."/>
      <w:lvlJc w:val="right"/>
      <w:pPr>
        <w:tabs>
          <w:tab w:val="num" w:pos="700"/>
        </w:tabs>
        <w:ind w:left="544" w:hanging="544"/>
      </w:pPr>
      <w:rPr>
        <w:rFonts w:hint="eastAsia"/>
      </w:rPr>
    </w:lvl>
  </w:abstractNum>
  <w:abstractNum w:abstractNumId="12">
    <w:nsid w:val="44C50F90"/>
    <w:multiLevelType w:val="multilevel"/>
    <w:tmpl w:val="44C50F90"/>
    <w:lvl w:ilvl="0">
      <w:start w:val="1"/>
      <w:numFmt w:val="lowerLetter"/>
      <w:lvlText w:val="%1)"/>
      <w:lvlJc w:val="left"/>
      <w:pPr>
        <w:tabs>
          <w:tab w:val="num" w:pos="840"/>
        </w:tabs>
        <w:ind w:left="839" w:hanging="419"/>
      </w:pPr>
      <w:rPr>
        <w:rFonts w:asci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3">
    <w:nsid w:val="4B733A5F"/>
    <w:multiLevelType w:val="multilevel"/>
    <w:tmpl w:val="4B733A5F"/>
    <w:lvl w:ilvl="0">
      <w:start w:val="1"/>
      <w:numFmt w:val="decimal"/>
      <w:suff w:val="nothing"/>
      <w:lvlText w:val="示例%1："/>
      <w:lvlJc w:val="left"/>
      <w:pPr>
        <w:ind w:left="0" w:firstLine="363"/>
      </w:pPr>
      <w:rPr>
        <w:rFonts w:ascii="黑体" w:eastAsia="黑体" w:hAnsi="Times New Roman" w:hint="eastAsia"/>
        <w:b w:val="0"/>
        <w:i w:val="0"/>
        <w:sz w:val="18"/>
        <w:szCs w:val="18"/>
        <w:vertAlign w:val="baseline"/>
      </w:rPr>
    </w:lvl>
    <w:lvl w:ilvl="1">
      <w:start w:val="1"/>
      <w:numFmt w:val="none"/>
      <w:suff w:val="space"/>
      <w:lvlJc w:val="left"/>
      <w:pPr>
        <w:ind w:left="0" w:firstLine="0"/>
      </w:pPr>
      <w:rPr>
        <w:rFonts w:hint="eastAsia"/>
        <w:vertAlign w:val="baseline"/>
      </w:rPr>
    </w:lvl>
    <w:lvl w:ilvl="2">
      <w:start w:val="1"/>
      <w:numFmt w:val="decimal"/>
      <w:suff w:val="space"/>
      <w:lvlText w:val="2.2.%3"/>
      <w:lvlJc w:val="left"/>
      <w:pPr>
        <w:ind w:left="0" w:firstLine="0"/>
      </w:pPr>
      <w:rPr>
        <w:rFonts w:hint="eastAsia"/>
        <w:vertAlign w:val="baseline"/>
      </w:rPr>
    </w:lvl>
    <w:lvl w:ilvl="3">
      <w:start w:val="1"/>
      <w:numFmt w:val="decimal"/>
      <w:lvlText w:val="%4."/>
      <w:lvlJc w:val="left"/>
      <w:pPr>
        <w:tabs>
          <w:tab w:val="num" w:pos="0"/>
        </w:tabs>
        <w:ind w:left="992" w:hanging="629"/>
      </w:pPr>
      <w:rPr>
        <w:rFonts w:hint="eastAsia"/>
        <w:vertAlign w:val="baseline"/>
      </w:rPr>
    </w:lvl>
    <w:lvl w:ilvl="4">
      <w:start w:val="1"/>
      <w:numFmt w:val="lowerLetter"/>
      <w:lvlText w:val="%5)"/>
      <w:lvlJc w:val="left"/>
      <w:pPr>
        <w:tabs>
          <w:tab w:val="num" w:pos="0"/>
        </w:tabs>
        <w:ind w:left="992" w:hanging="629"/>
      </w:pPr>
      <w:rPr>
        <w:rFonts w:hint="eastAsia"/>
        <w:vertAlign w:val="baseline"/>
      </w:rPr>
    </w:lvl>
    <w:lvl w:ilvl="5">
      <w:start w:val="1"/>
      <w:numFmt w:val="lowerRoman"/>
      <w:lvlText w:val="%6."/>
      <w:lvlJc w:val="right"/>
      <w:pPr>
        <w:tabs>
          <w:tab w:val="num" w:pos="0"/>
        </w:tabs>
        <w:ind w:left="992" w:hanging="629"/>
      </w:pPr>
      <w:rPr>
        <w:rFonts w:hint="eastAsia"/>
        <w:vertAlign w:val="baseline"/>
      </w:rPr>
    </w:lvl>
    <w:lvl w:ilvl="6">
      <w:start w:val="1"/>
      <w:numFmt w:val="decimal"/>
      <w:lvlText w:val="%7."/>
      <w:lvlJc w:val="left"/>
      <w:pPr>
        <w:tabs>
          <w:tab w:val="num" w:pos="0"/>
        </w:tabs>
        <w:ind w:left="992" w:hanging="629"/>
      </w:pPr>
      <w:rPr>
        <w:rFonts w:hint="eastAsia"/>
        <w:vertAlign w:val="baseline"/>
      </w:rPr>
    </w:lvl>
    <w:lvl w:ilvl="7">
      <w:start w:val="1"/>
      <w:numFmt w:val="lowerLetter"/>
      <w:lvlText w:val="%8)"/>
      <w:lvlJc w:val="left"/>
      <w:pPr>
        <w:tabs>
          <w:tab w:val="num" w:pos="0"/>
        </w:tabs>
        <w:ind w:left="992" w:hanging="629"/>
      </w:pPr>
      <w:rPr>
        <w:rFonts w:hint="eastAsia"/>
        <w:vertAlign w:val="baseline"/>
      </w:rPr>
    </w:lvl>
    <w:lvl w:ilvl="8">
      <w:start w:val="1"/>
      <w:numFmt w:val="lowerRoman"/>
      <w:lvlText w:val="%9."/>
      <w:lvlJc w:val="right"/>
      <w:pPr>
        <w:tabs>
          <w:tab w:val="num" w:pos="0"/>
        </w:tabs>
        <w:ind w:left="992" w:hanging="629"/>
      </w:pPr>
      <w:rPr>
        <w:rFonts w:hint="eastAsia"/>
        <w:vertAlign w:val="baseline"/>
      </w:rPr>
    </w:lvl>
  </w:abstractNum>
  <w:abstractNum w:abstractNumId="14">
    <w:nsid w:val="60B55DC2"/>
    <w:multiLevelType w:val="multilevel"/>
    <w:tmpl w:val="60B55DC2"/>
    <w:lvl w:ilvl="0">
      <w:start w:val="1"/>
      <w:numFmt w:val="upperLetter"/>
      <w:lvlText w:val="%1"/>
      <w:lvlJc w:val="left"/>
      <w:pPr>
        <w:tabs>
          <w:tab w:val="num" w:pos="0"/>
        </w:tabs>
        <w:ind w:left="0" w:hanging="425"/>
      </w:pPr>
      <w:rPr>
        <w:rFonts w:hint="eastAsia"/>
      </w:rPr>
    </w:lvl>
    <w:lvl w:ilvl="1">
      <w:start w:val="1"/>
      <w:numFmt w:val="decimal"/>
      <w:suff w:val="nothing"/>
      <w:lvlText w:val="表%1.%2　"/>
      <w:lvlJc w:val="left"/>
      <w:pPr>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3076"/>
        </w:tabs>
        <w:ind w:left="2126" w:hanging="850"/>
      </w:pPr>
      <w:rPr>
        <w:rFonts w:hint="eastAsia"/>
      </w:rPr>
    </w:lvl>
    <w:lvl w:ilvl="5">
      <w:start w:val="1"/>
      <w:numFmt w:val="decimal"/>
      <w:lvlText w:val="%1.%2.%3.%4.%5.%6"/>
      <w:lvlJc w:val="left"/>
      <w:pPr>
        <w:tabs>
          <w:tab w:val="num" w:pos="3861"/>
        </w:tabs>
        <w:ind w:left="2835" w:hanging="1134"/>
      </w:pPr>
      <w:rPr>
        <w:rFonts w:hint="eastAsia"/>
      </w:rPr>
    </w:lvl>
    <w:lvl w:ilvl="6">
      <w:start w:val="1"/>
      <w:numFmt w:val="decimal"/>
      <w:lvlText w:val="%1.%2.%3.%4.%5.%6.%7"/>
      <w:lvlJc w:val="left"/>
      <w:pPr>
        <w:tabs>
          <w:tab w:val="num" w:pos="4646"/>
        </w:tabs>
        <w:ind w:left="3402" w:hanging="1276"/>
      </w:pPr>
      <w:rPr>
        <w:rFonts w:hint="eastAsia"/>
      </w:rPr>
    </w:lvl>
    <w:lvl w:ilvl="7">
      <w:start w:val="1"/>
      <w:numFmt w:val="decimal"/>
      <w:lvlText w:val="%1.%2.%3.%4.%5.%6.%7.%8"/>
      <w:lvlJc w:val="left"/>
      <w:pPr>
        <w:tabs>
          <w:tab w:val="num" w:pos="5431"/>
        </w:tabs>
        <w:ind w:left="3969" w:hanging="1418"/>
      </w:pPr>
      <w:rPr>
        <w:rFonts w:hint="eastAsia"/>
      </w:rPr>
    </w:lvl>
    <w:lvl w:ilvl="8">
      <w:start w:val="1"/>
      <w:numFmt w:val="decimal"/>
      <w:lvlText w:val="%1.%2.%3.%4.%5.%6.%7.%8.%9"/>
      <w:lvlJc w:val="left"/>
      <w:pPr>
        <w:tabs>
          <w:tab w:val="num" w:pos="6217"/>
        </w:tabs>
        <w:ind w:left="4677" w:hanging="1700"/>
      </w:pPr>
      <w:rPr>
        <w:rFonts w:hint="eastAsia"/>
      </w:rPr>
    </w:lvl>
  </w:abstractNum>
  <w:abstractNum w:abstractNumId="15">
    <w:nsid w:val="646260FA"/>
    <w:multiLevelType w:val="multilevel"/>
    <w:tmpl w:val="646260FA"/>
    <w:lvl w:ilvl="0">
      <w:start w:val="1"/>
      <w:numFmt w:val="decimal"/>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6">
    <w:nsid w:val="6D6C07CD"/>
    <w:multiLevelType w:val="multilevel"/>
    <w:tmpl w:val="6D6C07CD"/>
    <w:lvl w:ilvl="0">
      <w:start w:val="1"/>
      <w:numFmt w:val="lowerLetter"/>
      <w:lvlText w:val="%1)"/>
      <w:lvlJc w:val="left"/>
      <w:pPr>
        <w:tabs>
          <w:tab w:val="num" w:pos="839"/>
        </w:tabs>
        <w:ind w:left="839" w:hanging="419"/>
      </w:pPr>
      <w:rPr>
        <w:rFonts w:ascii="宋体" w:eastAsia="宋体" w:hint="eastAsia"/>
        <w:b w:val="0"/>
        <w:i w:val="0"/>
        <w:sz w:val="21"/>
      </w:rPr>
    </w:lvl>
    <w:lvl w:ilvl="1">
      <w:start w:val="1"/>
      <w:numFmt w:val="decimal"/>
      <w:lvlText w:val="%2)"/>
      <w:lvlJc w:val="left"/>
      <w:pPr>
        <w:tabs>
          <w:tab w:val="num" w:pos="840"/>
        </w:tabs>
        <w:ind w:left="839" w:hanging="419"/>
      </w:pPr>
      <w:rPr>
        <w:rFonts w:ascii="宋体" w:eastAsia="宋体" w:hint="eastAsia"/>
        <w:b w:val="0"/>
        <w:i w:val="0"/>
        <w:sz w:val="21"/>
      </w:rPr>
    </w:lvl>
    <w:lvl w:ilvl="2">
      <w:start w:val="1"/>
      <w:numFmt w:val="lowerRoman"/>
      <w:lvlText w:val="%3."/>
      <w:lvlJc w:val="right"/>
      <w:pPr>
        <w:tabs>
          <w:tab w:val="num" w:pos="1260"/>
        </w:tabs>
        <w:ind w:left="1259" w:hanging="419"/>
      </w:pPr>
      <w:rPr>
        <w:rFonts w:hint="eastAsia"/>
      </w:rPr>
    </w:lvl>
    <w:lvl w:ilvl="3">
      <w:start w:val="1"/>
      <w:numFmt w:val="decimal"/>
      <w:lvlText w:val="%4."/>
      <w:lvlJc w:val="left"/>
      <w:pPr>
        <w:tabs>
          <w:tab w:val="num" w:pos="1680"/>
        </w:tabs>
        <w:ind w:left="1679" w:hanging="419"/>
      </w:pPr>
      <w:rPr>
        <w:rFonts w:hint="eastAsia"/>
      </w:rPr>
    </w:lvl>
    <w:lvl w:ilvl="4">
      <w:start w:val="1"/>
      <w:numFmt w:val="lowerLetter"/>
      <w:lvlText w:val="%5)"/>
      <w:lvlJc w:val="left"/>
      <w:pPr>
        <w:tabs>
          <w:tab w:val="num" w:pos="2100"/>
        </w:tabs>
        <w:ind w:left="2099" w:hanging="419"/>
      </w:pPr>
      <w:rPr>
        <w:rFonts w:hint="eastAsia"/>
      </w:rPr>
    </w:lvl>
    <w:lvl w:ilvl="5">
      <w:start w:val="1"/>
      <w:numFmt w:val="lowerRoman"/>
      <w:lvlText w:val="%6."/>
      <w:lvlJc w:val="right"/>
      <w:pPr>
        <w:tabs>
          <w:tab w:val="num" w:pos="2520"/>
        </w:tabs>
        <w:ind w:left="2519" w:hanging="419"/>
      </w:pPr>
      <w:rPr>
        <w:rFonts w:hint="eastAsia"/>
      </w:rPr>
    </w:lvl>
    <w:lvl w:ilvl="6">
      <w:start w:val="1"/>
      <w:numFmt w:val="decimal"/>
      <w:lvlText w:val="%7."/>
      <w:lvlJc w:val="left"/>
      <w:pPr>
        <w:tabs>
          <w:tab w:val="num" w:pos="2940"/>
        </w:tabs>
        <w:ind w:left="2939" w:hanging="419"/>
      </w:pPr>
      <w:rPr>
        <w:rFonts w:hint="eastAsia"/>
      </w:rPr>
    </w:lvl>
    <w:lvl w:ilvl="7">
      <w:start w:val="1"/>
      <w:numFmt w:val="lowerLetter"/>
      <w:lvlText w:val="%8)"/>
      <w:lvlJc w:val="left"/>
      <w:pPr>
        <w:tabs>
          <w:tab w:val="num" w:pos="3360"/>
        </w:tabs>
        <w:ind w:left="3359" w:hanging="419"/>
      </w:pPr>
      <w:rPr>
        <w:rFonts w:hint="eastAsia"/>
      </w:rPr>
    </w:lvl>
    <w:lvl w:ilvl="8">
      <w:start w:val="1"/>
      <w:numFmt w:val="lowerRoman"/>
      <w:lvlText w:val="%9."/>
      <w:lvlJc w:val="right"/>
      <w:pPr>
        <w:tabs>
          <w:tab w:val="num" w:pos="3780"/>
        </w:tabs>
        <w:ind w:left="3779" w:hanging="419"/>
      </w:pPr>
      <w:rPr>
        <w:rFonts w:hint="eastAsia"/>
      </w:rPr>
    </w:lvl>
  </w:abstractNum>
  <w:abstractNum w:abstractNumId="17">
    <w:nsid w:val="6DBF04F4"/>
    <w:multiLevelType w:val="multilevel"/>
    <w:tmpl w:val="6DBF04F4"/>
    <w:lvl w:ilvl="0">
      <w:start w:val="1"/>
      <w:numFmt w:val="none"/>
      <w:suff w:val="nothing"/>
      <w:lvlText w:val="%1注："/>
      <w:lvlJc w:val="left"/>
      <w:pPr>
        <w:ind w:left="726" w:hanging="363"/>
      </w:pPr>
      <w:rPr>
        <w:rFonts w:ascii="黑体" w:eastAsia="黑体" w:hAnsi="Times New Roman" w:hint="eastAsia"/>
        <w:b w:val="0"/>
        <w:i w:val="0"/>
        <w:sz w:val="18"/>
        <w:lang w:val="en-US"/>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18">
    <w:nsid w:val="79BF88E4"/>
    <w:multiLevelType w:val="singleLevel"/>
    <w:tmpl w:val="79BF88E4"/>
    <w:lvl w:ilvl="0">
      <w:start w:val="1"/>
      <w:numFmt w:val="lowerLetter"/>
      <w:lvlText w:val="%1)"/>
      <w:lvlJc w:val="left"/>
      <w:pPr>
        <w:tabs>
          <w:tab w:val="num" w:pos="312"/>
        </w:tabs>
      </w:pPr>
    </w:lvl>
  </w:abstractNum>
  <w:abstractNum w:abstractNumId="19">
    <w:nsid w:val="7D04874F"/>
    <w:multiLevelType w:val="singleLevel"/>
    <w:tmpl w:val="7D04874F"/>
    <w:lvl w:ilvl="0">
      <w:start w:val="1"/>
      <w:numFmt w:val="decimal"/>
      <w:suff w:val="nothing"/>
      <w:lvlText w:val="%1）"/>
      <w:lvlJc w:val="left"/>
    </w:lvl>
  </w:abstractNum>
  <w:num w:numId="1">
    <w:abstractNumId w:val="11"/>
  </w:num>
  <w:num w:numId="2">
    <w:abstractNumId w:val="2"/>
  </w:num>
  <w:num w:numId="3">
    <w:abstractNumId w:val="6"/>
  </w:num>
  <w:num w:numId="4">
    <w:abstractNumId w:val="1"/>
  </w:num>
  <w:num w:numId="5">
    <w:abstractNumId w:val="17"/>
  </w:num>
  <w:num w:numId="6">
    <w:abstractNumId w:val="13"/>
  </w:num>
  <w:num w:numId="7">
    <w:abstractNumId w:val="8"/>
  </w:num>
  <w:num w:numId="8">
    <w:abstractNumId w:val="5"/>
  </w:num>
  <w:num w:numId="9">
    <w:abstractNumId w:val="9"/>
  </w:num>
  <w:num w:numId="10">
    <w:abstractNumId w:val="4"/>
  </w:num>
  <w:num w:numId="11">
    <w:abstractNumId w:val="12"/>
  </w:num>
  <w:num w:numId="12">
    <w:abstractNumId w:val="7"/>
  </w:num>
  <w:num w:numId="13">
    <w:abstractNumId w:val="16"/>
  </w:num>
  <w:num w:numId="14">
    <w:abstractNumId w:val="14"/>
  </w:num>
  <w:num w:numId="15">
    <w:abstractNumId w:val="3"/>
  </w:num>
  <w:num w:numId="16">
    <w:abstractNumId w:val="15"/>
  </w:num>
  <w:num w:numId="17">
    <w:abstractNumId w:val="18"/>
  </w:num>
  <w:num w:numId="18">
    <w:abstractNumId w:val="19"/>
  </w:num>
  <w:num w:numId="19">
    <w:abstractNumId w:val="0"/>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stylePaneFormatFilter w:val="3F01"/>
  <w:doNotTrackMove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925"/>
    <w:rsid w:val="00000244"/>
    <w:rsid w:val="00000ED8"/>
    <w:rsid w:val="0000185F"/>
    <w:rsid w:val="0000586F"/>
    <w:rsid w:val="0001141D"/>
    <w:rsid w:val="00013D86"/>
    <w:rsid w:val="00013E02"/>
    <w:rsid w:val="0001429D"/>
    <w:rsid w:val="0002143C"/>
    <w:rsid w:val="0002282B"/>
    <w:rsid w:val="00023266"/>
    <w:rsid w:val="00025A65"/>
    <w:rsid w:val="00026C31"/>
    <w:rsid w:val="00027280"/>
    <w:rsid w:val="000320A7"/>
    <w:rsid w:val="00035925"/>
    <w:rsid w:val="000421BA"/>
    <w:rsid w:val="00043680"/>
    <w:rsid w:val="00046C76"/>
    <w:rsid w:val="00061E91"/>
    <w:rsid w:val="00066B32"/>
    <w:rsid w:val="00067CDF"/>
    <w:rsid w:val="00074FBE"/>
    <w:rsid w:val="00080527"/>
    <w:rsid w:val="00083A09"/>
    <w:rsid w:val="0009005E"/>
    <w:rsid w:val="00092857"/>
    <w:rsid w:val="00093D14"/>
    <w:rsid w:val="0009522E"/>
    <w:rsid w:val="00097B71"/>
    <w:rsid w:val="000A20A9"/>
    <w:rsid w:val="000A4075"/>
    <w:rsid w:val="000A48B1"/>
    <w:rsid w:val="000A63F4"/>
    <w:rsid w:val="000B1D4B"/>
    <w:rsid w:val="000B279E"/>
    <w:rsid w:val="000B3143"/>
    <w:rsid w:val="000B3429"/>
    <w:rsid w:val="000C1A07"/>
    <w:rsid w:val="000C6B05"/>
    <w:rsid w:val="000C6DD6"/>
    <w:rsid w:val="000C73D4"/>
    <w:rsid w:val="000D1EB0"/>
    <w:rsid w:val="000D24CB"/>
    <w:rsid w:val="000D2CF3"/>
    <w:rsid w:val="000D3D4C"/>
    <w:rsid w:val="000D4F51"/>
    <w:rsid w:val="000D5114"/>
    <w:rsid w:val="000D5A35"/>
    <w:rsid w:val="000D718B"/>
    <w:rsid w:val="000E0C46"/>
    <w:rsid w:val="000E6FC0"/>
    <w:rsid w:val="000E731D"/>
    <w:rsid w:val="000F030C"/>
    <w:rsid w:val="000F129C"/>
    <w:rsid w:val="000F4F54"/>
    <w:rsid w:val="000F5019"/>
    <w:rsid w:val="000F679B"/>
    <w:rsid w:val="001000A3"/>
    <w:rsid w:val="001056DE"/>
    <w:rsid w:val="00106CF2"/>
    <w:rsid w:val="001122B5"/>
    <w:rsid w:val="001124C0"/>
    <w:rsid w:val="0011782A"/>
    <w:rsid w:val="0011798C"/>
    <w:rsid w:val="00120468"/>
    <w:rsid w:val="00122543"/>
    <w:rsid w:val="0012303B"/>
    <w:rsid w:val="0013175F"/>
    <w:rsid w:val="001437BC"/>
    <w:rsid w:val="001512B4"/>
    <w:rsid w:val="00160401"/>
    <w:rsid w:val="00161169"/>
    <w:rsid w:val="001620A5"/>
    <w:rsid w:val="00162608"/>
    <w:rsid w:val="0016329E"/>
    <w:rsid w:val="00164E53"/>
    <w:rsid w:val="00165328"/>
    <w:rsid w:val="0016699D"/>
    <w:rsid w:val="0017309B"/>
    <w:rsid w:val="00175159"/>
    <w:rsid w:val="00176208"/>
    <w:rsid w:val="00176DD2"/>
    <w:rsid w:val="00177234"/>
    <w:rsid w:val="0018211B"/>
    <w:rsid w:val="001840D3"/>
    <w:rsid w:val="00184AFA"/>
    <w:rsid w:val="001857A9"/>
    <w:rsid w:val="00185B24"/>
    <w:rsid w:val="00186B9B"/>
    <w:rsid w:val="001900F8"/>
    <w:rsid w:val="00191258"/>
    <w:rsid w:val="00192680"/>
    <w:rsid w:val="00193037"/>
    <w:rsid w:val="00193A2C"/>
    <w:rsid w:val="001A288E"/>
    <w:rsid w:val="001B6DC2"/>
    <w:rsid w:val="001C149C"/>
    <w:rsid w:val="001C21AC"/>
    <w:rsid w:val="001C47BA"/>
    <w:rsid w:val="001C59EA"/>
    <w:rsid w:val="001D406C"/>
    <w:rsid w:val="001D41EE"/>
    <w:rsid w:val="001D498A"/>
    <w:rsid w:val="001E0380"/>
    <w:rsid w:val="001E13B1"/>
    <w:rsid w:val="001F3A19"/>
    <w:rsid w:val="002019E1"/>
    <w:rsid w:val="002067E5"/>
    <w:rsid w:val="00210028"/>
    <w:rsid w:val="002108A4"/>
    <w:rsid w:val="00211BAB"/>
    <w:rsid w:val="00212CA3"/>
    <w:rsid w:val="0022644A"/>
    <w:rsid w:val="00234467"/>
    <w:rsid w:val="00237D8D"/>
    <w:rsid w:val="00237FCA"/>
    <w:rsid w:val="00241DA2"/>
    <w:rsid w:val="00243F0A"/>
    <w:rsid w:val="00247FEE"/>
    <w:rsid w:val="00250E7D"/>
    <w:rsid w:val="002544CC"/>
    <w:rsid w:val="002565D5"/>
    <w:rsid w:val="002622C0"/>
    <w:rsid w:val="00263465"/>
    <w:rsid w:val="0026637B"/>
    <w:rsid w:val="00270A30"/>
    <w:rsid w:val="00277090"/>
    <w:rsid w:val="002778AE"/>
    <w:rsid w:val="0028264D"/>
    <w:rsid w:val="0028269A"/>
    <w:rsid w:val="00282767"/>
    <w:rsid w:val="00283590"/>
    <w:rsid w:val="00285558"/>
    <w:rsid w:val="00286973"/>
    <w:rsid w:val="002918B4"/>
    <w:rsid w:val="00294E70"/>
    <w:rsid w:val="002A1924"/>
    <w:rsid w:val="002A5CDE"/>
    <w:rsid w:val="002A6A84"/>
    <w:rsid w:val="002A7420"/>
    <w:rsid w:val="002B02E7"/>
    <w:rsid w:val="002B06C2"/>
    <w:rsid w:val="002B0F12"/>
    <w:rsid w:val="002B1308"/>
    <w:rsid w:val="002B4519"/>
    <w:rsid w:val="002B4554"/>
    <w:rsid w:val="002C72D8"/>
    <w:rsid w:val="002D11FA"/>
    <w:rsid w:val="002D4FD6"/>
    <w:rsid w:val="002D637D"/>
    <w:rsid w:val="002E0DDF"/>
    <w:rsid w:val="002E2906"/>
    <w:rsid w:val="002E363B"/>
    <w:rsid w:val="002E5635"/>
    <w:rsid w:val="002E64C3"/>
    <w:rsid w:val="002E6A2C"/>
    <w:rsid w:val="002F12FE"/>
    <w:rsid w:val="002F1D8C"/>
    <w:rsid w:val="002F21DA"/>
    <w:rsid w:val="002F302F"/>
    <w:rsid w:val="002F4493"/>
    <w:rsid w:val="002F5D30"/>
    <w:rsid w:val="00300F22"/>
    <w:rsid w:val="00301F39"/>
    <w:rsid w:val="00310253"/>
    <w:rsid w:val="0031166F"/>
    <w:rsid w:val="00313847"/>
    <w:rsid w:val="003138E0"/>
    <w:rsid w:val="0031496F"/>
    <w:rsid w:val="00325926"/>
    <w:rsid w:val="0032671E"/>
    <w:rsid w:val="00327A8A"/>
    <w:rsid w:val="00332783"/>
    <w:rsid w:val="0033289F"/>
    <w:rsid w:val="00336610"/>
    <w:rsid w:val="0033694A"/>
    <w:rsid w:val="0034258C"/>
    <w:rsid w:val="0034365F"/>
    <w:rsid w:val="00343F73"/>
    <w:rsid w:val="003444B7"/>
    <w:rsid w:val="00345060"/>
    <w:rsid w:val="0035323B"/>
    <w:rsid w:val="003609D2"/>
    <w:rsid w:val="00363F22"/>
    <w:rsid w:val="00366146"/>
    <w:rsid w:val="003714D2"/>
    <w:rsid w:val="00375564"/>
    <w:rsid w:val="00376BA8"/>
    <w:rsid w:val="00383191"/>
    <w:rsid w:val="00385C06"/>
    <w:rsid w:val="00386DED"/>
    <w:rsid w:val="003912E7"/>
    <w:rsid w:val="00393947"/>
    <w:rsid w:val="003A097C"/>
    <w:rsid w:val="003A2275"/>
    <w:rsid w:val="003A4878"/>
    <w:rsid w:val="003A6A4F"/>
    <w:rsid w:val="003A7088"/>
    <w:rsid w:val="003B00DF"/>
    <w:rsid w:val="003B1275"/>
    <w:rsid w:val="003B1778"/>
    <w:rsid w:val="003B6A8D"/>
    <w:rsid w:val="003C11CB"/>
    <w:rsid w:val="003C335A"/>
    <w:rsid w:val="003C75F3"/>
    <w:rsid w:val="003C78A3"/>
    <w:rsid w:val="003D27A4"/>
    <w:rsid w:val="003D51E9"/>
    <w:rsid w:val="003E1867"/>
    <w:rsid w:val="003E5729"/>
    <w:rsid w:val="003E6432"/>
    <w:rsid w:val="003F445A"/>
    <w:rsid w:val="003F4A99"/>
    <w:rsid w:val="003F4EE0"/>
    <w:rsid w:val="00400B99"/>
    <w:rsid w:val="00402153"/>
    <w:rsid w:val="00402FC1"/>
    <w:rsid w:val="00411D14"/>
    <w:rsid w:val="004203A7"/>
    <w:rsid w:val="0042090C"/>
    <w:rsid w:val="00425082"/>
    <w:rsid w:val="0042571E"/>
    <w:rsid w:val="004304E4"/>
    <w:rsid w:val="00431DEB"/>
    <w:rsid w:val="00446B29"/>
    <w:rsid w:val="00453F7E"/>
    <w:rsid w:val="00453F9A"/>
    <w:rsid w:val="00455910"/>
    <w:rsid w:val="0045731E"/>
    <w:rsid w:val="004575AC"/>
    <w:rsid w:val="00471E91"/>
    <w:rsid w:val="00472A81"/>
    <w:rsid w:val="00474675"/>
    <w:rsid w:val="0047470C"/>
    <w:rsid w:val="004800AF"/>
    <w:rsid w:val="00481F42"/>
    <w:rsid w:val="00492B68"/>
    <w:rsid w:val="004A0E6D"/>
    <w:rsid w:val="004A18BB"/>
    <w:rsid w:val="004A2EF0"/>
    <w:rsid w:val="004A35F9"/>
    <w:rsid w:val="004B24C1"/>
    <w:rsid w:val="004B2565"/>
    <w:rsid w:val="004C0FCC"/>
    <w:rsid w:val="004C292F"/>
    <w:rsid w:val="004C7D19"/>
    <w:rsid w:val="004D5BBE"/>
    <w:rsid w:val="004E27CD"/>
    <w:rsid w:val="004E4F4F"/>
    <w:rsid w:val="004E6C08"/>
    <w:rsid w:val="004F00CB"/>
    <w:rsid w:val="004F0472"/>
    <w:rsid w:val="004F2751"/>
    <w:rsid w:val="0050388A"/>
    <w:rsid w:val="005049F0"/>
    <w:rsid w:val="00507541"/>
    <w:rsid w:val="00507948"/>
    <w:rsid w:val="00510280"/>
    <w:rsid w:val="00511031"/>
    <w:rsid w:val="00513D73"/>
    <w:rsid w:val="00514A43"/>
    <w:rsid w:val="005174E5"/>
    <w:rsid w:val="00517556"/>
    <w:rsid w:val="0052236D"/>
    <w:rsid w:val="00522393"/>
    <w:rsid w:val="00522620"/>
    <w:rsid w:val="00525656"/>
    <w:rsid w:val="00534C02"/>
    <w:rsid w:val="00540459"/>
    <w:rsid w:val="0054104B"/>
    <w:rsid w:val="0054264B"/>
    <w:rsid w:val="00543786"/>
    <w:rsid w:val="005533D7"/>
    <w:rsid w:val="00564533"/>
    <w:rsid w:val="005703DE"/>
    <w:rsid w:val="00571ED1"/>
    <w:rsid w:val="00575ABB"/>
    <w:rsid w:val="0058036C"/>
    <w:rsid w:val="00580D0B"/>
    <w:rsid w:val="0058464E"/>
    <w:rsid w:val="0059292F"/>
    <w:rsid w:val="00593B48"/>
    <w:rsid w:val="00596C73"/>
    <w:rsid w:val="005A01CB"/>
    <w:rsid w:val="005A58FF"/>
    <w:rsid w:val="005A5EAF"/>
    <w:rsid w:val="005A64C0"/>
    <w:rsid w:val="005A6DBA"/>
    <w:rsid w:val="005A73C8"/>
    <w:rsid w:val="005B3C11"/>
    <w:rsid w:val="005B5548"/>
    <w:rsid w:val="005C1C28"/>
    <w:rsid w:val="005C4BBD"/>
    <w:rsid w:val="005C6DB5"/>
    <w:rsid w:val="005D23FD"/>
    <w:rsid w:val="005D412B"/>
    <w:rsid w:val="005E19E7"/>
    <w:rsid w:val="005E1F6C"/>
    <w:rsid w:val="005E5958"/>
    <w:rsid w:val="005E6A37"/>
    <w:rsid w:val="005F0D35"/>
    <w:rsid w:val="00603072"/>
    <w:rsid w:val="006066E6"/>
    <w:rsid w:val="0061716C"/>
    <w:rsid w:val="00617D30"/>
    <w:rsid w:val="00624303"/>
    <w:rsid w:val="006243A1"/>
    <w:rsid w:val="006265BB"/>
    <w:rsid w:val="00632E56"/>
    <w:rsid w:val="00635CBA"/>
    <w:rsid w:val="0064338B"/>
    <w:rsid w:val="00646542"/>
    <w:rsid w:val="006504F4"/>
    <w:rsid w:val="00651F5C"/>
    <w:rsid w:val="00652F8E"/>
    <w:rsid w:val="00654BC9"/>
    <w:rsid w:val="006552FD"/>
    <w:rsid w:val="0065682B"/>
    <w:rsid w:val="006600BA"/>
    <w:rsid w:val="006622D7"/>
    <w:rsid w:val="00663AF3"/>
    <w:rsid w:val="00665A95"/>
    <w:rsid w:val="00666B6C"/>
    <w:rsid w:val="00667CF1"/>
    <w:rsid w:val="00674159"/>
    <w:rsid w:val="00675397"/>
    <w:rsid w:val="00682682"/>
    <w:rsid w:val="00682702"/>
    <w:rsid w:val="00682CAE"/>
    <w:rsid w:val="00687C0A"/>
    <w:rsid w:val="00692368"/>
    <w:rsid w:val="006A2EBC"/>
    <w:rsid w:val="006A3CC5"/>
    <w:rsid w:val="006A5EA0"/>
    <w:rsid w:val="006A783B"/>
    <w:rsid w:val="006A7B33"/>
    <w:rsid w:val="006B4E13"/>
    <w:rsid w:val="006B4E4B"/>
    <w:rsid w:val="006B6343"/>
    <w:rsid w:val="006B75DD"/>
    <w:rsid w:val="006C67E0"/>
    <w:rsid w:val="006C733B"/>
    <w:rsid w:val="006C7ABA"/>
    <w:rsid w:val="006D0AA3"/>
    <w:rsid w:val="006D0D60"/>
    <w:rsid w:val="006D1122"/>
    <w:rsid w:val="006D2173"/>
    <w:rsid w:val="006D2850"/>
    <w:rsid w:val="006D3C00"/>
    <w:rsid w:val="006D5DAD"/>
    <w:rsid w:val="006D6CF4"/>
    <w:rsid w:val="006E3675"/>
    <w:rsid w:val="006E4A7F"/>
    <w:rsid w:val="006E5252"/>
    <w:rsid w:val="006F14FC"/>
    <w:rsid w:val="006F79F1"/>
    <w:rsid w:val="007011B6"/>
    <w:rsid w:val="00704DF6"/>
    <w:rsid w:val="0070651C"/>
    <w:rsid w:val="00710374"/>
    <w:rsid w:val="00710F02"/>
    <w:rsid w:val="007132A3"/>
    <w:rsid w:val="00716421"/>
    <w:rsid w:val="00720B5F"/>
    <w:rsid w:val="00724EFB"/>
    <w:rsid w:val="00726945"/>
    <w:rsid w:val="00730433"/>
    <w:rsid w:val="00733A09"/>
    <w:rsid w:val="00737EFE"/>
    <w:rsid w:val="0074107C"/>
    <w:rsid w:val="00741516"/>
    <w:rsid w:val="007419C3"/>
    <w:rsid w:val="00744F22"/>
    <w:rsid w:val="00745448"/>
    <w:rsid w:val="007467A7"/>
    <w:rsid w:val="007469DD"/>
    <w:rsid w:val="0074741B"/>
    <w:rsid w:val="0074759E"/>
    <w:rsid w:val="007478EA"/>
    <w:rsid w:val="007516BF"/>
    <w:rsid w:val="0075415C"/>
    <w:rsid w:val="00763502"/>
    <w:rsid w:val="0076783F"/>
    <w:rsid w:val="00770C9F"/>
    <w:rsid w:val="00770FCB"/>
    <w:rsid w:val="00781074"/>
    <w:rsid w:val="00781743"/>
    <w:rsid w:val="007913AB"/>
    <w:rsid w:val="007914F7"/>
    <w:rsid w:val="007A351B"/>
    <w:rsid w:val="007A6380"/>
    <w:rsid w:val="007B1625"/>
    <w:rsid w:val="007B706E"/>
    <w:rsid w:val="007B71EB"/>
    <w:rsid w:val="007C185D"/>
    <w:rsid w:val="007C52B0"/>
    <w:rsid w:val="007C6205"/>
    <w:rsid w:val="007C686A"/>
    <w:rsid w:val="007C728E"/>
    <w:rsid w:val="007D12AE"/>
    <w:rsid w:val="007D2C53"/>
    <w:rsid w:val="007D3D60"/>
    <w:rsid w:val="007E1980"/>
    <w:rsid w:val="007E4B76"/>
    <w:rsid w:val="007E58D0"/>
    <w:rsid w:val="007E5EA8"/>
    <w:rsid w:val="007F0CF1"/>
    <w:rsid w:val="007F12A5"/>
    <w:rsid w:val="007F1551"/>
    <w:rsid w:val="007F29DF"/>
    <w:rsid w:val="007F3C38"/>
    <w:rsid w:val="007F4CF1"/>
    <w:rsid w:val="007F758D"/>
    <w:rsid w:val="007F7BBF"/>
    <w:rsid w:val="007F7D52"/>
    <w:rsid w:val="008046F5"/>
    <w:rsid w:val="0080654C"/>
    <w:rsid w:val="008071C6"/>
    <w:rsid w:val="00807A7F"/>
    <w:rsid w:val="00810A07"/>
    <w:rsid w:val="008162E0"/>
    <w:rsid w:val="00817A00"/>
    <w:rsid w:val="00817F56"/>
    <w:rsid w:val="00822394"/>
    <w:rsid w:val="00835339"/>
    <w:rsid w:val="00835DB3"/>
    <w:rsid w:val="0083617B"/>
    <w:rsid w:val="008371BD"/>
    <w:rsid w:val="00844576"/>
    <w:rsid w:val="00844EF4"/>
    <w:rsid w:val="00846F5C"/>
    <w:rsid w:val="008504A8"/>
    <w:rsid w:val="008519E0"/>
    <w:rsid w:val="0085282E"/>
    <w:rsid w:val="00853FEF"/>
    <w:rsid w:val="00854EC1"/>
    <w:rsid w:val="00862E82"/>
    <w:rsid w:val="008679B6"/>
    <w:rsid w:val="008710AE"/>
    <w:rsid w:val="0087178E"/>
    <w:rsid w:val="0087198C"/>
    <w:rsid w:val="008721B6"/>
    <w:rsid w:val="00872C1F"/>
    <w:rsid w:val="00873B42"/>
    <w:rsid w:val="008765EE"/>
    <w:rsid w:val="00882D58"/>
    <w:rsid w:val="0088508B"/>
    <w:rsid w:val="008856D8"/>
    <w:rsid w:val="00892E82"/>
    <w:rsid w:val="00894D48"/>
    <w:rsid w:val="00896AA3"/>
    <w:rsid w:val="00897FCB"/>
    <w:rsid w:val="008B1D37"/>
    <w:rsid w:val="008B729E"/>
    <w:rsid w:val="008C151B"/>
    <w:rsid w:val="008C1B58"/>
    <w:rsid w:val="008C39AE"/>
    <w:rsid w:val="008C590D"/>
    <w:rsid w:val="008C5C2E"/>
    <w:rsid w:val="008E031B"/>
    <w:rsid w:val="008E2D7E"/>
    <w:rsid w:val="008E33F7"/>
    <w:rsid w:val="008E5E4E"/>
    <w:rsid w:val="008E7029"/>
    <w:rsid w:val="008E7EF6"/>
    <w:rsid w:val="008F1F98"/>
    <w:rsid w:val="008F2B56"/>
    <w:rsid w:val="008F30EF"/>
    <w:rsid w:val="008F6758"/>
    <w:rsid w:val="00901F10"/>
    <w:rsid w:val="009040DD"/>
    <w:rsid w:val="00905B47"/>
    <w:rsid w:val="00910936"/>
    <w:rsid w:val="0091331C"/>
    <w:rsid w:val="00913AD9"/>
    <w:rsid w:val="00914F88"/>
    <w:rsid w:val="00925AB9"/>
    <w:rsid w:val="009279DE"/>
    <w:rsid w:val="00930116"/>
    <w:rsid w:val="009306F1"/>
    <w:rsid w:val="0093181F"/>
    <w:rsid w:val="00931CF6"/>
    <w:rsid w:val="0093352C"/>
    <w:rsid w:val="0094212C"/>
    <w:rsid w:val="00944352"/>
    <w:rsid w:val="0094440F"/>
    <w:rsid w:val="009448E1"/>
    <w:rsid w:val="009471CE"/>
    <w:rsid w:val="00951B8F"/>
    <w:rsid w:val="00954689"/>
    <w:rsid w:val="00954A63"/>
    <w:rsid w:val="009617C9"/>
    <w:rsid w:val="00961C93"/>
    <w:rsid w:val="00965324"/>
    <w:rsid w:val="00965817"/>
    <w:rsid w:val="00967BAD"/>
    <w:rsid w:val="00970082"/>
    <w:rsid w:val="0097091E"/>
    <w:rsid w:val="009735E0"/>
    <w:rsid w:val="00975B14"/>
    <w:rsid w:val="009760D3"/>
    <w:rsid w:val="00977132"/>
    <w:rsid w:val="00981A4B"/>
    <w:rsid w:val="00982501"/>
    <w:rsid w:val="00985017"/>
    <w:rsid w:val="009877D3"/>
    <w:rsid w:val="00991108"/>
    <w:rsid w:val="00994E8F"/>
    <w:rsid w:val="009951DC"/>
    <w:rsid w:val="009959BB"/>
    <w:rsid w:val="00995DE0"/>
    <w:rsid w:val="00997158"/>
    <w:rsid w:val="009A0231"/>
    <w:rsid w:val="009A06CD"/>
    <w:rsid w:val="009A3A7C"/>
    <w:rsid w:val="009A7E3B"/>
    <w:rsid w:val="009B2ADB"/>
    <w:rsid w:val="009B3DA9"/>
    <w:rsid w:val="009B3F7E"/>
    <w:rsid w:val="009B509C"/>
    <w:rsid w:val="009B52C9"/>
    <w:rsid w:val="009B603A"/>
    <w:rsid w:val="009C17CE"/>
    <w:rsid w:val="009C1BEE"/>
    <w:rsid w:val="009C1D44"/>
    <w:rsid w:val="009C2D0E"/>
    <w:rsid w:val="009C3DAC"/>
    <w:rsid w:val="009C42E0"/>
    <w:rsid w:val="009D2627"/>
    <w:rsid w:val="009D2693"/>
    <w:rsid w:val="009D5362"/>
    <w:rsid w:val="009E1415"/>
    <w:rsid w:val="009E6116"/>
    <w:rsid w:val="009E6254"/>
    <w:rsid w:val="009F018C"/>
    <w:rsid w:val="009F1686"/>
    <w:rsid w:val="00A01BBE"/>
    <w:rsid w:val="00A02E43"/>
    <w:rsid w:val="00A065F9"/>
    <w:rsid w:val="00A07F34"/>
    <w:rsid w:val="00A121D3"/>
    <w:rsid w:val="00A132F7"/>
    <w:rsid w:val="00A133B4"/>
    <w:rsid w:val="00A1566B"/>
    <w:rsid w:val="00A16499"/>
    <w:rsid w:val="00A200F2"/>
    <w:rsid w:val="00A22154"/>
    <w:rsid w:val="00A25C38"/>
    <w:rsid w:val="00A271B6"/>
    <w:rsid w:val="00A27EC4"/>
    <w:rsid w:val="00A3139A"/>
    <w:rsid w:val="00A332BF"/>
    <w:rsid w:val="00A33ADA"/>
    <w:rsid w:val="00A36BBE"/>
    <w:rsid w:val="00A36D82"/>
    <w:rsid w:val="00A418D3"/>
    <w:rsid w:val="00A4307A"/>
    <w:rsid w:val="00A43AF5"/>
    <w:rsid w:val="00A44FBB"/>
    <w:rsid w:val="00A46A61"/>
    <w:rsid w:val="00A47EBB"/>
    <w:rsid w:val="00A51CDD"/>
    <w:rsid w:val="00A56041"/>
    <w:rsid w:val="00A63FD0"/>
    <w:rsid w:val="00A6730D"/>
    <w:rsid w:val="00A71625"/>
    <w:rsid w:val="00A71B9B"/>
    <w:rsid w:val="00A730EE"/>
    <w:rsid w:val="00A751C7"/>
    <w:rsid w:val="00A76B3B"/>
    <w:rsid w:val="00A847F7"/>
    <w:rsid w:val="00A866BE"/>
    <w:rsid w:val="00A87844"/>
    <w:rsid w:val="00A878FD"/>
    <w:rsid w:val="00A93186"/>
    <w:rsid w:val="00AA038C"/>
    <w:rsid w:val="00AA7A09"/>
    <w:rsid w:val="00AB0BEF"/>
    <w:rsid w:val="00AB3B50"/>
    <w:rsid w:val="00AB71EB"/>
    <w:rsid w:val="00AC047B"/>
    <w:rsid w:val="00AC05B1"/>
    <w:rsid w:val="00AC2EE6"/>
    <w:rsid w:val="00AC5C8A"/>
    <w:rsid w:val="00AC7A9D"/>
    <w:rsid w:val="00AD356C"/>
    <w:rsid w:val="00AD5985"/>
    <w:rsid w:val="00AD6409"/>
    <w:rsid w:val="00AD6714"/>
    <w:rsid w:val="00AD7544"/>
    <w:rsid w:val="00AE0F1A"/>
    <w:rsid w:val="00AE2914"/>
    <w:rsid w:val="00AE451E"/>
    <w:rsid w:val="00AE6D15"/>
    <w:rsid w:val="00AE7909"/>
    <w:rsid w:val="00AF3EDA"/>
    <w:rsid w:val="00AF681E"/>
    <w:rsid w:val="00AF6D0E"/>
    <w:rsid w:val="00AF712F"/>
    <w:rsid w:val="00AF72E6"/>
    <w:rsid w:val="00B03AAF"/>
    <w:rsid w:val="00B0411C"/>
    <w:rsid w:val="00B04182"/>
    <w:rsid w:val="00B0708C"/>
    <w:rsid w:val="00B07AE3"/>
    <w:rsid w:val="00B11430"/>
    <w:rsid w:val="00B163C2"/>
    <w:rsid w:val="00B257CF"/>
    <w:rsid w:val="00B271C5"/>
    <w:rsid w:val="00B33938"/>
    <w:rsid w:val="00B345A3"/>
    <w:rsid w:val="00B34830"/>
    <w:rsid w:val="00B353EB"/>
    <w:rsid w:val="00B439C4"/>
    <w:rsid w:val="00B4535E"/>
    <w:rsid w:val="00B52A8C"/>
    <w:rsid w:val="00B57015"/>
    <w:rsid w:val="00B636A8"/>
    <w:rsid w:val="00B665C6"/>
    <w:rsid w:val="00B71451"/>
    <w:rsid w:val="00B805AF"/>
    <w:rsid w:val="00B82B5B"/>
    <w:rsid w:val="00B838C0"/>
    <w:rsid w:val="00B869EC"/>
    <w:rsid w:val="00B9397A"/>
    <w:rsid w:val="00B9633D"/>
    <w:rsid w:val="00B97427"/>
    <w:rsid w:val="00BA0B75"/>
    <w:rsid w:val="00BA0E60"/>
    <w:rsid w:val="00BA1692"/>
    <w:rsid w:val="00BA29C9"/>
    <w:rsid w:val="00BA2EBE"/>
    <w:rsid w:val="00BB0F28"/>
    <w:rsid w:val="00BB3113"/>
    <w:rsid w:val="00BB458A"/>
    <w:rsid w:val="00BD00D3"/>
    <w:rsid w:val="00BD0DFD"/>
    <w:rsid w:val="00BD1659"/>
    <w:rsid w:val="00BD3AA9"/>
    <w:rsid w:val="00BD4A18"/>
    <w:rsid w:val="00BD6DB2"/>
    <w:rsid w:val="00BE11CF"/>
    <w:rsid w:val="00BE21AB"/>
    <w:rsid w:val="00BE55CB"/>
    <w:rsid w:val="00BF617A"/>
    <w:rsid w:val="00BF6FCE"/>
    <w:rsid w:val="00C0379D"/>
    <w:rsid w:val="00C03931"/>
    <w:rsid w:val="00C052B9"/>
    <w:rsid w:val="00C05FE3"/>
    <w:rsid w:val="00C117B1"/>
    <w:rsid w:val="00C2136D"/>
    <w:rsid w:val="00C214EE"/>
    <w:rsid w:val="00C2314B"/>
    <w:rsid w:val="00C2470B"/>
    <w:rsid w:val="00C24971"/>
    <w:rsid w:val="00C25549"/>
    <w:rsid w:val="00C26BE5"/>
    <w:rsid w:val="00C26E4D"/>
    <w:rsid w:val="00C27909"/>
    <w:rsid w:val="00C27B03"/>
    <w:rsid w:val="00C314E1"/>
    <w:rsid w:val="00C34397"/>
    <w:rsid w:val="00C35C27"/>
    <w:rsid w:val="00C3788B"/>
    <w:rsid w:val="00C4095D"/>
    <w:rsid w:val="00C417A5"/>
    <w:rsid w:val="00C45C34"/>
    <w:rsid w:val="00C51AAC"/>
    <w:rsid w:val="00C55F69"/>
    <w:rsid w:val="00C601D2"/>
    <w:rsid w:val="00C63DA1"/>
    <w:rsid w:val="00C65BCC"/>
    <w:rsid w:val="00C66970"/>
    <w:rsid w:val="00C77D3B"/>
    <w:rsid w:val="00C81FB8"/>
    <w:rsid w:val="00C82922"/>
    <w:rsid w:val="00C8691C"/>
    <w:rsid w:val="00C920C0"/>
    <w:rsid w:val="00C926E4"/>
    <w:rsid w:val="00C933B8"/>
    <w:rsid w:val="00C952CB"/>
    <w:rsid w:val="00C97B46"/>
    <w:rsid w:val="00CA168A"/>
    <w:rsid w:val="00CA357E"/>
    <w:rsid w:val="00CA44F9"/>
    <w:rsid w:val="00CA4A69"/>
    <w:rsid w:val="00CA4C00"/>
    <w:rsid w:val="00CB65E4"/>
    <w:rsid w:val="00CC3E0C"/>
    <w:rsid w:val="00CC58D3"/>
    <w:rsid w:val="00CC784D"/>
    <w:rsid w:val="00CC7EF9"/>
    <w:rsid w:val="00CE16C7"/>
    <w:rsid w:val="00CE1884"/>
    <w:rsid w:val="00CE4EE0"/>
    <w:rsid w:val="00D027CA"/>
    <w:rsid w:val="00D0337B"/>
    <w:rsid w:val="00D0393D"/>
    <w:rsid w:val="00D079B2"/>
    <w:rsid w:val="00D114E9"/>
    <w:rsid w:val="00D12840"/>
    <w:rsid w:val="00D16307"/>
    <w:rsid w:val="00D300E7"/>
    <w:rsid w:val="00D429C6"/>
    <w:rsid w:val="00D452F6"/>
    <w:rsid w:val="00D461EE"/>
    <w:rsid w:val="00D47748"/>
    <w:rsid w:val="00D527A7"/>
    <w:rsid w:val="00D5454F"/>
    <w:rsid w:val="00D54CC3"/>
    <w:rsid w:val="00D54E47"/>
    <w:rsid w:val="00D5626F"/>
    <w:rsid w:val="00D6041A"/>
    <w:rsid w:val="00D633EB"/>
    <w:rsid w:val="00D657F5"/>
    <w:rsid w:val="00D675CD"/>
    <w:rsid w:val="00D82FF7"/>
    <w:rsid w:val="00D847FE"/>
    <w:rsid w:val="00D87A3C"/>
    <w:rsid w:val="00D964EA"/>
    <w:rsid w:val="00D966D0"/>
    <w:rsid w:val="00DA0789"/>
    <w:rsid w:val="00DA0C59"/>
    <w:rsid w:val="00DA3991"/>
    <w:rsid w:val="00DA45A7"/>
    <w:rsid w:val="00DA4B11"/>
    <w:rsid w:val="00DB0990"/>
    <w:rsid w:val="00DB343E"/>
    <w:rsid w:val="00DB6885"/>
    <w:rsid w:val="00DB7E6C"/>
    <w:rsid w:val="00DC0B49"/>
    <w:rsid w:val="00DC0C20"/>
    <w:rsid w:val="00DC11A1"/>
    <w:rsid w:val="00DC2897"/>
    <w:rsid w:val="00DC4333"/>
    <w:rsid w:val="00DC4EF9"/>
    <w:rsid w:val="00DD2DA4"/>
    <w:rsid w:val="00DD5A29"/>
    <w:rsid w:val="00DD5D9D"/>
    <w:rsid w:val="00DE1F3F"/>
    <w:rsid w:val="00DE35CB"/>
    <w:rsid w:val="00DE3B04"/>
    <w:rsid w:val="00DF21E9"/>
    <w:rsid w:val="00DF7CA0"/>
    <w:rsid w:val="00E00F14"/>
    <w:rsid w:val="00E01DB8"/>
    <w:rsid w:val="00E03791"/>
    <w:rsid w:val="00E06386"/>
    <w:rsid w:val="00E078BC"/>
    <w:rsid w:val="00E122E1"/>
    <w:rsid w:val="00E15D1D"/>
    <w:rsid w:val="00E163A0"/>
    <w:rsid w:val="00E24EB4"/>
    <w:rsid w:val="00E320ED"/>
    <w:rsid w:val="00E33AFB"/>
    <w:rsid w:val="00E34218"/>
    <w:rsid w:val="00E3461D"/>
    <w:rsid w:val="00E360B3"/>
    <w:rsid w:val="00E36B04"/>
    <w:rsid w:val="00E36F10"/>
    <w:rsid w:val="00E42781"/>
    <w:rsid w:val="00E46282"/>
    <w:rsid w:val="00E5216E"/>
    <w:rsid w:val="00E66EF8"/>
    <w:rsid w:val="00E71C59"/>
    <w:rsid w:val="00E75239"/>
    <w:rsid w:val="00E82344"/>
    <w:rsid w:val="00E84B99"/>
    <w:rsid w:val="00E84C82"/>
    <w:rsid w:val="00E84D64"/>
    <w:rsid w:val="00E856A6"/>
    <w:rsid w:val="00E87408"/>
    <w:rsid w:val="00E914C4"/>
    <w:rsid w:val="00E92E6A"/>
    <w:rsid w:val="00E934F5"/>
    <w:rsid w:val="00E96961"/>
    <w:rsid w:val="00EA434A"/>
    <w:rsid w:val="00EA4679"/>
    <w:rsid w:val="00EA6177"/>
    <w:rsid w:val="00EA72EC"/>
    <w:rsid w:val="00EB11CB"/>
    <w:rsid w:val="00EB275A"/>
    <w:rsid w:val="00EB5571"/>
    <w:rsid w:val="00EB753C"/>
    <w:rsid w:val="00EB786A"/>
    <w:rsid w:val="00EC1578"/>
    <w:rsid w:val="00EC1C72"/>
    <w:rsid w:val="00EC3CC9"/>
    <w:rsid w:val="00EC575A"/>
    <w:rsid w:val="00EC680A"/>
    <w:rsid w:val="00ED05CF"/>
    <w:rsid w:val="00ED475D"/>
    <w:rsid w:val="00ED5944"/>
    <w:rsid w:val="00EE2BED"/>
    <w:rsid w:val="00EE374B"/>
    <w:rsid w:val="00EE4383"/>
    <w:rsid w:val="00EE6AEE"/>
    <w:rsid w:val="00EE7A39"/>
    <w:rsid w:val="00EF3843"/>
    <w:rsid w:val="00F02ADF"/>
    <w:rsid w:val="00F06EC1"/>
    <w:rsid w:val="00F10E39"/>
    <w:rsid w:val="00F11BB5"/>
    <w:rsid w:val="00F1417B"/>
    <w:rsid w:val="00F16F39"/>
    <w:rsid w:val="00F20918"/>
    <w:rsid w:val="00F25612"/>
    <w:rsid w:val="00F2661B"/>
    <w:rsid w:val="00F31370"/>
    <w:rsid w:val="00F34B99"/>
    <w:rsid w:val="00F51F48"/>
    <w:rsid w:val="00F52DAB"/>
    <w:rsid w:val="00F543F0"/>
    <w:rsid w:val="00F60E69"/>
    <w:rsid w:val="00F61F8B"/>
    <w:rsid w:val="00F632F9"/>
    <w:rsid w:val="00F66C49"/>
    <w:rsid w:val="00F76718"/>
    <w:rsid w:val="00F80882"/>
    <w:rsid w:val="00F81D29"/>
    <w:rsid w:val="00F91C4D"/>
    <w:rsid w:val="00F92BDE"/>
    <w:rsid w:val="00F92FD9"/>
    <w:rsid w:val="00F959FD"/>
    <w:rsid w:val="00F96D4E"/>
    <w:rsid w:val="00FA5FCC"/>
    <w:rsid w:val="00FA6684"/>
    <w:rsid w:val="00FA731E"/>
    <w:rsid w:val="00FB2B38"/>
    <w:rsid w:val="00FB49BB"/>
    <w:rsid w:val="00FC4676"/>
    <w:rsid w:val="00FC6358"/>
    <w:rsid w:val="00FC7522"/>
    <w:rsid w:val="00FD01CF"/>
    <w:rsid w:val="00FD320D"/>
    <w:rsid w:val="00FE23DE"/>
    <w:rsid w:val="00FE6367"/>
    <w:rsid w:val="00FF32B4"/>
    <w:rsid w:val="00FF5B35"/>
    <w:rsid w:val="00FF65BD"/>
    <w:rsid w:val="01395051"/>
    <w:rsid w:val="0190659F"/>
    <w:rsid w:val="02C8413D"/>
    <w:rsid w:val="02E62C39"/>
    <w:rsid w:val="03AA7445"/>
    <w:rsid w:val="03BD533F"/>
    <w:rsid w:val="057074F8"/>
    <w:rsid w:val="06C60647"/>
    <w:rsid w:val="06F144FA"/>
    <w:rsid w:val="074B2167"/>
    <w:rsid w:val="07A52ED4"/>
    <w:rsid w:val="07E1202A"/>
    <w:rsid w:val="0818083E"/>
    <w:rsid w:val="0A1026EE"/>
    <w:rsid w:val="0A425AC9"/>
    <w:rsid w:val="0A6D3C0B"/>
    <w:rsid w:val="0A7E26CE"/>
    <w:rsid w:val="0BC559BA"/>
    <w:rsid w:val="0BD571F9"/>
    <w:rsid w:val="0C7634FF"/>
    <w:rsid w:val="0C77234F"/>
    <w:rsid w:val="0D4373D0"/>
    <w:rsid w:val="0DB450D4"/>
    <w:rsid w:val="0E425159"/>
    <w:rsid w:val="0EA81F49"/>
    <w:rsid w:val="0F1D40EC"/>
    <w:rsid w:val="0F7F477C"/>
    <w:rsid w:val="106B5469"/>
    <w:rsid w:val="10D30D89"/>
    <w:rsid w:val="113936B3"/>
    <w:rsid w:val="117D67C0"/>
    <w:rsid w:val="12333C60"/>
    <w:rsid w:val="1267562D"/>
    <w:rsid w:val="1395306B"/>
    <w:rsid w:val="13C108A9"/>
    <w:rsid w:val="13D26DDB"/>
    <w:rsid w:val="140507E4"/>
    <w:rsid w:val="1469268B"/>
    <w:rsid w:val="160B774B"/>
    <w:rsid w:val="167801ED"/>
    <w:rsid w:val="177C6F27"/>
    <w:rsid w:val="17DD29F6"/>
    <w:rsid w:val="18456E70"/>
    <w:rsid w:val="185A2AA1"/>
    <w:rsid w:val="18DB1CA6"/>
    <w:rsid w:val="18F65A43"/>
    <w:rsid w:val="18FF7939"/>
    <w:rsid w:val="193225E4"/>
    <w:rsid w:val="1B281F85"/>
    <w:rsid w:val="1BA134A2"/>
    <w:rsid w:val="1BB62397"/>
    <w:rsid w:val="1C001ED1"/>
    <w:rsid w:val="1DD60122"/>
    <w:rsid w:val="1EC13D85"/>
    <w:rsid w:val="1FAB7889"/>
    <w:rsid w:val="201A6E12"/>
    <w:rsid w:val="21053725"/>
    <w:rsid w:val="215C4F1B"/>
    <w:rsid w:val="216D2A59"/>
    <w:rsid w:val="21AD5289"/>
    <w:rsid w:val="225A40A6"/>
    <w:rsid w:val="231B0E67"/>
    <w:rsid w:val="239E2CD5"/>
    <w:rsid w:val="24092571"/>
    <w:rsid w:val="24151E43"/>
    <w:rsid w:val="243C25FD"/>
    <w:rsid w:val="2444710E"/>
    <w:rsid w:val="25394E4A"/>
    <w:rsid w:val="258A2FB6"/>
    <w:rsid w:val="263F7E88"/>
    <w:rsid w:val="26770328"/>
    <w:rsid w:val="26EF7E56"/>
    <w:rsid w:val="277525F3"/>
    <w:rsid w:val="277E1F0D"/>
    <w:rsid w:val="27F34994"/>
    <w:rsid w:val="2844329B"/>
    <w:rsid w:val="28614004"/>
    <w:rsid w:val="28661907"/>
    <w:rsid w:val="28E86846"/>
    <w:rsid w:val="29D92A3C"/>
    <w:rsid w:val="2A137D47"/>
    <w:rsid w:val="2A7478B3"/>
    <w:rsid w:val="2AC63E3A"/>
    <w:rsid w:val="2C6E6774"/>
    <w:rsid w:val="2C7D6844"/>
    <w:rsid w:val="2CA933C9"/>
    <w:rsid w:val="2D0852EE"/>
    <w:rsid w:val="2D28078A"/>
    <w:rsid w:val="2D4C4365"/>
    <w:rsid w:val="2D677A80"/>
    <w:rsid w:val="2D6F3D99"/>
    <w:rsid w:val="2DB62C09"/>
    <w:rsid w:val="2E0755CD"/>
    <w:rsid w:val="2E545310"/>
    <w:rsid w:val="2E990003"/>
    <w:rsid w:val="303361B4"/>
    <w:rsid w:val="3111358D"/>
    <w:rsid w:val="31551987"/>
    <w:rsid w:val="316C7AA1"/>
    <w:rsid w:val="31800462"/>
    <w:rsid w:val="31E518E1"/>
    <w:rsid w:val="32576411"/>
    <w:rsid w:val="3486675A"/>
    <w:rsid w:val="3523213B"/>
    <w:rsid w:val="358A6722"/>
    <w:rsid w:val="360760E9"/>
    <w:rsid w:val="362045DC"/>
    <w:rsid w:val="37E704DD"/>
    <w:rsid w:val="38C63E53"/>
    <w:rsid w:val="38D379FC"/>
    <w:rsid w:val="393D069F"/>
    <w:rsid w:val="395273FC"/>
    <w:rsid w:val="39BB6A36"/>
    <w:rsid w:val="3AA34ED8"/>
    <w:rsid w:val="3BA22730"/>
    <w:rsid w:val="3C450768"/>
    <w:rsid w:val="3D107B20"/>
    <w:rsid w:val="3D860C54"/>
    <w:rsid w:val="3E483E19"/>
    <w:rsid w:val="3E97374F"/>
    <w:rsid w:val="3F32613E"/>
    <w:rsid w:val="3FB110B3"/>
    <w:rsid w:val="40277950"/>
    <w:rsid w:val="418D43AE"/>
    <w:rsid w:val="41A14007"/>
    <w:rsid w:val="4241471D"/>
    <w:rsid w:val="43521101"/>
    <w:rsid w:val="43F5395B"/>
    <w:rsid w:val="452F4E0F"/>
    <w:rsid w:val="45C836DB"/>
    <w:rsid w:val="460D69BC"/>
    <w:rsid w:val="46107D49"/>
    <w:rsid w:val="46A576C1"/>
    <w:rsid w:val="483D2BA2"/>
    <w:rsid w:val="48804281"/>
    <w:rsid w:val="48EF44C6"/>
    <w:rsid w:val="49BC6207"/>
    <w:rsid w:val="4A3E54DC"/>
    <w:rsid w:val="4C8730C4"/>
    <w:rsid w:val="4CF72C49"/>
    <w:rsid w:val="4DB04C27"/>
    <w:rsid w:val="4DF02443"/>
    <w:rsid w:val="4E032C83"/>
    <w:rsid w:val="4E130179"/>
    <w:rsid w:val="4E203229"/>
    <w:rsid w:val="4EE33F7B"/>
    <w:rsid w:val="4EE536F3"/>
    <w:rsid w:val="4F9B3CF4"/>
    <w:rsid w:val="4FE97B8B"/>
    <w:rsid w:val="51014179"/>
    <w:rsid w:val="510D5EAC"/>
    <w:rsid w:val="527F4767"/>
    <w:rsid w:val="53813090"/>
    <w:rsid w:val="54370D37"/>
    <w:rsid w:val="55C016E0"/>
    <w:rsid w:val="56126498"/>
    <w:rsid w:val="565A70AF"/>
    <w:rsid w:val="576F6031"/>
    <w:rsid w:val="57C06B2A"/>
    <w:rsid w:val="57D65228"/>
    <w:rsid w:val="57F549A8"/>
    <w:rsid w:val="58455FED"/>
    <w:rsid w:val="59E75448"/>
    <w:rsid w:val="5AB51974"/>
    <w:rsid w:val="5B2308F2"/>
    <w:rsid w:val="5B2B529F"/>
    <w:rsid w:val="5C343553"/>
    <w:rsid w:val="5CFB4538"/>
    <w:rsid w:val="5CFE166D"/>
    <w:rsid w:val="5DC42368"/>
    <w:rsid w:val="5E66256E"/>
    <w:rsid w:val="5EAB0BBF"/>
    <w:rsid w:val="5EF22743"/>
    <w:rsid w:val="61152501"/>
    <w:rsid w:val="61F00A68"/>
    <w:rsid w:val="622424F8"/>
    <w:rsid w:val="624C6651"/>
    <w:rsid w:val="62716891"/>
    <w:rsid w:val="62B7266B"/>
    <w:rsid w:val="63465AB3"/>
    <w:rsid w:val="6447118A"/>
    <w:rsid w:val="64490695"/>
    <w:rsid w:val="65346EE1"/>
    <w:rsid w:val="65410C2D"/>
    <w:rsid w:val="661A0911"/>
    <w:rsid w:val="673A67EA"/>
    <w:rsid w:val="679E650E"/>
    <w:rsid w:val="689D203B"/>
    <w:rsid w:val="68CA4A79"/>
    <w:rsid w:val="692A4B40"/>
    <w:rsid w:val="69613BF1"/>
    <w:rsid w:val="69894DB5"/>
    <w:rsid w:val="6A5C4ADB"/>
    <w:rsid w:val="6B535FD8"/>
    <w:rsid w:val="6BE70897"/>
    <w:rsid w:val="6C730D56"/>
    <w:rsid w:val="6CD5451D"/>
    <w:rsid w:val="6DAD5749"/>
    <w:rsid w:val="6ED51A64"/>
    <w:rsid w:val="6EF855B5"/>
    <w:rsid w:val="6F336AFA"/>
    <w:rsid w:val="6F9E6F2E"/>
    <w:rsid w:val="6FA25934"/>
    <w:rsid w:val="6FF0233B"/>
    <w:rsid w:val="703764B3"/>
    <w:rsid w:val="70E63775"/>
    <w:rsid w:val="70FB1BC6"/>
    <w:rsid w:val="70FB1C7F"/>
    <w:rsid w:val="71C70547"/>
    <w:rsid w:val="72114F92"/>
    <w:rsid w:val="72AB7C3C"/>
    <w:rsid w:val="73413AD8"/>
    <w:rsid w:val="73474684"/>
    <w:rsid w:val="75955BF3"/>
    <w:rsid w:val="7598715E"/>
    <w:rsid w:val="764D2CB2"/>
    <w:rsid w:val="78321AA5"/>
    <w:rsid w:val="791374B0"/>
    <w:rsid w:val="79454B00"/>
    <w:rsid w:val="79EA421D"/>
    <w:rsid w:val="7C534B25"/>
    <w:rsid w:val="7C857867"/>
    <w:rsid w:val="7C9A6DFC"/>
    <w:rsid w:val="7D573EEB"/>
    <w:rsid w:val="7DDC2F53"/>
    <w:rsid w:val="7F5D034F"/>
    <w:rsid w:val="7F9320C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qFormat="1"/>
    <w:lsdException w:name="index 2" w:semiHidden="0" w:uiPriority="0" w:unhideWhenUsed="0" w:qFormat="1"/>
    <w:lsdException w:name="index 3" w:semiHidden="0" w:uiPriority="0" w:unhideWhenUsed="0" w:qFormat="1"/>
    <w:lsdException w:name="index 4" w:semiHidden="0" w:uiPriority="0" w:unhideWhenUsed="0" w:qFormat="1"/>
    <w:lsdException w:name="index 5" w:semiHidden="0" w:uiPriority="0" w:unhideWhenUsed="0" w:qFormat="1"/>
    <w:lsdException w:name="index 6" w:semiHidden="0" w:uiPriority="0" w:unhideWhenUsed="0" w:qFormat="1"/>
    <w:lsdException w:name="index 7" w:semiHidden="0" w:uiPriority="0" w:unhideWhenUsed="0" w:qFormat="1"/>
    <w:lsdException w:name="index 8" w:semiHidden="0" w:uiPriority="0" w:unhideWhenUsed="0" w:qFormat="1"/>
    <w:lsdException w:name="index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qFormat="1"/>
    <w:lsdException w:name="annotation text" w:semiHidden="0" w:uiPriority="0" w:unhideWhenUsed="0" w:qFormat="1"/>
    <w:lsdException w:name="header" w:semiHidden="0" w:unhideWhenUsed="0" w:qFormat="1"/>
    <w:lsdException w:name="footer" w:semiHidden="0" w:unhideWhenUsed="0" w:qFormat="1"/>
    <w:lsdException w:name="index heading" w:semiHidden="0" w:uiPriority="0" w:unhideWhenUsed="0" w:qFormat="1"/>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uiPriority="0" w:unhideWhenUsed="0" w:qFormat="1"/>
    <w:lsdException w:name="annotation reference" w:semiHidden="0" w:unhideWhenUsed="0" w:qFormat="1"/>
    <w:lsdException w:name="line number" w:semiHidden="0" w:uiPriority="0" w:unhideWhenUsed="0"/>
    <w:lsdException w:name="page number" w:semiHidden="0" w:uiPriority="0" w:unhideWhenUsed="0" w:qFormat="1"/>
    <w:lsdException w:name="endnote reference" w:uiPriority="0" w:unhideWhenUsed="0" w:qFormat="1"/>
    <w:lsdException w:name="endnote text" w:uiPriority="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semiHidden="0" w:uiPriority="0" w:unhideWhenUsed="0" w:qFormat="1"/>
    <w:lsdException w:name="Emphasis" w:semiHidden="0" w:uiPriority="0" w:unhideWhenUsed="0" w:qFormat="1"/>
    <w:lsdException w:name="Document Map" w:uiPriority="0" w:unhideWhenUsed="0" w:qFormat="1"/>
    <w:lsdException w:name="Plain Text" w:semiHidden="0" w:uiPriority="0" w:unhideWhenUsed="0"/>
    <w:lsdException w:name="E-mail Signature"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semiHidden="0" w:uiPriority="39" w:unhideWhenUsed="0" w:qFormat="1"/>
    <w:lsdException w:name="Table Theme" w:uiPriority="0"/>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4"/>
    <w:uiPriority w:val="9"/>
    <w:qFormat/>
    <w:rsid w:val="00AD6714"/>
    <w:pPr>
      <w:keepNext/>
      <w:keepLines/>
      <w:spacing w:before="340" w:after="330" w:line="578" w:lineRule="auto"/>
      <w:ind w:firstLine="200" w:firstLineChars="200"/>
      <w:outlineLvl w:val="0"/>
    </w:pPr>
    <w:rPr>
      <w:b/>
      <w:bCs/>
      <w:kern w:val="44"/>
      <w:sz w:val="44"/>
      <w:szCs w:val="44"/>
    </w:rPr>
  </w:style>
  <w:style w:type="paragraph" w:styleId="Heading2">
    <w:name w:val="heading 2"/>
    <w:basedOn w:val="Normal"/>
    <w:next w:val="Normal"/>
    <w:link w:val="28"/>
    <w:uiPriority w:val="9"/>
    <w:qFormat/>
    <w:rsid w:val="00AD6714"/>
    <w:pPr>
      <w:keepNext/>
      <w:keepLines/>
      <w:spacing w:before="260" w:after="260" w:line="416" w:lineRule="auto"/>
      <w:ind w:firstLine="200" w:firstLineChars="200"/>
      <w:outlineLvl w:val="1"/>
    </w:pPr>
    <w:rPr>
      <w:rFonts w:ascii="等线 Light" w:eastAsia="等线 Light" w:hAnsi="等线 Light"/>
      <w:b/>
      <w:bCs/>
      <w:sz w:val="32"/>
      <w:szCs w:val="32"/>
    </w:rPr>
  </w:style>
  <w:style w:type="paragraph" w:styleId="Heading3">
    <w:name w:val="heading 3"/>
    <w:basedOn w:val="Normal"/>
    <w:next w:val="Normal"/>
    <w:link w:val="3"/>
    <w:qFormat/>
    <w:rsid w:val="00AD6714"/>
    <w:pPr>
      <w:keepNext/>
      <w:keepLines/>
      <w:spacing w:before="260" w:after="260" w:line="416" w:lineRule="auto"/>
      <w:ind w:firstLine="200" w:firstLineChars="200"/>
      <w:outlineLvl w:val="2"/>
    </w:pPr>
    <w:rPr>
      <w:b/>
      <w:bCs/>
      <w:sz w:val="32"/>
      <w:szCs w:val="32"/>
    </w:rPr>
  </w:style>
  <w:style w:type="paragraph" w:styleId="Heading4">
    <w:name w:val="heading 4"/>
    <w:basedOn w:val="Normal"/>
    <w:next w:val="Normal"/>
    <w:link w:val="4"/>
    <w:uiPriority w:val="9"/>
    <w:unhideWhenUsed/>
    <w:qFormat/>
    <w:rsid w:val="00AD6714"/>
    <w:pPr>
      <w:keepNext/>
      <w:keepLines/>
      <w:spacing w:before="280" w:after="290" w:line="372" w:lineRule="auto"/>
      <w:ind w:firstLine="200" w:firstLineChars="200"/>
      <w:outlineLvl w:val="3"/>
    </w:pPr>
    <w:rPr>
      <w:rFonts w:ascii="DejaVu Sans" w:eastAsia="方正黑体_GBK" w:hAnsi="DejaVu Sans"/>
      <w:b/>
      <w:sz w:val="28"/>
    </w:rPr>
  </w:style>
  <w:style w:type="character" w:default="1" w:styleId="DefaultParagraphFont">
    <w:name w:val="Default Paragraph Font"/>
    <w:uiPriority w:val="1"/>
    <w:unhideWhenUsed/>
    <w:qForma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paragraph" w:styleId="Index8">
    <w:name w:val="index 8"/>
    <w:basedOn w:val="Normal"/>
    <w:next w:val="Normal"/>
    <w:qFormat/>
    <w:pPr>
      <w:ind w:left="1680" w:hanging="210"/>
      <w:jc w:val="left"/>
    </w:pPr>
    <w:rPr>
      <w:rFonts w:ascii="Calibri" w:hAnsi="Calibri"/>
      <w:sz w:val="20"/>
      <w:szCs w:val="20"/>
    </w:rPr>
  </w:style>
  <w:style w:type="paragraph" w:styleId="Caption">
    <w:name w:val="caption"/>
    <w:basedOn w:val="Normal"/>
    <w:next w:val="Normal"/>
    <w:qFormat/>
    <w:pPr>
      <w:spacing w:before="152" w:after="160"/>
    </w:pPr>
    <w:rPr>
      <w:rFonts w:ascii="Arial" w:eastAsia="黑体" w:hAnsi="Arial" w:cs="Arial"/>
      <w:sz w:val="20"/>
      <w:szCs w:val="20"/>
    </w:rPr>
  </w:style>
  <w:style w:type="paragraph" w:styleId="Index5">
    <w:name w:val="index 5"/>
    <w:basedOn w:val="Normal"/>
    <w:next w:val="Normal"/>
    <w:qFormat/>
    <w:pPr>
      <w:ind w:left="1050" w:hanging="210"/>
      <w:jc w:val="left"/>
    </w:pPr>
    <w:rPr>
      <w:rFonts w:ascii="Calibri" w:hAnsi="Calibri"/>
      <w:sz w:val="20"/>
      <w:szCs w:val="20"/>
    </w:rPr>
  </w:style>
  <w:style w:type="paragraph" w:styleId="DocumentMap">
    <w:name w:val="Document Map"/>
    <w:basedOn w:val="Normal"/>
    <w:semiHidden/>
    <w:qFormat/>
    <w:pPr>
      <w:shd w:val="clear" w:color="auto" w:fill="000080"/>
    </w:pPr>
  </w:style>
  <w:style w:type="paragraph" w:styleId="CommentText">
    <w:name w:val="annotation text"/>
    <w:basedOn w:val="Normal"/>
    <w:link w:val="a"/>
    <w:qFormat/>
    <w:pPr>
      <w:jc w:val="left"/>
    </w:pPr>
  </w:style>
  <w:style w:type="character" w:customStyle="1" w:styleId="a">
    <w:name w:val="批注文字 字符"/>
    <w:link w:val="CommentText"/>
    <w:qFormat/>
    <w:rPr>
      <w:kern w:val="2"/>
      <w:sz w:val="21"/>
      <w:szCs w:val="24"/>
    </w:rPr>
  </w:style>
  <w:style w:type="paragraph" w:styleId="Index6">
    <w:name w:val="index 6"/>
    <w:basedOn w:val="Normal"/>
    <w:next w:val="Normal"/>
    <w:qFormat/>
    <w:pPr>
      <w:ind w:left="1260" w:hanging="210"/>
      <w:jc w:val="left"/>
    </w:pPr>
    <w:rPr>
      <w:rFonts w:ascii="Calibri" w:hAnsi="Calibri"/>
      <w:sz w:val="20"/>
      <w:szCs w:val="20"/>
    </w:rPr>
  </w:style>
  <w:style w:type="paragraph" w:styleId="Index4">
    <w:name w:val="index 4"/>
    <w:basedOn w:val="Normal"/>
    <w:next w:val="Normal"/>
    <w:qFormat/>
    <w:pPr>
      <w:ind w:left="840" w:hanging="210"/>
      <w:jc w:val="left"/>
    </w:pPr>
    <w:rPr>
      <w:rFonts w:ascii="Calibri" w:hAnsi="Calibri"/>
      <w:sz w:val="20"/>
      <w:szCs w:val="20"/>
    </w:rPr>
  </w:style>
  <w:style w:type="paragraph" w:styleId="TOC3">
    <w:name w:val="toc 3"/>
    <w:basedOn w:val="Normal"/>
    <w:next w:val="Normal"/>
    <w:uiPriority w:val="39"/>
    <w:qFormat/>
    <w:pPr>
      <w:ind w:left="840" w:leftChars="400"/>
    </w:pPr>
  </w:style>
  <w:style w:type="paragraph" w:styleId="Index3">
    <w:name w:val="index 3"/>
    <w:basedOn w:val="Normal"/>
    <w:next w:val="Normal"/>
    <w:qFormat/>
    <w:pPr>
      <w:ind w:left="630" w:hanging="210"/>
      <w:jc w:val="left"/>
    </w:pPr>
    <w:rPr>
      <w:rFonts w:ascii="Calibri" w:hAnsi="Calibri"/>
      <w:sz w:val="20"/>
      <w:szCs w:val="20"/>
    </w:rPr>
  </w:style>
  <w:style w:type="paragraph" w:styleId="Date">
    <w:name w:val="Date"/>
    <w:basedOn w:val="Normal"/>
    <w:next w:val="Normal"/>
    <w:link w:val="a0"/>
    <w:qFormat/>
    <w:pPr>
      <w:ind w:left="100" w:leftChars="2500"/>
    </w:pPr>
  </w:style>
  <w:style w:type="character" w:customStyle="1" w:styleId="a0">
    <w:name w:val="日期 字符"/>
    <w:link w:val="Date"/>
    <w:qFormat/>
    <w:rPr>
      <w:kern w:val="2"/>
      <w:sz w:val="21"/>
      <w:szCs w:val="24"/>
    </w:rPr>
  </w:style>
  <w:style w:type="paragraph" w:styleId="EndnoteText">
    <w:name w:val="endnote text"/>
    <w:basedOn w:val="Normal"/>
    <w:semiHidden/>
    <w:qFormat/>
    <w:pPr>
      <w:snapToGrid w:val="0"/>
      <w:jc w:val="left"/>
    </w:pPr>
  </w:style>
  <w:style w:type="paragraph" w:styleId="BalloonText">
    <w:name w:val="Balloon Text"/>
    <w:basedOn w:val="Normal"/>
    <w:link w:val="a1"/>
    <w:qFormat/>
    <w:rPr>
      <w:sz w:val="18"/>
      <w:szCs w:val="18"/>
    </w:rPr>
  </w:style>
  <w:style w:type="character" w:customStyle="1" w:styleId="a1">
    <w:name w:val="批注框文本 字符"/>
    <w:link w:val="BalloonText"/>
    <w:qFormat/>
    <w:rPr>
      <w:kern w:val="2"/>
      <w:sz w:val="18"/>
      <w:szCs w:val="18"/>
    </w:rPr>
  </w:style>
  <w:style w:type="paragraph" w:styleId="Footer">
    <w:name w:val="footer"/>
    <w:basedOn w:val="Normal"/>
    <w:link w:val="a94"/>
    <w:uiPriority w:val="99"/>
    <w:qFormat/>
    <w:pPr>
      <w:snapToGrid w:val="0"/>
      <w:ind w:right="210" w:rightChars="100"/>
      <w:jc w:val="right"/>
    </w:pPr>
    <w:rPr>
      <w:sz w:val="18"/>
      <w:szCs w:val="18"/>
    </w:rPr>
  </w:style>
  <w:style w:type="paragraph" w:styleId="Header">
    <w:name w:val="header"/>
    <w:basedOn w:val="Normal"/>
    <w:link w:val="a93"/>
    <w:uiPriority w:val="99"/>
    <w:qFormat/>
    <w:pPr>
      <w:snapToGrid w:val="0"/>
      <w:jc w:val="left"/>
    </w:pPr>
    <w:rPr>
      <w:sz w:val="18"/>
      <w:szCs w:val="18"/>
    </w:rPr>
  </w:style>
  <w:style w:type="paragraph" w:styleId="TOC1">
    <w:name w:val="toc 1"/>
    <w:basedOn w:val="Normal"/>
    <w:next w:val="Normal"/>
    <w:uiPriority w:val="39"/>
    <w:qFormat/>
  </w:style>
  <w:style w:type="paragraph" w:styleId="IndexHeading">
    <w:name w:val="index heading"/>
    <w:basedOn w:val="Normal"/>
    <w:next w:val="Index1"/>
    <w:qFormat/>
    <w:pPr>
      <w:spacing w:before="120" w:after="120"/>
      <w:jc w:val="center"/>
    </w:pPr>
    <w:rPr>
      <w:rFonts w:ascii="Calibri" w:hAnsi="Calibri"/>
      <w:b/>
      <w:bCs/>
      <w:iCs/>
      <w:szCs w:val="20"/>
    </w:rPr>
  </w:style>
  <w:style w:type="paragraph" w:styleId="Index1">
    <w:name w:val="index 1"/>
    <w:basedOn w:val="Normal"/>
    <w:next w:val="a2"/>
    <w:qFormat/>
    <w:pPr>
      <w:tabs>
        <w:tab w:val="right" w:leader="dot" w:pos="9299"/>
      </w:tabs>
      <w:jc w:val="left"/>
    </w:pPr>
    <w:rPr>
      <w:rFonts w:ascii="宋体"/>
      <w:szCs w:val="21"/>
    </w:rPr>
  </w:style>
  <w:style w:type="paragraph" w:customStyle="1" w:styleId="a2">
    <w:name w:val="段"/>
    <w:link w:val="Char"/>
    <w:uiPriority w:val="99"/>
    <w:qFormat/>
    <w:pPr>
      <w:tabs>
        <w:tab w:val="center" w:pos="4201"/>
        <w:tab w:val="right" w:leader="dot" w:pos="9298"/>
      </w:tabs>
      <w:autoSpaceDE w:val="0"/>
      <w:autoSpaceDN w:val="0"/>
      <w:ind w:firstLine="420" w:firstLineChars="200"/>
      <w:jc w:val="both"/>
    </w:pPr>
    <w:rPr>
      <w:rFonts w:ascii="宋体"/>
      <w:sz w:val="21"/>
      <w:lang w:val="en-US" w:eastAsia="zh-CN" w:bidi="ar-SA"/>
    </w:rPr>
  </w:style>
  <w:style w:type="character" w:customStyle="1" w:styleId="Char">
    <w:name w:val="段 Char"/>
    <w:link w:val="a2"/>
    <w:uiPriority w:val="99"/>
    <w:qFormat/>
    <w:rPr>
      <w:rFonts w:ascii="宋体"/>
      <w:sz w:val="21"/>
      <w:lang w:val="en-US" w:eastAsia="zh-CN" w:bidi="ar-SA"/>
    </w:rPr>
  </w:style>
  <w:style w:type="paragraph" w:styleId="FootnoteText">
    <w:name w:val="footnote text"/>
    <w:basedOn w:val="Normal"/>
    <w:qFormat/>
    <w:pPr>
      <w:numPr>
        <w:ilvl w:val="0"/>
        <w:numId w:val="1"/>
      </w:numPr>
      <w:tabs>
        <w:tab w:val="left" w:pos="0"/>
      </w:tabs>
      <w:snapToGrid w:val="0"/>
      <w:jc w:val="left"/>
    </w:pPr>
    <w:rPr>
      <w:rFonts w:ascii="宋体"/>
      <w:sz w:val="18"/>
      <w:szCs w:val="18"/>
    </w:rPr>
  </w:style>
  <w:style w:type="paragraph" w:styleId="Index7">
    <w:name w:val="index 7"/>
    <w:basedOn w:val="Normal"/>
    <w:next w:val="Normal"/>
    <w:qFormat/>
    <w:pPr>
      <w:ind w:left="1470" w:hanging="210"/>
      <w:jc w:val="left"/>
    </w:pPr>
    <w:rPr>
      <w:rFonts w:ascii="Calibri" w:hAnsi="Calibri"/>
      <w:sz w:val="20"/>
      <w:szCs w:val="20"/>
    </w:rPr>
  </w:style>
  <w:style w:type="paragraph" w:styleId="Index9">
    <w:name w:val="index 9"/>
    <w:basedOn w:val="Normal"/>
    <w:next w:val="Normal"/>
    <w:qFormat/>
    <w:pPr>
      <w:ind w:left="1890" w:hanging="210"/>
      <w:jc w:val="left"/>
    </w:pPr>
    <w:rPr>
      <w:rFonts w:ascii="Calibri" w:hAnsi="Calibri"/>
      <w:sz w:val="20"/>
      <w:szCs w:val="20"/>
    </w:rPr>
  </w:style>
  <w:style w:type="paragraph" w:styleId="TOC2">
    <w:name w:val="toc 2"/>
    <w:basedOn w:val="Normal"/>
    <w:next w:val="Normal"/>
    <w:uiPriority w:val="39"/>
    <w:qFormat/>
    <w:pPr>
      <w:ind w:left="420" w:leftChars="200"/>
    </w:pPr>
  </w:style>
  <w:style w:type="paragraph" w:styleId="Index2">
    <w:name w:val="index 2"/>
    <w:basedOn w:val="Normal"/>
    <w:next w:val="Normal"/>
    <w:qFormat/>
    <w:pPr>
      <w:ind w:left="420" w:hanging="210"/>
      <w:jc w:val="left"/>
    </w:pPr>
    <w:rPr>
      <w:rFonts w:ascii="Calibri" w:hAnsi="Calibri"/>
      <w:sz w:val="20"/>
      <w:szCs w:val="20"/>
    </w:rPr>
  </w:style>
  <w:style w:type="paragraph" w:styleId="CommentSubject">
    <w:name w:val="annotation subject"/>
    <w:basedOn w:val="CommentText"/>
    <w:next w:val="CommentText"/>
    <w:link w:val="a3"/>
    <w:qFormat/>
    <w:rPr>
      <w:b/>
      <w:bCs/>
    </w:rPr>
  </w:style>
  <w:style w:type="character" w:customStyle="1" w:styleId="a3">
    <w:name w:val="批注主题 字符"/>
    <w:link w:val="CommentSubject"/>
    <w:qFormat/>
    <w:rPr>
      <w:b/>
      <w:bCs/>
      <w:kern w:val="2"/>
      <w:sz w:val="21"/>
      <w:szCs w:val="24"/>
    </w:rPr>
  </w:style>
  <w:style w:type="table" w:styleId="TableGrid">
    <w:name w:val="Table Grid"/>
    <w:basedOn w:val="TableNormal"/>
    <w:uiPriority w:val="39"/>
    <w:qFormat/>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ndnoteReference">
    <w:name w:val="endnote reference"/>
    <w:semiHidden/>
    <w:qFormat/>
    <w:rPr>
      <w:vertAlign w:val="superscript"/>
    </w:rPr>
  </w:style>
  <w:style w:type="character" w:styleId="PageNumber">
    <w:name w:val="page number"/>
    <w:qFormat/>
    <w:rPr>
      <w:rFonts w:ascii="Times New Roman" w:eastAsia="宋体" w:hAnsi="Times New Roman"/>
      <w:sz w:val="18"/>
    </w:rPr>
  </w:style>
  <w:style w:type="character" w:styleId="FollowedHyperlink">
    <w:name w:val="FollowedHyperlink"/>
    <w:qFormat/>
    <w:rPr>
      <w:color w:val="800080"/>
      <w:u w:val="single"/>
    </w:rPr>
  </w:style>
  <w:style w:type="character" w:styleId="Hyperlink">
    <w:name w:val="Hyperlink"/>
    <w:uiPriority w:val="99"/>
    <w:qFormat/>
    <w:rPr>
      <w:color w:val="0000FF"/>
      <w:spacing w:val="0"/>
      <w:w w:val="100"/>
      <w:szCs w:val="21"/>
      <w:u w:val="single"/>
    </w:rPr>
  </w:style>
  <w:style w:type="character" w:styleId="CommentReference">
    <w:name w:val="annotation reference"/>
    <w:uiPriority w:val="99"/>
    <w:qFormat/>
    <w:rPr>
      <w:sz w:val="21"/>
      <w:szCs w:val="21"/>
    </w:rPr>
  </w:style>
  <w:style w:type="character" w:styleId="FootnoteReference">
    <w:name w:val="footnote reference"/>
    <w:semiHidden/>
    <w:qFormat/>
    <w:rPr>
      <w:vertAlign w:val="superscript"/>
    </w:rPr>
  </w:style>
  <w:style w:type="character" w:customStyle="1" w:styleId="Char0">
    <w:name w:val="首示例 Char"/>
    <w:link w:val="a4"/>
    <w:qFormat/>
    <w:rPr>
      <w:rFonts w:ascii="宋体" w:hAnsi="宋体"/>
      <w:kern w:val="2"/>
      <w:sz w:val="18"/>
      <w:szCs w:val="18"/>
    </w:rPr>
  </w:style>
  <w:style w:type="paragraph" w:customStyle="1" w:styleId="a4">
    <w:name w:val="首示例"/>
    <w:next w:val="a2"/>
    <w:link w:val="Char0"/>
    <w:qFormat/>
    <w:pPr>
      <w:numPr>
        <w:ilvl w:val="0"/>
        <w:numId w:val="2"/>
      </w:numPr>
      <w:tabs>
        <w:tab w:val="left" w:pos="360"/>
      </w:tabs>
      <w:ind w:firstLine="0"/>
    </w:pPr>
    <w:rPr>
      <w:rFonts w:ascii="宋体" w:hAnsi="宋体"/>
      <w:kern w:val="2"/>
      <w:sz w:val="18"/>
      <w:szCs w:val="18"/>
      <w:lang w:val="en-US" w:eastAsia="zh-CN" w:bidi="ar-SA"/>
    </w:rPr>
  </w:style>
  <w:style w:type="character" w:customStyle="1" w:styleId="6311Char">
    <w:name w:val="6.3.1.1 Char"/>
    <w:link w:val="6311"/>
    <w:qFormat/>
    <w:rPr>
      <w:rFonts w:ascii="宋体" w:hAnsi="宋体" w:cs="宋体"/>
      <w:sz w:val="21"/>
      <w:szCs w:val="21"/>
      <w:lang w:val="en-US" w:eastAsia="zh-CN" w:bidi="ar-SA"/>
    </w:rPr>
  </w:style>
  <w:style w:type="paragraph" w:customStyle="1" w:styleId="6311">
    <w:name w:val="6.3.1.1"/>
    <w:basedOn w:val="a2"/>
    <w:link w:val="6311Char"/>
    <w:qFormat/>
    <w:pPr>
      <w:tabs>
        <w:tab w:val="center" w:pos="4201"/>
        <w:tab w:val="right" w:leader="dot" w:pos="9298"/>
      </w:tabs>
    </w:pPr>
    <w:rPr>
      <w:rFonts w:hAnsi="宋体" w:cs="宋体"/>
      <w:szCs w:val="21"/>
    </w:rPr>
  </w:style>
  <w:style w:type="character" w:customStyle="1" w:styleId="a5">
    <w:name w:val="发布"/>
    <w:qFormat/>
    <w:rPr>
      <w:rFonts w:ascii="黑体" w:eastAsia="黑体"/>
      <w:spacing w:val="85"/>
      <w:w w:val="100"/>
      <w:position w:val="3"/>
      <w:sz w:val="28"/>
      <w:szCs w:val="28"/>
    </w:rPr>
  </w:style>
  <w:style w:type="character" w:customStyle="1" w:styleId="a6">
    <w:name w:val="一级条标题 字符"/>
    <w:link w:val="a7"/>
    <w:qFormat/>
    <w:rPr>
      <w:rFonts w:ascii="黑体" w:eastAsia="黑体"/>
      <w:sz w:val="21"/>
      <w:szCs w:val="21"/>
    </w:rPr>
  </w:style>
  <w:style w:type="paragraph" w:customStyle="1" w:styleId="a7">
    <w:name w:val="一级条标题"/>
    <w:basedOn w:val="a8"/>
    <w:next w:val="a2"/>
    <w:link w:val="a6"/>
    <w:qFormat/>
    <w:pPr>
      <w:numPr>
        <w:ilvl w:val="1"/>
        <w:numId w:val="3"/>
      </w:numPr>
      <w:spacing w:before="156" w:beforeLines="50" w:after="156" w:afterLines="50"/>
      <w:outlineLvl w:val="2"/>
    </w:pPr>
    <w:rPr>
      <w:szCs w:val="21"/>
    </w:rPr>
  </w:style>
  <w:style w:type="paragraph" w:customStyle="1" w:styleId="a8">
    <w:name w:val="章标题"/>
    <w:next w:val="a2"/>
    <w:link w:val="a9"/>
    <w:qFormat/>
    <w:pPr>
      <w:numPr>
        <w:ilvl w:val="0"/>
        <w:numId w:val="3"/>
      </w:numPr>
      <w:spacing w:before="312" w:beforeLines="100" w:after="312" w:afterLines="100"/>
      <w:jc w:val="both"/>
      <w:outlineLvl w:val="1"/>
    </w:pPr>
    <w:rPr>
      <w:rFonts w:ascii="黑体" w:eastAsia="黑体"/>
      <w:sz w:val="21"/>
      <w:lang w:val="en-US" w:eastAsia="zh-CN" w:bidi="ar-SA"/>
    </w:rPr>
  </w:style>
  <w:style w:type="character" w:customStyle="1" w:styleId="a9">
    <w:name w:val="章标题 字符"/>
    <w:link w:val="a8"/>
    <w:qFormat/>
    <w:rPr>
      <w:rFonts w:ascii="黑体" w:eastAsia="黑体"/>
      <w:sz w:val="21"/>
    </w:rPr>
  </w:style>
  <w:style w:type="character" w:customStyle="1" w:styleId="1">
    <w:name w:val="样式1 字符"/>
    <w:link w:val="10"/>
    <w:qFormat/>
    <w:rPr>
      <w:rFonts w:ascii="黑体" w:eastAsia="黑体"/>
      <w:sz w:val="21"/>
    </w:rPr>
  </w:style>
  <w:style w:type="paragraph" w:customStyle="1" w:styleId="10">
    <w:name w:val="样式1"/>
    <w:basedOn w:val="a8"/>
    <w:link w:val="1"/>
    <w:qFormat/>
  </w:style>
  <w:style w:type="character" w:styleId="PlaceholderText">
    <w:name w:val="Placeholder Text"/>
    <w:uiPriority w:val="99"/>
    <w:semiHidden/>
    <w:qFormat/>
    <w:rPr>
      <w:color w:val="808080"/>
    </w:rPr>
  </w:style>
  <w:style w:type="character" w:customStyle="1" w:styleId="2">
    <w:name w:val="样式2 字符"/>
    <w:link w:val="20"/>
    <w:qFormat/>
    <w:rPr>
      <w:rFonts w:ascii="黑体" w:eastAsia="黑体"/>
      <w:sz w:val="21"/>
      <w:szCs w:val="21"/>
    </w:rPr>
  </w:style>
  <w:style w:type="paragraph" w:customStyle="1" w:styleId="20">
    <w:name w:val="样式2"/>
    <w:basedOn w:val="a7"/>
    <w:link w:val="2"/>
    <w:qFormat/>
  </w:style>
  <w:style w:type="character" w:customStyle="1" w:styleId="Char1">
    <w:name w:val="附录公式 Char"/>
    <w:link w:val="a10"/>
    <w:qFormat/>
    <w:rPr>
      <w:rFonts w:ascii="宋体"/>
      <w:sz w:val="21"/>
      <w:lang w:val="en-US" w:eastAsia="zh-CN" w:bidi="ar-SA"/>
    </w:rPr>
  </w:style>
  <w:style w:type="paragraph" w:customStyle="1" w:styleId="a10">
    <w:name w:val="附录公式"/>
    <w:basedOn w:val="a2"/>
    <w:next w:val="a2"/>
    <w:link w:val="Char1"/>
    <w:qFormat/>
    <w:pPr>
      <w:tabs>
        <w:tab w:val="center" w:pos="4201"/>
        <w:tab w:val="right" w:leader="dot" w:pos="9298"/>
      </w:tabs>
    </w:pPr>
  </w:style>
  <w:style w:type="paragraph" w:customStyle="1" w:styleId="a11">
    <w:name w:val="注×："/>
    <w:qFormat/>
    <w:pPr>
      <w:widowControl w:val="0"/>
      <w:numPr>
        <w:ilvl w:val="0"/>
        <w:numId w:val="4"/>
      </w:numPr>
      <w:autoSpaceDE w:val="0"/>
      <w:autoSpaceDN w:val="0"/>
      <w:jc w:val="both"/>
    </w:pPr>
    <w:rPr>
      <w:rFonts w:ascii="宋体"/>
      <w:sz w:val="18"/>
      <w:szCs w:val="18"/>
      <w:lang w:val="en-US" w:eastAsia="zh-CN" w:bidi="ar-SA"/>
    </w:rPr>
  </w:style>
  <w:style w:type="paragraph" w:customStyle="1" w:styleId="a12">
    <w:name w:val="图的脚注"/>
    <w:next w:val="a2"/>
    <w:qFormat/>
    <w:pPr>
      <w:widowControl w:val="0"/>
      <w:ind w:left="840" w:hanging="420" w:leftChars="200" w:hangingChars="200"/>
      <w:jc w:val="both"/>
    </w:pPr>
    <w:rPr>
      <w:rFonts w:ascii="宋体"/>
      <w:sz w:val="18"/>
      <w:lang w:val="en-US" w:eastAsia="zh-CN" w:bidi="ar-SA"/>
    </w:rPr>
  </w:style>
  <w:style w:type="paragraph" w:customStyle="1" w:styleId="a13">
    <w:name w:val="附录一级无"/>
    <w:basedOn w:val="a14"/>
    <w:pPr>
      <w:tabs>
        <w:tab w:val="clear" w:pos="360"/>
      </w:tabs>
      <w:spacing w:before="0" w:beforeLines="0" w:after="0" w:afterLines="0"/>
    </w:pPr>
    <w:rPr>
      <w:rFonts w:ascii="宋体" w:eastAsia="宋体"/>
      <w:szCs w:val="21"/>
    </w:rPr>
  </w:style>
  <w:style w:type="paragraph" w:customStyle="1" w:styleId="a14">
    <w:name w:val="附录一级条标题"/>
    <w:basedOn w:val="a15"/>
    <w:next w:val="a2"/>
    <w:qFormat/>
    <w:pPr>
      <w:tabs>
        <w:tab w:val="left" w:pos="360"/>
      </w:tabs>
      <w:autoSpaceDN w:val="0"/>
      <w:spacing w:before="50" w:beforeLines="50" w:after="50" w:afterLines="50"/>
      <w:outlineLvl w:val="2"/>
    </w:pPr>
  </w:style>
  <w:style w:type="paragraph" w:customStyle="1" w:styleId="a15">
    <w:name w:val="附录章标题"/>
    <w:next w:val="a2"/>
    <w:qFormat/>
    <w:pPr>
      <w:wordWrap w:val="0"/>
      <w:overflowPunct w:val="0"/>
      <w:autoSpaceDE w:val="0"/>
      <w:spacing w:before="100" w:beforeLines="100" w:after="100" w:afterLines="100"/>
      <w:jc w:val="both"/>
      <w:textAlignment w:val="baseline"/>
      <w:outlineLvl w:val="1"/>
    </w:pPr>
    <w:rPr>
      <w:rFonts w:ascii="黑体" w:eastAsia="黑体"/>
      <w:kern w:val="21"/>
      <w:sz w:val="21"/>
      <w:lang w:val="en-US" w:eastAsia="zh-CN" w:bidi="ar-SA"/>
    </w:rPr>
  </w:style>
  <w:style w:type="paragraph" w:customStyle="1" w:styleId="a16">
    <w:name w:val="注："/>
    <w:next w:val="a2"/>
    <w:qFormat/>
    <w:pPr>
      <w:widowControl w:val="0"/>
      <w:numPr>
        <w:ilvl w:val="0"/>
        <w:numId w:val="5"/>
      </w:numPr>
      <w:autoSpaceDE w:val="0"/>
      <w:autoSpaceDN w:val="0"/>
      <w:jc w:val="both"/>
    </w:pPr>
    <w:rPr>
      <w:rFonts w:ascii="宋体"/>
      <w:sz w:val="18"/>
      <w:szCs w:val="18"/>
      <w:lang w:val="en-US" w:eastAsia="zh-CN" w:bidi="ar-SA"/>
    </w:rPr>
  </w:style>
  <w:style w:type="paragraph" w:customStyle="1" w:styleId="a17">
    <w:name w:val="发布部门"/>
    <w:next w:val="a2"/>
    <w:qFormat/>
    <w:pPr>
      <w:framePr w:w="7938" w:h="1134" w:hRule="exact" w:hSpace="125" w:vSpace="181" w:wrap="around" w:vAnchor="page" w:hAnchor="page" w:x="2150" w:y="14630" w:anchorLock="1"/>
      <w:jc w:val="center"/>
    </w:pPr>
    <w:rPr>
      <w:rFonts w:ascii="宋体"/>
      <w:b/>
      <w:spacing w:val="20"/>
      <w:w w:val="135"/>
      <w:sz w:val="28"/>
      <w:lang w:val="en-US" w:eastAsia="zh-CN" w:bidi="ar-SA"/>
    </w:rPr>
  </w:style>
  <w:style w:type="paragraph" w:customStyle="1" w:styleId="a18">
    <w:name w:val="其他实施日期"/>
    <w:basedOn w:val="a19"/>
    <w:qFormat/>
    <w:pPr>
      <w:framePr w:wrap="around"/>
    </w:pPr>
  </w:style>
  <w:style w:type="paragraph" w:customStyle="1" w:styleId="a19">
    <w:name w:val="实施日期"/>
    <w:basedOn w:val="a20"/>
    <w:qFormat/>
    <w:pPr>
      <w:framePr w:wrap="around" w:vAnchor="page" w:hAnchor="text"/>
      <w:jc w:val="right"/>
    </w:pPr>
  </w:style>
  <w:style w:type="paragraph" w:customStyle="1" w:styleId="a20">
    <w:name w:val="发布日期"/>
    <w:qFormat/>
    <w:pPr>
      <w:framePr w:w="3997" w:h="471" w:hRule="exact" w:vSpace="181" w:wrap="around" w:vAnchor="margin" w:hAnchor="page" w:x="7089" w:y="14097" w:anchorLock="1"/>
    </w:pPr>
    <w:rPr>
      <w:rFonts w:eastAsia="黑体"/>
      <w:sz w:val="28"/>
      <w:lang w:val="en-US" w:eastAsia="zh-CN" w:bidi="ar-SA"/>
    </w:rPr>
  </w:style>
  <w:style w:type="paragraph" w:customStyle="1" w:styleId="a21">
    <w:name w:val="示例×："/>
    <w:basedOn w:val="a8"/>
    <w:qFormat/>
    <w:pPr>
      <w:numPr>
        <w:numId w:val="6"/>
      </w:numPr>
      <w:spacing w:before="0" w:beforeLines="0" w:after="0" w:afterLines="0"/>
      <w:outlineLvl w:val="9"/>
    </w:pPr>
    <w:rPr>
      <w:rFonts w:ascii="宋体" w:eastAsia="宋体"/>
      <w:sz w:val="18"/>
      <w:szCs w:val="18"/>
    </w:rPr>
  </w:style>
  <w:style w:type="paragraph" w:customStyle="1" w:styleId="a22">
    <w:name w:val="封面标准名称"/>
    <w:qFormat/>
    <w:pPr>
      <w:framePr w:w="9639" w:h="6917" w:hRule="exact" w:wrap="around" w:vAnchor="page" w:hAnchor="page" w:xAlign="center" w:y="6408" w:anchorLock="1"/>
      <w:widowControl w:val="0"/>
      <w:spacing w:line="680" w:lineRule="exact"/>
      <w:jc w:val="center"/>
      <w:textAlignment w:val="center"/>
    </w:pPr>
    <w:rPr>
      <w:rFonts w:ascii="黑体" w:eastAsia="黑体"/>
      <w:sz w:val="52"/>
      <w:lang w:val="en-US" w:eastAsia="zh-CN" w:bidi="ar-SA"/>
    </w:rPr>
  </w:style>
  <w:style w:type="paragraph" w:customStyle="1" w:styleId="51">
    <w:name w:val="目录 51"/>
    <w:basedOn w:val="Normal"/>
    <w:next w:val="Normal"/>
    <w:semiHidden/>
    <w:qFormat/>
    <w:pPr>
      <w:tabs>
        <w:tab w:val="right" w:leader="dot" w:pos="9241"/>
      </w:tabs>
      <w:ind w:firstLine="300" w:firstLineChars="300"/>
      <w:jc w:val="left"/>
    </w:pPr>
    <w:rPr>
      <w:rFonts w:ascii="宋体"/>
      <w:szCs w:val="21"/>
    </w:rPr>
  </w:style>
  <w:style w:type="paragraph" w:customStyle="1" w:styleId="a23">
    <w:name w:val="封面一致性程度标识"/>
    <w:basedOn w:val="a24"/>
    <w:qFormat/>
    <w:pPr>
      <w:framePr w:wrap="around"/>
      <w:spacing w:before="440"/>
    </w:pPr>
    <w:rPr>
      <w:rFonts w:ascii="宋体" w:eastAsia="宋体"/>
    </w:rPr>
  </w:style>
  <w:style w:type="paragraph" w:customStyle="1" w:styleId="a24">
    <w:name w:val="封面标准英文名称"/>
    <w:basedOn w:val="a22"/>
    <w:qFormat/>
    <w:pPr>
      <w:framePr w:wrap="around"/>
      <w:spacing w:before="370" w:line="400" w:lineRule="exact"/>
    </w:pPr>
    <w:rPr>
      <w:rFonts w:ascii="Times New Roman"/>
      <w:sz w:val="28"/>
      <w:szCs w:val="28"/>
    </w:rPr>
  </w:style>
  <w:style w:type="paragraph" w:customStyle="1" w:styleId="a25">
    <w:name w:val="附录标题"/>
    <w:basedOn w:val="a2"/>
    <w:next w:val="a2"/>
    <w:qFormat/>
    <w:pPr>
      <w:tabs>
        <w:tab w:val="center" w:pos="4201"/>
        <w:tab w:val="right" w:leader="dot" w:pos="9298"/>
      </w:tabs>
      <w:ind w:firstLine="0" w:firstLineChars="0"/>
      <w:jc w:val="center"/>
    </w:pPr>
    <w:rPr>
      <w:rFonts w:ascii="黑体" w:eastAsia="黑体"/>
    </w:rPr>
  </w:style>
  <w:style w:type="paragraph" w:customStyle="1" w:styleId="a26">
    <w:name w:val="二级条标题"/>
    <w:basedOn w:val="a7"/>
    <w:next w:val="a2"/>
    <w:qFormat/>
    <w:pPr>
      <w:numPr>
        <w:ilvl w:val="2"/>
      </w:numPr>
      <w:spacing w:before="50" w:after="50"/>
      <w:outlineLvl w:val="3"/>
    </w:pPr>
  </w:style>
  <w:style w:type="paragraph" w:customStyle="1" w:styleId="81">
    <w:name w:val="目录 81"/>
    <w:basedOn w:val="Normal"/>
    <w:next w:val="Normal"/>
    <w:semiHidden/>
    <w:qFormat/>
    <w:pPr>
      <w:tabs>
        <w:tab w:val="right" w:leader="dot" w:pos="9241"/>
      </w:tabs>
      <w:ind w:firstLine="607" w:firstLineChars="600"/>
      <w:jc w:val="left"/>
    </w:pPr>
    <w:rPr>
      <w:rFonts w:ascii="宋体"/>
      <w:szCs w:val="21"/>
    </w:rPr>
  </w:style>
  <w:style w:type="paragraph" w:customStyle="1" w:styleId="a27">
    <w:name w:val="附录图标题"/>
    <w:basedOn w:val="Normal"/>
    <w:next w:val="a2"/>
    <w:qFormat/>
    <w:pPr>
      <w:numPr>
        <w:ilvl w:val="1"/>
        <w:numId w:val="7"/>
      </w:numPr>
      <w:tabs>
        <w:tab w:val="left" w:pos="363"/>
      </w:tabs>
      <w:spacing w:before="50" w:beforeLines="50" w:after="50" w:afterLines="50"/>
      <w:ind w:left="0" w:firstLine="0"/>
      <w:jc w:val="center"/>
    </w:pPr>
    <w:rPr>
      <w:rFonts w:ascii="黑体" w:eastAsia="黑体"/>
      <w:szCs w:val="21"/>
    </w:rPr>
  </w:style>
  <w:style w:type="paragraph" w:customStyle="1" w:styleId="11">
    <w:name w:val="修订1"/>
    <w:uiPriority w:val="99"/>
    <w:semiHidden/>
    <w:qFormat/>
    <w:rPr>
      <w:kern w:val="2"/>
      <w:sz w:val="21"/>
      <w:szCs w:val="24"/>
      <w:lang w:val="en-US" w:eastAsia="zh-CN" w:bidi="ar-SA"/>
    </w:rPr>
  </w:style>
  <w:style w:type="paragraph" w:customStyle="1" w:styleId="a28">
    <w:name w:val="正文公式编号制表符"/>
    <w:basedOn w:val="a2"/>
    <w:next w:val="a2"/>
    <w:qFormat/>
    <w:pPr>
      <w:tabs>
        <w:tab w:val="center" w:pos="4201"/>
        <w:tab w:val="right" w:leader="dot" w:pos="9298"/>
      </w:tabs>
      <w:ind w:firstLine="0" w:firstLineChars="0"/>
    </w:pPr>
  </w:style>
  <w:style w:type="paragraph" w:customStyle="1" w:styleId="a29">
    <w:name w:val="附录标识"/>
    <w:basedOn w:val="Normal"/>
    <w:next w:val="a2"/>
    <w:qFormat/>
    <w:pPr>
      <w:keepNext/>
      <w:widowControl/>
      <w:shd w:val="clear" w:color="FFFFFF" w:fill="FFFFFF"/>
      <w:tabs>
        <w:tab w:val="left" w:pos="6405"/>
      </w:tabs>
      <w:spacing w:before="640" w:after="280"/>
      <w:jc w:val="center"/>
      <w:outlineLvl w:val="0"/>
    </w:pPr>
    <w:rPr>
      <w:rFonts w:ascii="黑体" w:eastAsia="黑体"/>
      <w:kern w:val="0"/>
      <w:szCs w:val="20"/>
    </w:rPr>
  </w:style>
  <w:style w:type="paragraph" w:customStyle="1" w:styleId="a30">
    <w:name w:val="注×：（正文）"/>
    <w:qFormat/>
    <w:pPr>
      <w:numPr>
        <w:ilvl w:val="0"/>
        <w:numId w:val="8"/>
      </w:numPr>
      <w:jc w:val="both"/>
    </w:pPr>
    <w:rPr>
      <w:rFonts w:ascii="宋体"/>
      <w:sz w:val="18"/>
      <w:szCs w:val="18"/>
      <w:lang w:val="en-US" w:eastAsia="zh-CN" w:bidi="ar-SA"/>
    </w:rPr>
  </w:style>
  <w:style w:type="paragraph" w:customStyle="1" w:styleId="a31">
    <w:name w:val="列项——（一级）"/>
    <w:qFormat/>
    <w:pPr>
      <w:widowControl w:val="0"/>
      <w:numPr>
        <w:ilvl w:val="0"/>
        <w:numId w:val="9"/>
      </w:numPr>
      <w:tabs>
        <w:tab w:val="left" w:pos="360"/>
      </w:tabs>
      <w:ind w:left="0" w:firstLine="0"/>
      <w:jc w:val="both"/>
    </w:pPr>
    <w:rPr>
      <w:rFonts w:ascii="宋体"/>
      <w:sz w:val="21"/>
      <w:lang w:val="en-US" w:eastAsia="zh-CN" w:bidi="ar-SA"/>
    </w:rPr>
  </w:style>
  <w:style w:type="paragraph" w:customStyle="1" w:styleId="a32">
    <w:name w:val="参考文献"/>
    <w:basedOn w:val="Normal"/>
    <w:next w:val="a2"/>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41">
    <w:name w:val="目录 41"/>
    <w:basedOn w:val="Normal"/>
    <w:next w:val="Normal"/>
    <w:semiHidden/>
    <w:qFormat/>
    <w:pPr>
      <w:tabs>
        <w:tab w:val="right" w:leader="dot" w:pos="9241"/>
      </w:tabs>
      <w:ind w:firstLine="198" w:firstLineChars="200"/>
      <w:jc w:val="left"/>
    </w:pPr>
    <w:rPr>
      <w:rFonts w:ascii="宋体"/>
      <w:szCs w:val="21"/>
    </w:rPr>
  </w:style>
  <w:style w:type="paragraph" w:customStyle="1" w:styleId="a33">
    <w:name w:val="列项说明数字编号"/>
    <w:qFormat/>
    <w:pPr>
      <w:ind w:left="600" w:hanging="200" w:leftChars="400" w:hangingChars="200"/>
    </w:pPr>
    <w:rPr>
      <w:rFonts w:ascii="宋体"/>
      <w:sz w:val="21"/>
      <w:lang w:val="en-US" w:eastAsia="zh-CN" w:bidi="ar-SA"/>
    </w:rPr>
  </w:style>
  <w:style w:type="paragraph" w:customStyle="1" w:styleId="a34">
    <w:name w:val="三级条标题"/>
    <w:basedOn w:val="a26"/>
    <w:next w:val="a2"/>
    <w:qFormat/>
    <w:pPr>
      <w:numPr>
        <w:ilvl w:val="0"/>
        <w:numId w:val="0"/>
      </w:numPr>
      <w:outlineLvl w:val="4"/>
    </w:pPr>
  </w:style>
  <w:style w:type="paragraph" w:customStyle="1" w:styleId="a35">
    <w:name w:val="封面正文"/>
    <w:qFormat/>
    <w:pPr>
      <w:jc w:val="both"/>
    </w:pPr>
    <w:rPr>
      <w:lang w:val="en-US" w:eastAsia="zh-CN" w:bidi="ar-SA"/>
    </w:rPr>
  </w:style>
  <w:style w:type="paragraph" w:customStyle="1" w:styleId="a36">
    <w:name w:val="其他发布部门"/>
    <w:basedOn w:val="a17"/>
    <w:pPr>
      <w:framePr w:wrap="around" w:y="15310"/>
      <w:spacing w:line="0" w:lineRule="atLeast"/>
    </w:pPr>
    <w:rPr>
      <w:rFonts w:ascii="黑体" w:eastAsia="黑体"/>
      <w:b w:val="0"/>
    </w:rPr>
  </w:style>
  <w:style w:type="paragraph" w:customStyle="1" w:styleId="a37">
    <w:name w:val="标准书脚_奇数页"/>
    <w:qFormat/>
    <w:pPr>
      <w:spacing w:before="120"/>
      <w:ind w:right="198"/>
      <w:jc w:val="right"/>
    </w:pPr>
    <w:rPr>
      <w:rFonts w:ascii="宋体"/>
      <w:sz w:val="18"/>
      <w:szCs w:val="18"/>
      <w:lang w:val="en-US" w:eastAsia="zh-CN" w:bidi="ar-SA"/>
    </w:rPr>
  </w:style>
  <w:style w:type="paragraph" w:customStyle="1" w:styleId="a38">
    <w:name w:val="其他发布日期"/>
    <w:basedOn w:val="a20"/>
    <w:qFormat/>
    <w:pPr>
      <w:framePr w:wrap="around" w:vAnchor="page" w:hAnchor="text" w:x="1419"/>
    </w:pPr>
  </w:style>
  <w:style w:type="paragraph" w:customStyle="1" w:styleId="a39">
    <w:name w:val="图表脚注说明"/>
    <w:basedOn w:val="Normal"/>
    <w:qFormat/>
    <w:pPr>
      <w:numPr>
        <w:ilvl w:val="0"/>
        <w:numId w:val="10"/>
      </w:numPr>
    </w:pPr>
    <w:rPr>
      <w:rFonts w:ascii="宋体"/>
      <w:sz w:val="18"/>
      <w:szCs w:val="18"/>
    </w:rPr>
  </w:style>
  <w:style w:type="paragraph" w:customStyle="1" w:styleId="61">
    <w:name w:val="目录 61"/>
    <w:basedOn w:val="Normal"/>
    <w:next w:val="Normal"/>
    <w:semiHidden/>
    <w:qFormat/>
    <w:pPr>
      <w:tabs>
        <w:tab w:val="right" w:leader="dot" w:pos="9241"/>
      </w:tabs>
      <w:ind w:firstLine="403" w:firstLineChars="400"/>
      <w:jc w:val="left"/>
    </w:pPr>
    <w:rPr>
      <w:rFonts w:ascii="宋体"/>
      <w:szCs w:val="21"/>
    </w:rPr>
  </w:style>
  <w:style w:type="paragraph" w:customStyle="1" w:styleId="71">
    <w:name w:val="目录 71"/>
    <w:basedOn w:val="Normal"/>
    <w:next w:val="Normal"/>
    <w:semiHidden/>
    <w:pPr>
      <w:tabs>
        <w:tab w:val="right" w:leader="dot" w:pos="9241"/>
      </w:tabs>
      <w:ind w:firstLine="505" w:firstLineChars="500"/>
      <w:jc w:val="left"/>
    </w:pPr>
    <w:rPr>
      <w:rFonts w:ascii="宋体"/>
      <w:szCs w:val="21"/>
    </w:rPr>
  </w:style>
  <w:style w:type="paragraph" w:customStyle="1" w:styleId="21">
    <w:name w:val="目录 21"/>
    <w:basedOn w:val="Normal"/>
    <w:next w:val="Normal"/>
    <w:uiPriority w:val="39"/>
    <w:qFormat/>
    <w:pPr>
      <w:tabs>
        <w:tab w:val="right" w:leader="dot" w:pos="9241"/>
      </w:tabs>
    </w:pPr>
    <w:rPr>
      <w:rFonts w:ascii="宋体"/>
      <w:szCs w:val="21"/>
    </w:rPr>
  </w:style>
  <w:style w:type="paragraph" w:customStyle="1" w:styleId="a40">
    <w:name w:val="正文图标题"/>
    <w:next w:val="a2"/>
    <w:qFormat/>
    <w:pPr>
      <w:spacing w:before="156" w:beforeLines="50" w:after="156" w:afterLines="50"/>
      <w:jc w:val="center"/>
    </w:pPr>
    <w:rPr>
      <w:rFonts w:ascii="黑体" w:eastAsia="黑体"/>
      <w:sz w:val="21"/>
      <w:lang w:val="en-US" w:eastAsia="zh-CN" w:bidi="ar-SA"/>
    </w:rPr>
  </w:style>
  <w:style w:type="paragraph" w:customStyle="1" w:styleId="a41">
    <w:name w:val="字母编号列项（一级）"/>
    <w:qFormat/>
    <w:pPr>
      <w:numPr>
        <w:ilvl w:val="0"/>
        <w:numId w:val="11"/>
      </w:numPr>
      <w:tabs>
        <w:tab w:val="left" w:pos="840"/>
      </w:tabs>
      <w:jc w:val="both"/>
    </w:pPr>
    <w:rPr>
      <w:rFonts w:ascii="宋体"/>
      <w:sz w:val="21"/>
      <w:lang w:val="en-US" w:eastAsia="zh-CN" w:bidi="ar-SA"/>
    </w:rPr>
  </w:style>
  <w:style w:type="paragraph" w:customStyle="1" w:styleId="a42">
    <w:name w:val="标准书眉_奇数页"/>
    <w:next w:val="Normal"/>
    <w:qFormat/>
    <w:pPr>
      <w:tabs>
        <w:tab w:val="center" w:pos="4154"/>
        <w:tab w:val="right" w:pos="8306"/>
      </w:tabs>
      <w:spacing w:after="220"/>
      <w:jc w:val="right"/>
    </w:pPr>
    <w:rPr>
      <w:rFonts w:ascii="黑体" w:eastAsia="黑体"/>
      <w:sz w:val="21"/>
      <w:szCs w:val="21"/>
      <w:lang w:val="en-US" w:eastAsia="zh-CN" w:bidi="ar-SA"/>
    </w:rPr>
  </w:style>
  <w:style w:type="paragraph" w:customStyle="1" w:styleId="a43">
    <w:name w:val="条文脚注"/>
    <w:basedOn w:val="FootnoteText"/>
    <w:qFormat/>
    <w:pPr>
      <w:numPr>
        <w:ilvl w:val="0"/>
        <w:numId w:val="0"/>
      </w:numPr>
      <w:tabs>
        <w:tab w:val="left" w:pos="0"/>
      </w:tabs>
      <w:jc w:val="both"/>
    </w:pPr>
  </w:style>
  <w:style w:type="paragraph" w:customStyle="1" w:styleId="a44">
    <w:name w:val="附录二级条标题"/>
    <w:basedOn w:val="Normal"/>
    <w:next w:val="a2"/>
    <w:pPr>
      <w:widowControl/>
      <w:wordWrap w:val="0"/>
      <w:overflowPunct w:val="0"/>
      <w:autoSpaceDE w:val="0"/>
      <w:autoSpaceDN w:val="0"/>
      <w:spacing w:before="50" w:beforeLines="50" w:after="50" w:afterLines="50"/>
      <w:textAlignment w:val="baseline"/>
      <w:outlineLvl w:val="3"/>
    </w:pPr>
    <w:rPr>
      <w:rFonts w:ascii="黑体" w:eastAsia="黑体"/>
      <w:kern w:val="21"/>
      <w:szCs w:val="20"/>
    </w:rPr>
  </w:style>
  <w:style w:type="paragraph" w:customStyle="1" w:styleId="a45">
    <w:name w:val="标准书眉一"/>
    <w:qFormat/>
    <w:pPr>
      <w:jc w:val="both"/>
    </w:pPr>
    <w:rPr>
      <w:lang w:val="en-US" w:eastAsia="zh-CN" w:bidi="ar-SA"/>
    </w:rPr>
  </w:style>
  <w:style w:type="paragraph" w:customStyle="1" w:styleId="a46">
    <w:name w:val="其他标准标志"/>
    <w:basedOn w:val="a47"/>
    <w:qFormat/>
    <w:pPr>
      <w:framePr w:w="6101" w:wrap="around" w:vAnchor="page" w:hAnchor="page" w:x="4673" w:y="942"/>
    </w:pPr>
    <w:rPr>
      <w:w w:val="130"/>
    </w:rPr>
  </w:style>
  <w:style w:type="paragraph" w:customStyle="1" w:styleId="a47">
    <w:name w:val="标准标志"/>
    <w:next w:val="Normal"/>
    <w:qFormat/>
    <w:pPr>
      <w:framePr w:w="2546" w:h="1389" w:hRule="exact" w:hSpace="181" w:vSpace="181" w:wrap="around" w:vAnchor="margin" w:hAnchor="margin" w:x="6522" w:y="398" w:anchorLock="1"/>
      <w:shd w:val="solid" w:color="FFFFFF" w:fill="FFFFFF"/>
      <w:spacing w:line="0" w:lineRule="atLeast"/>
      <w:jc w:val="right"/>
    </w:pPr>
    <w:rPr>
      <w:b/>
      <w:w w:val="170"/>
      <w:sz w:val="96"/>
      <w:szCs w:val="96"/>
      <w:lang w:val="en-US" w:eastAsia="zh-CN" w:bidi="ar-SA"/>
    </w:rPr>
  </w:style>
  <w:style w:type="paragraph" w:customStyle="1" w:styleId="a48">
    <w:name w:val="附录二级无"/>
    <w:basedOn w:val="a44"/>
    <w:pPr>
      <w:spacing w:before="0" w:beforeLines="0" w:after="0" w:afterLines="0"/>
    </w:pPr>
    <w:rPr>
      <w:rFonts w:ascii="宋体" w:eastAsia="宋体"/>
      <w:szCs w:val="21"/>
    </w:rPr>
  </w:style>
  <w:style w:type="paragraph" w:customStyle="1" w:styleId="a49">
    <w:name w:val="注：（正文）"/>
    <w:basedOn w:val="a16"/>
    <w:next w:val="a2"/>
    <w:qFormat/>
    <w:pPr>
      <w:numPr>
        <w:ilvl w:val="0"/>
        <w:numId w:val="12"/>
      </w:numPr>
    </w:pPr>
  </w:style>
  <w:style w:type="paragraph" w:customStyle="1" w:styleId="a50">
    <w:name w:val="附录五级无"/>
    <w:basedOn w:val="a51"/>
    <w:qFormat/>
    <w:pPr>
      <w:tabs>
        <w:tab w:val="clear" w:pos="360"/>
      </w:tabs>
      <w:spacing w:before="0" w:beforeLines="0" w:after="0" w:afterLines="0"/>
    </w:pPr>
    <w:rPr>
      <w:rFonts w:ascii="宋体" w:eastAsia="宋体"/>
      <w:szCs w:val="21"/>
    </w:rPr>
  </w:style>
  <w:style w:type="paragraph" w:customStyle="1" w:styleId="a51">
    <w:name w:val="附录五级条标题"/>
    <w:basedOn w:val="a52"/>
    <w:next w:val="a2"/>
    <w:pPr>
      <w:tabs>
        <w:tab w:val="left" w:pos="360"/>
      </w:tabs>
      <w:outlineLvl w:val="6"/>
    </w:pPr>
  </w:style>
  <w:style w:type="paragraph" w:customStyle="1" w:styleId="a52">
    <w:name w:val="附录四级条标题"/>
    <w:basedOn w:val="a53"/>
    <w:next w:val="a2"/>
    <w:qFormat/>
    <w:pPr>
      <w:tabs>
        <w:tab w:val="left" w:pos="360"/>
      </w:tabs>
      <w:outlineLvl w:val="5"/>
    </w:pPr>
  </w:style>
  <w:style w:type="paragraph" w:customStyle="1" w:styleId="a53">
    <w:name w:val="附录三级条标题"/>
    <w:basedOn w:val="a44"/>
    <w:next w:val="a2"/>
    <w:pPr>
      <w:tabs>
        <w:tab w:val="left" w:pos="360"/>
      </w:tabs>
      <w:outlineLvl w:val="4"/>
    </w:pPr>
  </w:style>
  <w:style w:type="paragraph" w:customStyle="1" w:styleId="a54">
    <w:name w:val="数字编号列项（二级）"/>
    <w:qFormat/>
    <w:pPr>
      <w:numPr>
        <w:ilvl w:val="1"/>
        <w:numId w:val="11"/>
      </w:numPr>
      <w:tabs>
        <w:tab w:val="left" w:pos="1260"/>
      </w:tabs>
      <w:jc w:val="both"/>
    </w:pPr>
    <w:rPr>
      <w:rFonts w:ascii="宋体"/>
      <w:sz w:val="21"/>
      <w:lang w:val="en-US" w:eastAsia="zh-CN" w:bidi="ar-SA"/>
    </w:rPr>
  </w:style>
  <w:style w:type="paragraph" w:customStyle="1" w:styleId="22">
    <w:name w:val="封面标准文稿编辑信息2"/>
    <w:basedOn w:val="a55"/>
    <w:qFormat/>
    <w:pPr>
      <w:framePr w:wrap="around" w:y="4469"/>
    </w:pPr>
  </w:style>
  <w:style w:type="paragraph" w:customStyle="1" w:styleId="a55">
    <w:name w:val="封面标准文稿编辑信息"/>
    <w:basedOn w:val="a56"/>
    <w:pPr>
      <w:framePr w:wrap="around"/>
      <w:spacing w:before="180" w:line="180" w:lineRule="exact"/>
    </w:pPr>
    <w:rPr>
      <w:sz w:val="21"/>
    </w:rPr>
  </w:style>
  <w:style w:type="paragraph" w:customStyle="1" w:styleId="a56">
    <w:name w:val="封面标准文稿类别"/>
    <w:basedOn w:val="a23"/>
    <w:qFormat/>
    <w:pPr>
      <w:framePr w:wrap="around"/>
      <w:spacing w:after="160" w:line="240" w:lineRule="auto"/>
    </w:pPr>
    <w:rPr>
      <w:sz w:val="24"/>
    </w:rPr>
  </w:style>
  <w:style w:type="paragraph" w:customStyle="1" w:styleId="a57">
    <w:name w:val="一级无"/>
    <w:basedOn w:val="a7"/>
    <w:qFormat/>
    <w:pPr>
      <w:spacing w:before="0" w:beforeLines="0" w:after="0" w:afterLines="0"/>
    </w:pPr>
    <w:rPr>
      <w:rFonts w:ascii="宋体" w:eastAsia="宋体"/>
    </w:rPr>
  </w:style>
  <w:style w:type="paragraph" w:customStyle="1" w:styleId="a58">
    <w:name w:val="四级无"/>
    <w:basedOn w:val="a59"/>
    <w:qFormat/>
    <w:pPr>
      <w:spacing w:before="0" w:beforeLines="0" w:after="0" w:afterLines="0"/>
    </w:pPr>
    <w:rPr>
      <w:rFonts w:ascii="宋体" w:eastAsia="宋体"/>
    </w:rPr>
  </w:style>
  <w:style w:type="paragraph" w:customStyle="1" w:styleId="a59">
    <w:name w:val="四级条标题"/>
    <w:basedOn w:val="a34"/>
    <w:next w:val="a2"/>
    <w:qFormat/>
    <w:pPr>
      <w:numPr>
        <w:ilvl w:val="4"/>
        <w:numId w:val="3"/>
      </w:numPr>
      <w:outlineLvl w:val="5"/>
    </w:pPr>
  </w:style>
  <w:style w:type="paragraph" w:customStyle="1" w:styleId="a60">
    <w:name w:val="三级无"/>
    <w:basedOn w:val="a34"/>
    <w:qFormat/>
    <w:pPr>
      <w:spacing w:before="0" w:beforeLines="0" w:after="0" w:afterLines="0"/>
    </w:pPr>
    <w:rPr>
      <w:rFonts w:ascii="宋体" w:eastAsia="宋体"/>
    </w:rPr>
  </w:style>
  <w:style w:type="paragraph" w:customStyle="1" w:styleId="a61">
    <w:name w:val="示例后文字"/>
    <w:basedOn w:val="a2"/>
    <w:next w:val="a2"/>
    <w:qFormat/>
    <w:pPr>
      <w:tabs>
        <w:tab w:val="center" w:pos="4201"/>
        <w:tab w:val="right" w:leader="dot" w:pos="9298"/>
      </w:tabs>
      <w:ind w:firstLine="360"/>
    </w:pPr>
    <w:rPr>
      <w:sz w:val="18"/>
    </w:rPr>
  </w:style>
  <w:style w:type="paragraph" w:customStyle="1" w:styleId="a62">
    <w:name w:val="编号列项（三级）"/>
    <w:qFormat/>
    <w:rPr>
      <w:rFonts w:ascii="宋体"/>
      <w:sz w:val="21"/>
      <w:lang w:val="en-US" w:eastAsia="zh-CN" w:bidi="ar-SA"/>
    </w:rPr>
  </w:style>
  <w:style w:type="paragraph" w:customStyle="1" w:styleId="23">
    <w:name w:val="封面一致性程度标识2"/>
    <w:basedOn w:val="a23"/>
    <w:qFormat/>
    <w:pPr>
      <w:framePr w:wrap="around" w:y="4469"/>
    </w:pPr>
  </w:style>
  <w:style w:type="paragraph" w:customStyle="1" w:styleId="a63">
    <w:name w:val="目次、索引正文"/>
    <w:pPr>
      <w:spacing w:line="320" w:lineRule="exact"/>
      <w:jc w:val="both"/>
    </w:pPr>
    <w:rPr>
      <w:rFonts w:ascii="宋体"/>
      <w:sz w:val="21"/>
      <w:lang w:val="en-US" w:eastAsia="zh-CN" w:bidi="ar-SA"/>
    </w:rPr>
  </w:style>
  <w:style w:type="paragraph" w:customStyle="1" w:styleId="a64">
    <w:name w:val="标准称谓"/>
    <w:next w:val="Normal"/>
    <w:qFormat/>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b/>
      <w:bCs/>
      <w:spacing w:val="20"/>
      <w:w w:val="148"/>
      <w:sz w:val="48"/>
      <w:lang w:val="en-US" w:eastAsia="zh-CN" w:bidi="ar-SA"/>
    </w:rPr>
  </w:style>
  <w:style w:type="paragraph" w:customStyle="1" w:styleId="a65">
    <w:name w:val="二级无"/>
    <w:basedOn w:val="a26"/>
    <w:qFormat/>
    <w:pPr>
      <w:spacing w:before="0" w:beforeLines="0" w:after="0" w:afterLines="0"/>
    </w:pPr>
    <w:rPr>
      <w:rFonts w:ascii="宋体" w:eastAsia="宋体"/>
    </w:rPr>
  </w:style>
  <w:style w:type="paragraph" w:customStyle="1" w:styleId="a66">
    <w:name w:val="其他标准称谓"/>
    <w:next w:val="Normal"/>
    <w:pPr>
      <w:framePr w:hSpace="181" w:vSpace="181" w:wrap="around" w:vAnchor="page" w:hAnchor="page" w:x="1419" w:y="2286" w:anchorLock="1"/>
      <w:spacing w:line="0" w:lineRule="atLeast"/>
      <w:jc w:val="distribute"/>
    </w:pPr>
    <w:rPr>
      <w:rFonts w:ascii="黑体" w:eastAsia="黑体" w:hAnsi="宋体"/>
      <w:spacing w:val="-40"/>
      <w:sz w:val="48"/>
      <w:szCs w:val="52"/>
      <w:lang w:val="en-US" w:eastAsia="zh-CN" w:bidi="ar-SA"/>
    </w:rPr>
  </w:style>
  <w:style w:type="paragraph" w:customStyle="1" w:styleId="91">
    <w:name w:val="目录 91"/>
    <w:basedOn w:val="Normal"/>
    <w:next w:val="Normal"/>
    <w:semiHidden/>
    <w:qFormat/>
    <w:pPr>
      <w:ind w:left="1470"/>
      <w:jc w:val="left"/>
    </w:pPr>
    <w:rPr>
      <w:sz w:val="20"/>
      <w:szCs w:val="20"/>
    </w:rPr>
  </w:style>
  <w:style w:type="paragraph" w:customStyle="1" w:styleId="a67">
    <w:name w:val="标准书脚_偶数页"/>
    <w:qFormat/>
    <w:pPr>
      <w:spacing w:before="120"/>
      <w:ind w:left="221"/>
    </w:pPr>
    <w:rPr>
      <w:rFonts w:ascii="宋体"/>
      <w:sz w:val="18"/>
      <w:szCs w:val="18"/>
      <w:lang w:val="en-US" w:eastAsia="zh-CN" w:bidi="ar-SA"/>
    </w:rPr>
  </w:style>
  <w:style w:type="paragraph" w:customStyle="1" w:styleId="a68">
    <w:name w:val="图标脚注说明"/>
    <w:basedOn w:val="a2"/>
    <w:qFormat/>
    <w:pPr>
      <w:tabs>
        <w:tab w:val="center" w:pos="4201"/>
        <w:tab w:val="right" w:leader="dot" w:pos="9298"/>
      </w:tabs>
      <w:ind w:left="840" w:hanging="420" w:firstLineChars="0"/>
    </w:pPr>
    <w:rPr>
      <w:sz w:val="18"/>
      <w:szCs w:val="18"/>
    </w:rPr>
  </w:style>
  <w:style w:type="paragraph" w:customStyle="1" w:styleId="a69">
    <w:name w:val="封面标准代替信息"/>
    <w:qFormat/>
    <w:pPr>
      <w:framePr w:w="9140" w:h="1242" w:hRule="exact" w:hSpace="284" w:wrap="around" w:vAnchor="page" w:hAnchor="page" w:x="1645" w:y="2910" w:anchorLock="1"/>
      <w:spacing w:before="57" w:line="280" w:lineRule="exact"/>
      <w:jc w:val="right"/>
    </w:pPr>
    <w:rPr>
      <w:rFonts w:ascii="宋体"/>
      <w:sz w:val="21"/>
      <w:szCs w:val="21"/>
      <w:lang w:val="en-US" w:eastAsia="zh-CN" w:bidi="ar-SA"/>
    </w:rPr>
  </w:style>
  <w:style w:type="paragraph" w:customStyle="1" w:styleId="a70">
    <w:name w:val="附录三级无"/>
    <w:basedOn w:val="a53"/>
    <w:qFormat/>
    <w:pPr>
      <w:tabs>
        <w:tab w:val="clear" w:pos="360"/>
      </w:tabs>
      <w:spacing w:before="0" w:beforeLines="0" w:after="0" w:afterLines="0"/>
    </w:pPr>
    <w:rPr>
      <w:rFonts w:ascii="宋体" w:eastAsia="宋体"/>
      <w:szCs w:val="21"/>
    </w:rPr>
  </w:style>
  <w:style w:type="paragraph" w:customStyle="1" w:styleId="110">
    <w:name w:val="目录 11"/>
    <w:basedOn w:val="Normal"/>
    <w:next w:val="Normal"/>
    <w:uiPriority w:val="39"/>
    <w:qFormat/>
    <w:pPr>
      <w:tabs>
        <w:tab w:val="right" w:leader="dot" w:pos="9241"/>
      </w:tabs>
      <w:spacing w:before="25" w:beforeLines="25" w:after="25" w:afterLines="25"/>
      <w:jc w:val="left"/>
    </w:pPr>
    <w:rPr>
      <w:rFonts w:ascii="宋体"/>
      <w:szCs w:val="21"/>
    </w:rPr>
  </w:style>
  <w:style w:type="paragraph" w:customStyle="1" w:styleId="31">
    <w:name w:val="目录 31"/>
    <w:basedOn w:val="Normal"/>
    <w:next w:val="Normal"/>
    <w:uiPriority w:val="39"/>
    <w:qFormat/>
    <w:pPr>
      <w:tabs>
        <w:tab w:val="right" w:leader="dot" w:pos="9241"/>
      </w:tabs>
      <w:ind w:firstLine="102" w:firstLineChars="100"/>
      <w:jc w:val="left"/>
    </w:pPr>
    <w:rPr>
      <w:rFonts w:ascii="宋体"/>
      <w:szCs w:val="21"/>
    </w:rPr>
  </w:style>
  <w:style w:type="paragraph" w:customStyle="1" w:styleId="a71">
    <w:name w:val="终结线"/>
    <w:basedOn w:val="Normal"/>
    <w:qFormat/>
    <w:pPr>
      <w:framePr w:hSpace="181" w:vSpace="181" w:wrap="around" w:vAnchor="text" w:hAnchor="margin" w:xAlign="center" w:y="285"/>
    </w:pPr>
  </w:style>
  <w:style w:type="paragraph" w:customStyle="1" w:styleId="12">
    <w:name w:val="封面标准号1"/>
    <w:qFormat/>
    <w:pPr>
      <w:widowControl w:val="0"/>
      <w:kinsoku w:val="0"/>
      <w:overflowPunct w:val="0"/>
      <w:autoSpaceDE w:val="0"/>
      <w:autoSpaceDN w:val="0"/>
      <w:spacing w:before="308"/>
      <w:jc w:val="right"/>
      <w:textAlignment w:val="center"/>
    </w:pPr>
    <w:rPr>
      <w:sz w:val="28"/>
      <w:lang w:val="en-US" w:eastAsia="zh-CN" w:bidi="ar-SA"/>
    </w:rPr>
  </w:style>
  <w:style w:type="paragraph" w:styleId="ListParagraph">
    <w:name w:val="List Paragraph"/>
    <w:basedOn w:val="Normal"/>
    <w:uiPriority w:val="34"/>
    <w:qFormat/>
    <w:pPr>
      <w:ind w:firstLine="420" w:firstLineChars="200"/>
    </w:pPr>
  </w:style>
  <w:style w:type="paragraph" w:customStyle="1" w:styleId="24">
    <w:name w:val="封面标准英文名称2"/>
    <w:basedOn w:val="a24"/>
    <w:qFormat/>
    <w:pPr>
      <w:framePr w:wrap="around" w:y="4469"/>
    </w:pPr>
  </w:style>
  <w:style w:type="paragraph" w:customStyle="1" w:styleId="a72">
    <w:name w:val="列项●（二级）"/>
    <w:qFormat/>
    <w:pPr>
      <w:numPr>
        <w:ilvl w:val="1"/>
        <w:numId w:val="9"/>
      </w:numPr>
      <w:tabs>
        <w:tab w:val="left" w:pos="360"/>
        <w:tab w:val="clear" w:pos="760"/>
        <w:tab w:val="left" w:pos="840"/>
      </w:tabs>
      <w:ind w:left="0" w:firstLine="0"/>
      <w:jc w:val="both"/>
    </w:pPr>
    <w:rPr>
      <w:rFonts w:ascii="宋体"/>
      <w:sz w:val="21"/>
      <w:lang w:val="en-US" w:eastAsia="zh-CN" w:bidi="ar-SA"/>
    </w:rPr>
  </w:style>
  <w:style w:type="paragraph" w:customStyle="1" w:styleId="a73">
    <w:name w:val="列项◆（三级）"/>
    <w:basedOn w:val="Normal"/>
    <w:qFormat/>
    <w:pPr>
      <w:numPr>
        <w:ilvl w:val="2"/>
        <w:numId w:val="9"/>
      </w:numPr>
      <w:tabs>
        <w:tab w:val="left" w:pos="1678"/>
      </w:tabs>
    </w:pPr>
    <w:rPr>
      <w:rFonts w:ascii="宋体"/>
      <w:szCs w:val="21"/>
    </w:rPr>
  </w:style>
  <w:style w:type="paragraph" w:customStyle="1" w:styleId="a74">
    <w:name w:val="五级条标题"/>
    <w:basedOn w:val="a59"/>
    <w:next w:val="a2"/>
    <w:qFormat/>
    <w:pPr>
      <w:numPr>
        <w:ilvl w:val="5"/>
      </w:numPr>
      <w:outlineLvl w:val="6"/>
    </w:pPr>
  </w:style>
  <w:style w:type="paragraph" w:customStyle="1" w:styleId="a75">
    <w:name w:val="标准书眉_偶数页"/>
    <w:basedOn w:val="a42"/>
    <w:next w:val="Normal"/>
    <w:qFormat/>
    <w:pPr>
      <w:tabs>
        <w:tab w:val="center" w:pos="4154"/>
        <w:tab w:val="right" w:pos="8306"/>
      </w:tabs>
      <w:jc w:val="left"/>
    </w:pPr>
  </w:style>
  <w:style w:type="paragraph" w:customStyle="1" w:styleId="a76">
    <w:name w:val="附录字母编号列项（一级）"/>
    <w:qFormat/>
    <w:pPr>
      <w:numPr>
        <w:ilvl w:val="0"/>
        <w:numId w:val="13"/>
      </w:numPr>
      <w:tabs>
        <w:tab w:val="left" w:pos="839"/>
      </w:tabs>
    </w:pPr>
    <w:rPr>
      <w:rFonts w:ascii="宋体"/>
      <w:sz w:val="21"/>
      <w:lang w:val="en-US" w:eastAsia="zh-CN" w:bidi="ar-SA"/>
    </w:rPr>
  </w:style>
  <w:style w:type="paragraph" w:customStyle="1" w:styleId="25">
    <w:name w:val="封面标准名称2"/>
    <w:basedOn w:val="a22"/>
    <w:qFormat/>
    <w:pPr>
      <w:framePr w:wrap="around" w:y="4469"/>
      <w:spacing w:before="630" w:beforeLines="630"/>
    </w:pPr>
  </w:style>
  <w:style w:type="paragraph" w:customStyle="1" w:styleId="a77">
    <w:name w:val="附录图标号"/>
    <w:basedOn w:val="Normal"/>
    <w:qFormat/>
    <w:pPr>
      <w:keepNext/>
      <w:pageBreakBefore/>
      <w:widowControl/>
      <w:numPr>
        <w:ilvl w:val="0"/>
        <w:numId w:val="7"/>
      </w:numPr>
      <w:spacing w:line="14" w:lineRule="exact"/>
      <w:ind w:left="0" w:firstLine="363"/>
      <w:jc w:val="center"/>
      <w:outlineLvl w:val="0"/>
    </w:pPr>
    <w:rPr>
      <w:color w:val="FFFFFF"/>
    </w:rPr>
  </w:style>
  <w:style w:type="paragraph" w:customStyle="1" w:styleId="a78">
    <w:name w:val="目次、标准名称标题"/>
    <w:basedOn w:val="a79"/>
    <w:next w:val="a2"/>
    <w:qFormat/>
    <w:pPr>
      <w:spacing w:line="460" w:lineRule="exact"/>
    </w:pPr>
  </w:style>
  <w:style w:type="paragraph" w:customStyle="1" w:styleId="a79">
    <w:name w:val="前言、引言标题"/>
    <w:next w:val="Normal"/>
    <w:qFormat/>
    <w:pPr>
      <w:keepNext/>
      <w:pageBreakBefore/>
      <w:shd w:val="clear" w:color="FFFFFF" w:fill="FFFFFF"/>
      <w:spacing w:before="640" w:after="560"/>
      <w:jc w:val="center"/>
      <w:outlineLvl w:val="0"/>
    </w:pPr>
    <w:rPr>
      <w:rFonts w:ascii="黑体" w:eastAsia="黑体"/>
      <w:sz w:val="32"/>
      <w:lang w:val="en-US" w:eastAsia="zh-CN" w:bidi="ar-SA"/>
    </w:rPr>
  </w:style>
  <w:style w:type="paragraph" w:customStyle="1" w:styleId="a80">
    <w:name w:val="附录表标题"/>
    <w:basedOn w:val="Normal"/>
    <w:next w:val="a2"/>
    <w:pPr>
      <w:numPr>
        <w:ilvl w:val="1"/>
        <w:numId w:val="14"/>
      </w:numPr>
      <w:tabs>
        <w:tab w:val="left" w:pos="180"/>
      </w:tabs>
      <w:spacing w:before="50" w:beforeLines="50" w:after="50" w:afterLines="50"/>
      <w:ind w:left="0" w:firstLine="0"/>
      <w:jc w:val="center"/>
    </w:pPr>
    <w:rPr>
      <w:rFonts w:ascii="黑体" w:eastAsia="黑体"/>
      <w:szCs w:val="21"/>
    </w:rPr>
  </w:style>
  <w:style w:type="paragraph" w:customStyle="1" w:styleId="a81">
    <w:name w:val="五级无"/>
    <w:basedOn w:val="a74"/>
    <w:qFormat/>
    <w:pPr>
      <w:spacing w:before="0" w:beforeLines="0" w:after="0" w:afterLines="0"/>
    </w:pPr>
    <w:rPr>
      <w:rFonts w:ascii="宋体" w:eastAsia="宋体"/>
    </w:rPr>
  </w:style>
  <w:style w:type="paragraph" w:customStyle="1" w:styleId="26">
    <w:name w:val="封面标准号2"/>
    <w:qFormat/>
    <w:pPr>
      <w:framePr w:w="9140" w:h="1242" w:hRule="exact" w:hSpace="284" w:wrap="around" w:vAnchor="page" w:hAnchor="page" w:x="1645" w:y="2910" w:anchorLock="1"/>
      <w:spacing w:before="357" w:line="280" w:lineRule="exact"/>
      <w:jc w:val="right"/>
    </w:pPr>
    <w:rPr>
      <w:rFonts w:ascii="黑体" w:eastAsia="黑体"/>
      <w:sz w:val="28"/>
      <w:szCs w:val="28"/>
      <w:lang w:val="en-US" w:eastAsia="zh-CN" w:bidi="ar-SA"/>
    </w:rPr>
  </w:style>
  <w:style w:type="paragraph" w:customStyle="1" w:styleId="a82">
    <w:name w:val="文献分类号"/>
    <w:pPr>
      <w:framePr w:hSpace="180" w:vSpace="180" w:wrap="around" w:vAnchor="margin" w:hAnchor="margin" w:y="1" w:anchorLock="1"/>
      <w:widowControl w:val="0"/>
      <w:textAlignment w:val="center"/>
    </w:pPr>
    <w:rPr>
      <w:rFonts w:ascii="黑体" w:eastAsia="黑体"/>
      <w:sz w:val="21"/>
      <w:szCs w:val="21"/>
      <w:lang w:val="en-US" w:eastAsia="zh-CN" w:bidi="ar-SA"/>
    </w:rPr>
  </w:style>
  <w:style w:type="paragraph" w:customStyle="1" w:styleId="27">
    <w:name w:val="封面标准文稿类别2"/>
    <w:basedOn w:val="a56"/>
    <w:pPr>
      <w:framePr w:wrap="around" w:y="4469"/>
    </w:pPr>
  </w:style>
  <w:style w:type="paragraph" w:customStyle="1" w:styleId="a83">
    <w:name w:val="示例内容"/>
    <w:qFormat/>
    <w:pPr>
      <w:ind w:firstLine="200" w:firstLineChars="200"/>
    </w:pPr>
    <w:rPr>
      <w:rFonts w:ascii="宋体"/>
      <w:sz w:val="18"/>
      <w:szCs w:val="18"/>
      <w:lang w:val="en-US" w:eastAsia="zh-CN" w:bidi="ar-SA"/>
    </w:rPr>
  </w:style>
  <w:style w:type="paragraph" w:customStyle="1" w:styleId="a84">
    <w:name w:val="附录四级无"/>
    <w:basedOn w:val="a52"/>
    <w:qFormat/>
    <w:pPr>
      <w:tabs>
        <w:tab w:val="clear" w:pos="360"/>
      </w:tabs>
      <w:spacing w:before="0" w:beforeLines="0" w:after="0" w:afterLines="0"/>
    </w:pPr>
    <w:rPr>
      <w:rFonts w:ascii="宋体" w:eastAsia="宋体"/>
      <w:szCs w:val="21"/>
    </w:rPr>
  </w:style>
  <w:style w:type="paragraph" w:customStyle="1" w:styleId="a85">
    <w:name w:val="示例"/>
    <w:next w:val="a83"/>
    <w:qFormat/>
    <w:pPr>
      <w:widowControl w:val="0"/>
      <w:numPr>
        <w:ilvl w:val="0"/>
        <w:numId w:val="15"/>
      </w:numPr>
      <w:jc w:val="both"/>
    </w:pPr>
    <w:rPr>
      <w:rFonts w:ascii="宋体"/>
      <w:sz w:val="18"/>
      <w:szCs w:val="18"/>
      <w:lang w:val="en-US" w:eastAsia="zh-CN" w:bidi="ar-SA"/>
    </w:rPr>
  </w:style>
  <w:style w:type="paragraph" w:customStyle="1" w:styleId="a86">
    <w:name w:val="正文表标题"/>
    <w:next w:val="a2"/>
    <w:pPr>
      <w:numPr>
        <w:ilvl w:val="0"/>
        <w:numId w:val="16"/>
      </w:numPr>
      <w:spacing w:before="156" w:beforeLines="50" w:after="156" w:afterLines="50"/>
      <w:jc w:val="center"/>
    </w:pPr>
    <w:rPr>
      <w:rFonts w:ascii="黑体" w:eastAsia="黑体"/>
      <w:sz w:val="21"/>
      <w:lang w:val="en-US" w:eastAsia="zh-CN" w:bidi="ar-SA"/>
    </w:rPr>
  </w:style>
  <w:style w:type="paragraph" w:customStyle="1" w:styleId="a87">
    <w:name w:val="附录表标号"/>
    <w:basedOn w:val="Normal"/>
    <w:next w:val="a2"/>
    <w:pPr>
      <w:numPr>
        <w:ilvl w:val="0"/>
        <w:numId w:val="14"/>
      </w:numPr>
      <w:tabs>
        <w:tab w:val="clear" w:pos="0"/>
      </w:tabs>
      <w:spacing w:line="14" w:lineRule="exact"/>
      <w:ind w:left="811" w:hanging="448"/>
      <w:jc w:val="center"/>
      <w:outlineLvl w:val="0"/>
    </w:pPr>
    <w:rPr>
      <w:color w:val="FFFFFF"/>
    </w:rPr>
  </w:style>
  <w:style w:type="paragraph" w:customStyle="1" w:styleId="a88">
    <w:name w:val="附录公式编号制表符"/>
    <w:basedOn w:val="Normal"/>
    <w:next w:val="a2"/>
    <w:qFormat/>
    <w:pPr>
      <w:widowControl/>
      <w:tabs>
        <w:tab w:val="center" w:pos="4201"/>
        <w:tab w:val="right" w:leader="dot" w:pos="9298"/>
      </w:tabs>
      <w:autoSpaceDE w:val="0"/>
      <w:autoSpaceDN w:val="0"/>
    </w:pPr>
    <w:rPr>
      <w:rFonts w:ascii="宋体"/>
      <w:kern w:val="0"/>
      <w:szCs w:val="20"/>
    </w:rPr>
  </w:style>
  <w:style w:type="paragraph" w:customStyle="1" w:styleId="a89">
    <w:name w:val="参考文献、索引标题"/>
    <w:basedOn w:val="Normal"/>
    <w:next w:val="a2"/>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a90">
    <w:name w:val="附录数字编号列项（二级）"/>
    <w:qFormat/>
    <w:pPr>
      <w:numPr>
        <w:ilvl w:val="1"/>
        <w:numId w:val="13"/>
      </w:numPr>
      <w:tabs>
        <w:tab w:val="left" w:pos="840"/>
      </w:tabs>
    </w:pPr>
    <w:rPr>
      <w:rFonts w:ascii="宋体"/>
      <w:sz w:val="21"/>
      <w:lang w:val="en-US" w:eastAsia="zh-CN" w:bidi="ar-SA"/>
    </w:rPr>
  </w:style>
  <w:style w:type="paragraph" w:customStyle="1" w:styleId="Default">
    <w:name w:val="Default"/>
    <w:qFormat/>
    <w:pPr>
      <w:widowControl w:val="0"/>
      <w:autoSpaceDE w:val="0"/>
      <w:autoSpaceDN w:val="0"/>
      <w:adjustRightInd w:val="0"/>
    </w:pPr>
    <w:rPr>
      <w:rFonts w:ascii="Cambria" w:eastAsia="等线" w:hAnsi="Cambria" w:cs="Cambria"/>
      <w:color w:val="000000"/>
      <w:sz w:val="24"/>
      <w:szCs w:val="24"/>
      <w:lang w:val="en-US" w:eastAsia="zh-CN" w:bidi="ar-SA"/>
    </w:rPr>
  </w:style>
  <w:style w:type="paragraph" w:customStyle="1" w:styleId="a91">
    <w:name w:val="列项说明"/>
    <w:basedOn w:val="Normal"/>
    <w:qFormat/>
    <w:pPr>
      <w:adjustRightInd w:val="0"/>
      <w:spacing w:line="320" w:lineRule="exact"/>
      <w:ind w:left="400" w:hanging="200" w:leftChars="200" w:hangingChars="200"/>
      <w:jc w:val="left"/>
      <w:textAlignment w:val="baseline"/>
    </w:pPr>
    <w:rPr>
      <w:rFonts w:ascii="宋体"/>
      <w:kern w:val="0"/>
      <w:szCs w:val="20"/>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uiPriority w:val="99"/>
    <w:unhideWhenUsed/>
    <w:rPr>
      <w:kern w:val="2"/>
      <w:sz w:val="21"/>
      <w:szCs w:val="24"/>
      <w:lang w:val="en-US" w:eastAsia="zh-CN" w:bidi="ar-SA"/>
    </w:rPr>
  </w:style>
  <w:style w:type="paragraph" w:customStyle="1" w:styleId="a92">
    <w:name w:val="标准文件_字母编号列项（一级）"/>
    <w:qFormat/>
    <w:pPr>
      <w:numPr>
        <w:ilvl w:val="0"/>
        <w:numId w:val="11"/>
      </w:numPr>
      <w:tabs>
        <w:tab w:val="left" w:pos="840"/>
      </w:tabs>
      <w:jc w:val="both"/>
    </w:pPr>
    <w:rPr>
      <w:rFonts w:ascii="宋体"/>
      <w:sz w:val="21"/>
      <w:lang w:val="en-US" w:eastAsia="zh-CN" w:bidi="ar-SA"/>
    </w:rPr>
  </w:style>
  <w:style w:type="character" w:customStyle="1" w:styleId="14">
    <w:name w:val="标题 1 字符"/>
    <w:link w:val="Heading1"/>
    <w:uiPriority w:val="9"/>
    <w:qFormat/>
    <w:rsid w:val="00AD6714"/>
    <w:rPr>
      <w:b/>
      <w:bCs/>
      <w:kern w:val="44"/>
      <w:sz w:val="44"/>
      <w:szCs w:val="44"/>
    </w:rPr>
  </w:style>
  <w:style w:type="character" w:customStyle="1" w:styleId="28">
    <w:name w:val="标题 2 字符"/>
    <w:link w:val="Heading2"/>
    <w:uiPriority w:val="9"/>
    <w:rsid w:val="00AD6714"/>
    <w:rPr>
      <w:rFonts w:ascii="等线 Light" w:eastAsia="等线 Light" w:hAnsi="等线 Light"/>
      <w:b/>
      <w:bCs/>
      <w:kern w:val="2"/>
      <w:sz w:val="32"/>
      <w:szCs w:val="32"/>
    </w:rPr>
  </w:style>
  <w:style w:type="character" w:customStyle="1" w:styleId="3">
    <w:name w:val="标题 3 字符"/>
    <w:link w:val="Heading3"/>
    <w:rsid w:val="00AD6714"/>
    <w:rPr>
      <w:b/>
      <w:bCs/>
      <w:kern w:val="2"/>
      <w:sz w:val="32"/>
      <w:szCs w:val="32"/>
    </w:rPr>
  </w:style>
  <w:style w:type="character" w:customStyle="1" w:styleId="4">
    <w:name w:val="标题 4 字符"/>
    <w:link w:val="Heading4"/>
    <w:uiPriority w:val="9"/>
    <w:rsid w:val="00AD6714"/>
    <w:rPr>
      <w:rFonts w:ascii="DejaVu Sans" w:eastAsia="方正黑体_GBK" w:hAnsi="DejaVu Sans"/>
      <w:b/>
      <w:kern w:val="2"/>
      <w:sz w:val="28"/>
      <w:szCs w:val="24"/>
    </w:rPr>
  </w:style>
  <w:style w:type="paragraph" w:styleId="NormalWeb">
    <w:name w:val="Normal (Web)"/>
    <w:basedOn w:val="Normal"/>
    <w:uiPriority w:val="99"/>
    <w:unhideWhenUsed/>
    <w:qFormat/>
    <w:rsid w:val="00AD6714"/>
    <w:pPr>
      <w:spacing w:beforeAutospacing="1" w:afterAutospacing="1" w:line="360" w:lineRule="auto"/>
      <w:ind w:firstLine="200" w:firstLineChars="200"/>
      <w:jc w:val="left"/>
    </w:pPr>
    <w:rPr>
      <w:kern w:val="0"/>
      <w:sz w:val="24"/>
    </w:rPr>
  </w:style>
  <w:style w:type="character" w:customStyle="1" w:styleId="a93">
    <w:name w:val="页眉 字符"/>
    <w:link w:val="Header"/>
    <w:uiPriority w:val="99"/>
    <w:qFormat/>
    <w:rsid w:val="00AD6714"/>
    <w:rPr>
      <w:kern w:val="2"/>
      <w:sz w:val="18"/>
      <w:szCs w:val="18"/>
    </w:rPr>
  </w:style>
  <w:style w:type="character" w:customStyle="1" w:styleId="a94">
    <w:name w:val="页脚 字符"/>
    <w:link w:val="Footer"/>
    <w:uiPriority w:val="99"/>
    <w:qFormat/>
    <w:rsid w:val="00AD6714"/>
    <w:rPr>
      <w:kern w:val="2"/>
      <w:sz w:val="18"/>
      <w:szCs w:val="18"/>
    </w:rPr>
  </w:style>
  <w:style w:type="paragraph" w:customStyle="1" w:styleId="TOC10">
    <w:name w:val="TOC 标题1"/>
    <w:basedOn w:val="Heading1"/>
    <w:next w:val="Normal"/>
    <w:uiPriority w:val="39"/>
    <w:unhideWhenUsed/>
    <w:qFormat/>
    <w:rsid w:val="00AD6714"/>
    <w:pPr>
      <w:widowControl/>
      <w:spacing w:before="240" w:after="0" w:line="259" w:lineRule="auto"/>
      <w:ind w:firstLine="0" w:firstLineChars="0"/>
      <w:jc w:val="left"/>
      <w:outlineLvl w:val="9"/>
    </w:pPr>
    <w:rPr>
      <w:rFonts w:ascii="等线 Light" w:eastAsia="等线 Light" w:hAnsi="等线 Light" w:cs="Times New Roman"/>
      <w:b w:val="0"/>
      <w:bCs w:val="0"/>
      <w:color w:val="2F5496"/>
      <w:kern w:val="0"/>
      <w:sz w:val="32"/>
      <w:szCs w:val="32"/>
    </w:rPr>
  </w:style>
  <w:style w:type="paragraph" w:customStyle="1" w:styleId="15">
    <w:name w:val="列表段落1"/>
    <w:basedOn w:val="Normal"/>
    <w:uiPriority w:val="34"/>
    <w:qFormat/>
    <w:rsid w:val="00AD6714"/>
    <w:pPr>
      <w:spacing w:line="360" w:lineRule="auto"/>
      <w:ind w:firstLine="420" w:firstLineChars="200"/>
    </w:pPr>
  </w:style>
  <w:style w:type="paragraph" w:customStyle="1" w:styleId="a95">
    <w:name w:val="标准文件_段"/>
    <w:qFormat/>
    <w:rsid w:val="00AD6714"/>
    <w:pPr>
      <w:autoSpaceDE w:val="0"/>
      <w:autoSpaceDN w:val="0"/>
      <w:ind w:firstLine="200" w:firstLineChars="200"/>
      <w:jc w:val="both"/>
    </w:pPr>
    <w:rPr>
      <w:rFonts w:ascii="宋体"/>
      <w:sz w:val="21"/>
      <w:lang w:val="en-US" w:eastAsia="zh-CN" w:bidi="ar-SA"/>
    </w:rPr>
  </w:style>
  <w:style w:type="character" w:customStyle="1" w:styleId="Char2">
    <w:name w:val="标准文件_段 Char"/>
    <w:qFormat/>
    <w:rsid w:val="00AD6714"/>
    <w:rPr>
      <w:rFonts w:ascii="宋体" w:eastAsia="宋体" w:hAnsi="Times New Roman" w:cs="宋体" w:hint="eastAsia"/>
      <w:sz w:val="21"/>
    </w:rPr>
  </w:style>
  <w:style w:type="paragraph" w:customStyle="1" w:styleId="a96">
    <w:name w:val="标准文件_一级项"/>
    <w:qFormat/>
    <w:rsid w:val="00AD6714"/>
    <w:pPr>
      <w:tabs>
        <w:tab w:val="left" w:pos="851"/>
      </w:tabs>
      <w:ind w:left="851" w:hanging="426"/>
    </w:pPr>
    <w:rPr>
      <w:rFonts w:ascii="宋体"/>
      <w:sz w:val="21"/>
      <w:lang w:val="en-US" w:eastAsia="zh-CN" w:bidi="ar-SA"/>
    </w:rPr>
  </w:style>
  <w:style w:type="paragraph" w:customStyle="1" w:styleId="WPSOffice1">
    <w:name w:val="WPSOffice手动目录 1"/>
    <w:qFormat/>
    <w:rsid w:val="00AD6714"/>
    <w:rPr>
      <w:lang w:val="en-US" w:eastAsia="zh-CN" w:bidi="ar-SA"/>
    </w:r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customizations.xml.rels><?xml version="1.0" encoding="utf-8" standalone="yes"?><Relationships xmlns="http://schemas.openxmlformats.org/package/2006/relationships"><Relationship Id="rId1" Type="http://schemas.microsoft.com/office/2006/relationships/attachedToolbars" Target="attachedToolbars.bin" /></Relationship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hyperlink" Target="https://std.samr.gov.cn/search/orgDetailView?tcCode=TC114SC33" TargetMode="External" /><Relationship Id="rId24" Type="http://schemas.openxmlformats.org/officeDocument/2006/relationships/hyperlink" Target="https://d.book118.com/178106045066006032" TargetMode="External" /><Relationship Id="rId25" Type="http://schemas.openxmlformats.org/officeDocument/2006/relationships/header" Target="header9.xml" /><Relationship Id="rId26" Type="http://schemas.openxmlformats.org/officeDocument/2006/relationships/footer" Target="footer11.xml" /><Relationship Id="rId27" Type="http://schemas.openxmlformats.org/officeDocument/2006/relationships/footer" Target="footer12.xml" /><Relationship Id="rId28" Type="http://schemas.microsoft.com/office/2006/relationships/keyMapCustomizations" Target="customizations.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2601</Words>
  <Characters>14826</Characters>
  <Application>Microsoft Office Word</Application>
  <DocSecurity>0</DocSecurity>
  <Lines>123</Lines>
  <Paragraphs>34</Paragraphs>
  <ScaleCrop>false</ScaleCrop>
  <Company>zle</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honglong zhu</cp:lastModifiedBy>
  <cp:revision>2</cp:revision>
  <cp:lastPrinted>2020-02-18T07:38:00Z</cp:lastPrinted>
  <dcterms:created xsi:type="dcterms:W3CDTF">2023-03-09T06:31:00Z</dcterms:created>
  <dcterms:modified xsi:type="dcterms:W3CDTF">2024-01-30T06:25:00Z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A04C16937E884F809A63C30ACD236E35</vt:lpwstr>
  </property>
  <property fmtid="{D5CDD505-2E9C-101B-9397-08002B2CF9AE}" pid="3" name="KSOProductBuildVer">
    <vt:lpwstr>2052-11.8.2.11718</vt:lpwstr>
  </property>
</Properties>
</file>