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2023年临沂职业学院高职单招（数学／语文／英语）历年试题库含答案解析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马致远的《天净沙·秋思》最突出的艺术特色是（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A.设景抒情、时空跳跃</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B.设景抒情、多用比兴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C.借景抒情、寓情于景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D.借景抒情、多用比兴</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下列最能体现《郑伯克段于鄢》文章主旨的语句是（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A.都城过百雉，国之害也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B.蔓草犹不可除，况君之宠弟乎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C.多行不义必自毙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D.国不堪贰</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p>
    <w:p w:rsidR="00327933" w:rsidRPr="00730BBD" w:rsidP="00386F93">
      <w:pPr>
        <w:pStyle w:val="Normal2"/>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《灯下漫笔》一文向青年所阐明的最重要的道理是（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A.如何读书</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B.改造国民性</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C.如何绘画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D.创建新时代</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下列词句中，运用了比拟手法的是（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A.遥岑远目</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B.献愁供恨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C.玉簪螺髻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D.求田问舍</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 xml:space="preserve"> 下列句子中，“乃”字可译为“才”的是（　　） </w:t>
      </w:r>
      <w:r>
        <w:rPr>
          <w:rFonts w:ascii="黑体" w:eastAsia="黑体" w:hAnsi="黑体" w:cs="Times New Roman"/>
          <w:sz w:val="24"/>
          <w:lang w:val="en-US" w:eastAsia="zh-CN" w:bidi="ar-SA"/>
        </w:rPr>
        <w:br/>
      </w:r>
      <w:r>
        <w:drawing>
          <wp:inline distT="0" distB="0" distL="0" distR="0">
            <wp:extent cx="1924252" cy="1562264"/>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6"/>
                    <a:stretch>
                      <a:fillRect/>
                    </a:stretch>
                  </pic:blipFill>
                  <pic:spPr>
                    <a:xfrm>
                      <a:off x="0" y="0"/>
                      <a:ext cx="1924252" cy="1562264"/>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 xml:space="preserve"> 先秦散文中最多采用寓言形式、最富浪漫色彩的是（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t>B.《庄子》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C.《论语》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D.《战国策》</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下列诗作中，属于乐府旧题的是（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A.《关山月》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B.《饮酒》</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C.《短歌行》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D.《国殇》</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中国诗歌史上诗歌流传下来最多的诗人是（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A.陆游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B.白居易</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C.杜甫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D.李白</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郁达夫《故都的秋》所写的“故都”是今天的（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A.北京</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B.南京</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C.西安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D.开封</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柳永《八声甘州（对潇潇暮雨洒江天）》着力抒写的思想情绪是（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A.爱情失意</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B.羁旅行役之苦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C.故国之思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D.伤春惜时</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下列各句中，“数”作“计算”解的是（　　）</w:t>
      </w:r>
      <w:r>
        <w:rPr>
          <w:rFonts w:ascii="黑体" w:eastAsia="黑体" w:hAnsi="黑体" w:cs="Times New Roman"/>
          <w:sz w:val="24"/>
          <w:lang w:val="en-US" w:eastAsia="zh-CN" w:bidi="ar-SA"/>
        </w:rPr>
        <w:br/>
      </w:r>
      <w:r>
        <w:drawing>
          <wp:inline distT="0" distB="0" distL="0" distR="0">
            <wp:extent cx="2352922" cy="1686102"/>
            <wp:effectExtent l="0" t="0" r="0" b="0"/>
            <wp:docPr id="160286525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865257" name=""/>
                    <pic:cNvPicPr/>
                  </pic:nvPicPr>
                  <pic:blipFill>
                    <a:blip xmlns:r="http://schemas.openxmlformats.org/officeDocument/2006/relationships" r:embed="rId9"/>
                    <a:stretch>
                      <a:fillRect/>
                    </a:stretch>
                  </pic:blipFill>
                  <pic:spPr>
                    <a:xfrm>
                      <a:off x="0" y="0"/>
                      <a:ext cx="2352922" cy="1686102"/>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提出“创造这中国历史上未曾有过的第三样时代，则是现在的青年的使命！”的是（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A.梁启超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B.胡适</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C.鲁迅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D.陈独秀</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侯方域是明末清初著名的（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A.诗文作家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B.政治家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C.思想家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D.教育家</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下列画横线的句子翻译正确的是（　　）</w:t>
      </w:r>
      <w:r>
        <w:rPr>
          <w:rFonts w:ascii="黑体" w:eastAsia="黑体" w:hAnsi="黑体" w:cs="Times New Roman"/>
          <w:sz w:val="24"/>
          <w:lang w:val="en-US" w:eastAsia="zh-CN" w:bidi="ar-SA"/>
        </w:rPr>
        <w:br/>
      </w:r>
      <w:r>
        <w:drawing>
          <wp:inline distT="0" distB="0" distL="0" distR="0">
            <wp:extent cx="2657754" cy="2181454"/>
            <wp:effectExtent l="0" t="0" r="0" b="0"/>
            <wp:docPr id="21109614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961417" name=""/>
                    <pic:cNvPicPr/>
                  </pic:nvPicPr>
                  <pic:blipFill>
                    <a:blip xmlns:r="http://schemas.openxmlformats.org/officeDocument/2006/relationships" r:embed="rId11"/>
                    <a:stretch>
                      <a:fillRect/>
                    </a:stretch>
                  </pic:blipFill>
                  <pic:spPr>
                    <a:xfrm>
                      <a:off x="0" y="0"/>
                      <a:ext cx="2657754" cy="2181454"/>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 xml:space="preserve"> “天下为公”“狡兔三窟”两个成语依次出自（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A.《礼记·大同》《冯谖客孟尝君》</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B.《季氏将伐颛臾》《李将军列传》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C.《冯谖客孟尝君》《季氏将伐颛失》</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D.《李将军列传》《礼记·大同》</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sectPr w:rsidSect="00504EE1">
          <w:footerReference w:type="default" r:id="rId12"/>
          <w:type w:val="nextPage"/>
          <w:pgSz w:w="11906" w:h="16838" w:code="9"/>
          <w:pgMar w:top="1440" w:right="1800" w:bottom="1440" w:left="1800" w:header="851" w:footer="992" w:gutter="0"/>
          <w:pgNumType w:start="5"/>
          <w:cols w:space="425"/>
          <w:titlePg w:val="0"/>
          <w:docGrid w:type="lines" w:linePitch="312"/>
        </w:sect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我愈来愈爱着生我养我的土地了。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就像山地里纵纵横横的沟岔一样，就像山地里有着形形色色的花木一样，我一写山，似乎思路就开了，文笔也活了。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甚至觉得，我的生命，我的笔命，就是那山溪哩。虽然在莽莽的山的世界里，它只是那么柔得可怜、细得伤感的一股儿水流。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我常常这么想：天上的雨落在地上，或许会成洪波，但它来自云里；溪是有根的，它凉凉地扎在山峰之下。人都说山是庄严的，几乎是死寂的，其实这是错的。它最有着内涵，最有着活力。那山下一定是有着很大很大的海的，永远在蕴含感情，永远是不安宁，表现着的，恐怕便是这小溪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或许，它是从石缝里一滴一滴渗出来的，是从小草的根下一个泡儿一个泡儿冒出来的。但是，太阳晒不干、黄风刮不跑的。天性是那么晶莹，气息是那么清新。它一出来，便宣告了它的生命，寻着自己的道路要流动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正因为寻着自己的道路，它的步伐是艰辛的。然而，它从石板上滑下，便有了自己的铜的韵味的声音；它从石崖上跌落，便有了自己白练般的颜色；它回旋在穴潭之中，便有了自己叵不可测的深沉。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它终于慢慢地大起来了，要走更远的道儿，它流过了石川，流过了草地，流过了竹林，它要拜访所有的山岭，叩问每一块石头，有时会突然潜入河床的沙石之下去了呢。于是，轻风给了它柔情，鲜花给了它芬芳，竹林给了它凉绿，那多情的游鱼，那斑斓的卵石，也给它增添了美的色彩。</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它在流着，流着。它要流到哪里去呢？我想，山既然给了它生命，它该是充实的，富有的。或许，它是做一颗露珠儿去滋润花瓣，深入到枝叶里了，使草木的绿素传送；或许，它竟能掀翻一抔泥，拔脱一丛腐根呢。那么，让它流去吧，山地这么大，这么复杂，只要它流，它探索，它就有了自己的路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我是这么想的，我提醒着我，我鼓励着我，我便将它写成了淡淡的文字，聊作这本小书的小序了。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1.山溪有什么样的象征意义？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2.作者认为，天上的雨与山间的溪有什么不同？</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3.“它从石板上滑下，便有了自己的铜的韵味的声音；它从石崖上跌落，便有了自己白练般的颜色；它回旋在穴潭之中，便有了自己叵不可测的深沉”，采用了哪几种修辞手法？</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13"/>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阅读《寡人之于国也》中的一段文字，回答下列问题：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孟子对曰：“王好战，请以战喻。填然鼓之，兵刃既接，弃甲曳兵而走，或百步而后止，或五十步而后止，以五十步笑百步，则何如 ”曰：“不可，直不百步耳，是亦走也。” 曰：“王如知此，则无望民之多于邻国也。”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（1）将这段文字中的两句话译成现代汉语。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填然鼓之，兵刃既接，弃甲曳兵而走：</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直不百步耳，是亦走也：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（2）这段文字论证时使用了哪种性质的论据</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（3）这段文字论证时运用了哪种论证方法 请具体分析。</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（4）这段文字论证了什么观点</w:t>
      </w:r>
      <w:r>
        <w:rPr>
          <w:rFonts w:ascii="黑体" w:eastAsia="黑体" w:hAnsi="黑体" w:cs="Times New Roman"/>
          <w:sz w:val="24"/>
          <w:lang w:val="en-US" w:eastAsia="zh-CN" w:bidi="ar-SA"/>
        </w:rPr>
        <w:br/>
      </w:r>
      <w:r>
        <w:rPr>
          <w:rFonts w:ascii="黑体" w:eastAsia="黑体" w:hAnsi="黑体" w:cs="Times New Roman"/>
          <w:sz w:val="24"/>
          <w:lang w:val="en-US" w:eastAsia="zh-CN" w:bidi="ar-SA"/>
        </w:rPr>
        <w:t>（5）分析“五十步笑百步”的喻义。</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阅读《世说新语》中的一段文字，</w:t>
      </w:r>
      <w:r>
        <w:rPr>
          <w:rFonts w:ascii="黑体" w:eastAsia="黑体" w:hAnsi="黑体" w:cs="Times New Roman"/>
          <w:sz w:val="24"/>
          <w:lang w:val="en-US" w:eastAsia="zh-CN" w:bidi="ar-SA"/>
        </w:rPr>
        <w:br/>
      </w:r>
      <w:r>
        <w:drawing>
          <wp:inline distT="0" distB="0" distL="0" distR="0">
            <wp:extent cx="10078508" cy="771606"/>
            <wp:effectExtent l="0" t="0" r="0" b="0"/>
            <wp:docPr id="7274531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453189" name=""/>
                    <pic:cNvPicPr/>
                  </pic:nvPicPr>
                  <pic:blipFill>
                    <a:blip xmlns:r="http://schemas.openxmlformats.org/officeDocument/2006/relationships" r:embed="rId14"/>
                    <a:stretch>
                      <a:fillRect/>
                    </a:stretch>
                  </pic:blipFill>
                  <pic:spPr>
                    <a:xfrm>
                      <a:off x="0" y="0"/>
                      <a:ext cx="10078508" cy="771606"/>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1.解释文中带点字的含义。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2.这段文字反映了怎样的思想内容？</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3.这段文字是如何表现石崇的豪富及飞扬跋扈的个性的？</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It's a good advice by the teacher that foods ____ to the classroom.（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A.were not taken</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B.not to take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C.not be taken</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D.did not take</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Key James,Secretary of Health and Human Resources in the Virginia State government,loves to turn the tables on those who don't think it's possible to be middle-class,conservative,educated and still be truly black．Once,during an abortion debate,a woman in the audience angrily told James she was so middle-class she didn't have a clue about real African American life．"If you understood what these women go through,"the woman said,"you would realize that abortion is their only choice."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James then asked the woman to consider a poor black mother on welfare．She already has four children and an alcoholic husband who has all but abandoned the family．Now she discovers another child is on the way．"How would you counsel that woman?"asked James.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"Have an abortion,"the woman responded．"That child would have a very poor quality of life."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w:t>
      </w:r>
      <w:r>
        <w:rPr>
          <w:rFonts w:ascii="黑体" w:eastAsia="黑体" w:hAnsi="黑体" w:cs="Times New Roman"/>
          <w:sz w:val="24"/>
          <w:lang w:val="en-US" w:eastAsia="zh-CN" w:bidi="ar-SA"/>
        </w:rPr>
        <w:t xml:space="preserve"> have</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vested</w:t>
      </w:r>
      <w:r>
        <w:rPr>
          <w:rFonts w:ascii="黑体" w:eastAsia="黑体" w:hAnsi="黑体" w:cs="Times New Roman"/>
          <w:sz w:val="24"/>
          <w:lang w:val="en-US" w:eastAsia="zh-CN" w:bidi="ar-SA"/>
        </w:rPr>
        <w:t xml:space="preserve"> interest</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your</w:t>
      </w:r>
      <w:r>
        <w:rPr>
          <w:rFonts w:ascii="黑体" w:eastAsia="黑体" w:hAnsi="黑体" w:cs="Times New Roman"/>
          <w:sz w:val="24"/>
          <w:lang w:val="en-US" w:eastAsia="zh-CN" w:bidi="ar-SA"/>
        </w:rPr>
        <w:t xml:space="preserve"> answer,"James</w:t>
      </w:r>
      <w:r>
        <w:rPr>
          <w:rFonts w:ascii="黑体" w:eastAsia="黑体" w:hAnsi="黑体" w:cs="Times New Roman"/>
          <w:sz w:val="24"/>
          <w:lang w:val="en-US" w:eastAsia="zh-CN" w:bidi="ar-SA"/>
        </w:rPr>
        <w:t xml:space="preserve"> said．"The</w:t>
      </w:r>
      <w:r>
        <w:rPr>
          <w:rFonts w:ascii="黑体" w:eastAsia="黑体" w:hAnsi="黑体" w:cs="Times New Roman"/>
          <w:sz w:val="24"/>
          <w:lang w:val="en-US" w:eastAsia="zh-CN" w:bidi="ar-SA"/>
        </w:rPr>
        <w:t xml:space="preserve"> woman</w:t>
      </w:r>
      <w:r>
        <w:rPr>
          <w:rFonts w:ascii="黑体" w:eastAsia="黑体" w:hAnsi="黑体" w:cs="Times New Roman"/>
          <w:sz w:val="24"/>
          <w:lang w:val="en-US" w:eastAsia="zh-CN" w:bidi="ar-SA"/>
        </w:rPr>
        <w:t xml:space="preserve"> I</w:t>
      </w:r>
      <w:r>
        <w:rPr>
          <w:rFonts w:ascii="黑体" w:eastAsia="黑体" w:hAnsi="黑体" w:cs="Times New Roman"/>
          <w:sz w:val="24"/>
          <w:lang w:val="en-US" w:eastAsia="zh-CN" w:bidi="ar-SA"/>
        </w:rPr>
        <w:t xml:space="preserve"> described</w:t>
      </w:r>
      <w:r>
        <w:rPr>
          <w:rFonts w:ascii="黑体" w:eastAsia="黑体" w:hAnsi="黑体" w:cs="Times New Roman"/>
          <w:sz w:val="24"/>
          <w:lang w:val="en-US" w:eastAsia="zh-CN" w:bidi="ar-SA"/>
        </w:rPr>
        <w:t xml:space="preserve"> was</w:t>
      </w:r>
      <w:r>
        <w:rPr>
          <w:rFonts w:ascii="黑体" w:eastAsia="黑体" w:hAnsi="黑体" w:cs="Times New Roman"/>
          <w:sz w:val="24"/>
          <w:lang w:val="en-US" w:eastAsia="zh-CN" w:bidi="ar-SA"/>
        </w:rPr>
        <w:t xml:space="preserve"> my</w:t>
      </w:r>
      <w:r>
        <w:rPr>
          <w:rFonts w:ascii="黑体" w:eastAsia="黑体" w:hAnsi="黑体" w:cs="Times New Roman"/>
          <w:sz w:val="24"/>
          <w:lang w:val="en-US" w:eastAsia="zh-CN" w:bidi="ar-SA"/>
        </w:rPr>
        <w:t xml:space="preserve"> mother．I</w:t>
      </w:r>
      <w:r>
        <w:rPr>
          <w:rFonts w:ascii="黑体" w:eastAsia="黑体" w:hAnsi="黑体" w:cs="Times New Roman"/>
          <w:sz w:val="24"/>
          <w:lang w:val="en-US" w:eastAsia="zh-CN" w:bidi="ar-SA"/>
        </w:rPr>
        <w:t xml:space="preserve"> was</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fifth</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six</w:t>
      </w:r>
      <w:r>
        <w:rPr>
          <w:rFonts w:ascii="黑体" w:eastAsia="黑体" w:hAnsi="黑体" w:cs="Times New Roman"/>
          <w:sz w:val="24"/>
          <w:lang w:val="en-US" w:eastAsia="zh-CN" w:bidi="ar-SA"/>
        </w:rPr>
        <w:t xml:space="preserve"> children</w:t>
      </w:r>
      <w:r>
        <w:rPr>
          <w:rFonts w:ascii="黑体" w:eastAsia="黑体" w:hAnsi="黑体" w:cs="Times New Roman"/>
          <w:sz w:val="24"/>
          <w:lang w:val="en-US" w:eastAsia="zh-CN" w:bidi="ar-SA"/>
        </w:rPr>
        <w:t xml:space="preserve"> born</w:t>
      </w:r>
      <w:r>
        <w:rPr>
          <w:rFonts w:ascii="黑体" w:eastAsia="黑体" w:hAnsi="黑体" w:cs="Times New Roman"/>
          <w:sz w:val="24"/>
          <w:lang w:val="en-US" w:eastAsia="zh-CN" w:bidi="ar-SA"/>
        </w:rPr>
        <w:t xml:space="preserve"> into</w:t>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https://d.book118.com/178113142020006040</w:t>
        </w:r>
      </w:hyperlink>
    </w:p>
    <w:p w:rsidR="00327933" w:rsidRPr="00730BBD" w:rsidP="00386F93">
      <w:pPr>
        <w:pStyle w:val="Normal19"/>
        <w:jc w:val="left"/>
        <w:rPr>
          <w:rFonts w:ascii="黑体" w:eastAsia="黑体" w:hAnsi="黑体"/>
          <w:sz w:val="24"/>
          <w:lang w:val="en-US" w:eastAsia="zh-CN" w:bidi="ar-SA"/>
        </w:rPr>
      </w:pPr>
    </w:p>
    <w:sectPr w:rsidSect="00504EE1">
      <w:footerReference w:type="default" r:id="rId16"/>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lang w:eastAsia="ja-JP"/>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image" Target="media/image3.png"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image" Target="media/image4.png" /><Relationship Id="rId15" Type="http://schemas.openxmlformats.org/officeDocument/2006/relationships/hyperlink" Target="https://d.book118.com/178113142020006040" TargetMode="External" /><Relationship Id="rId16" Type="http://schemas.openxmlformats.org/officeDocument/2006/relationships/footer" Target="footer7.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image" Target="media/image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7</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