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媒体云相关行业公司成立报告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33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_Toc11331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8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_Toc26238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3" w:history="1">
        <w:r>
          <w:rPr>
            <w:rFonts w:ascii="仿宋" w:eastAsia="仿宋" w:hAnsi="仿宋" w:cs="仿宋" w:hint="eastAsia"/>
            <w:lang w:eastAsia="zh-CN"/>
          </w:rPr>
          <w:t>(一)、媒体云项目选址原则</w:t>
        </w:r>
        <w:r>
          <w:tab/>
        </w:r>
        <w:r>
          <w:fldChar w:fldCharType="begin"/>
        </w:r>
        <w:r>
          <w:instrText xml:space="preserve"> PAGEREF _Toc10743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_Toc29250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_Toc26030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_Toc22835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2" w:history="1">
        <w:r>
          <w:rPr>
            <w:rFonts w:ascii="仿宋" w:eastAsia="仿宋" w:hAnsi="仿宋" w:cs="仿宋" w:hint="eastAsia"/>
            <w:lang w:eastAsia="zh-CN"/>
          </w:rPr>
          <w:t>(五)、媒体云项目选址综合评价</w:t>
        </w:r>
        <w:r>
          <w:tab/>
        </w:r>
        <w:r>
          <w:fldChar w:fldCharType="begin"/>
        </w:r>
        <w:r>
          <w:instrText xml:space="preserve"> PAGEREF _Toc15672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80" w:history="1">
        <w:r>
          <w:rPr>
            <w:rFonts w:ascii="仿宋" w:eastAsia="仿宋" w:hAnsi="仿宋" w:cs="仿宋" w:hint="eastAsia"/>
            <w:lang w:eastAsia="zh-CN"/>
          </w:rPr>
          <w:t>二、媒体云筹建公司基本信息</w:t>
        </w:r>
        <w:r>
          <w:tab/>
        </w:r>
        <w:r>
          <w:fldChar w:fldCharType="begin"/>
        </w:r>
        <w:r>
          <w:instrText xml:space="preserve"> PAGEREF _Toc7580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_Toc16006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_Toc7989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_Toc21971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_Toc32548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_Toc22046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_Toc26909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8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_Toc30287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_Toc4698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_Toc28871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_Toc8233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5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_Toc19152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_Toc13760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_Toc9662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07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_Toc11907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_Toc23912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_Toc15049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_Toc21354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_Toc27243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_Toc26916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_Toc11896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8" w:history="1">
        <w:r>
          <w:rPr>
            <w:rFonts w:ascii="仿宋" w:eastAsia="仿宋" w:hAnsi="仿宋" w:cs="仿宋" w:hint="eastAsia"/>
            <w:lang w:eastAsia="zh-CN"/>
          </w:rPr>
          <w:t>(七)、媒体云项目建设必要性分析</w:t>
        </w:r>
        <w:r>
          <w:tab/>
        </w:r>
        <w:r>
          <w:fldChar w:fldCharType="begin"/>
        </w:r>
        <w:r>
          <w:instrText xml:space="preserve"> PAGEREF _Toc13298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57" w:history="1">
        <w:r>
          <w:rPr>
            <w:rFonts w:ascii="仿宋" w:eastAsia="仿宋" w:hAnsi="仿宋" w:cs="仿宋" w:hint="eastAsia"/>
            <w:lang w:eastAsia="zh-CN"/>
          </w:rPr>
          <w:t>六、媒体云项目经济效益</w:t>
        </w:r>
        <w:r>
          <w:tab/>
        </w:r>
        <w:r>
          <w:fldChar w:fldCharType="begin"/>
        </w:r>
        <w:r>
          <w:instrText xml:space="preserve"> PAGEREF _Toc5457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_Toc31996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7" w:history="1">
        <w:r>
          <w:rPr>
            <w:rFonts w:ascii="仿宋" w:eastAsia="仿宋" w:hAnsi="仿宋" w:cs="仿宋" w:hint="eastAsia"/>
            <w:lang w:eastAsia="zh-CN"/>
          </w:rPr>
          <w:t>(三)、媒体云项目盈利能力分析</w:t>
        </w:r>
        <w:r>
          <w:tab/>
        </w:r>
        <w:r>
          <w:fldChar w:fldCharType="begin"/>
        </w:r>
        <w:r>
          <w:instrText xml:space="preserve"> PAGEREF _Toc29727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_Toc5345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_Toc31879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_Toc4741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8" w:history="1">
        <w:r>
          <w:rPr>
            <w:rFonts w:ascii="仿宋" w:eastAsia="仿宋" w:hAnsi="仿宋" w:cs="仿宋" w:hint="eastAsia"/>
            <w:lang w:eastAsia="zh-CN"/>
          </w:rPr>
          <w:t>七、媒体云项目风险分析</w:t>
        </w:r>
        <w:r>
          <w:tab/>
        </w:r>
        <w:r>
          <w:fldChar w:fldCharType="begin"/>
        </w:r>
        <w:r>
          <w:instrText xml:space="preserve"> PAGEREF _Toc10668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4" w:history="1">
        <w:r>
          <w:rPr>
            <w:rFonts w:ascii="仿宋" w:eastAsia="仿宋" w:hAnsi="仿宋" w:cs="仿宋" w:hint="eastAsia"/>
            <w:lang w:eastAsia="zh-CN"/>
          </w:rPr>
          <w:t>(一)、媒体云项目风险分析</w:t>
        </w:r>
        <w:r>
          <w:tab/>
        </w:r>
        <w:r>
          <w:fldChar w:fldCharType="begin"/>
        </w:r>
        <w:r>
          <w:instrText xml:space="preserve"> PAGEREF _Toc22784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9" w:history="1">
        <w:r>
          <w:rPr>
            <w:rFonts w:ascii="仿宋" w:eastAsia="仿宋" w:hAnsi="仿宋" w:cs="仿宋" w:hint="eastAsia"/>
            <w:lang w:eastAsia="zh-CN"/>
          </w:rPr>
          <w:t>(二)、媒体云项目风险对策</w:t>
        </w:r>
        <w:r>
          <w:tab/>
        </w:r>
        <w:r>
          <w:fldChar w:fldCharType="begin"/>
        </w:r>
        <w:r>
          <w:instrText xml:space="preserve"> PAGEREF _Toc11289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41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_Toc4417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_Toc24928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_Toc17075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_Toc9098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4" w:history="1">
        <w:r>
          <w:rPr>
            <w:rFonts w:ascii="仿宋" w:eastAsia="仿宋" w:hAnsi="仿宋" w:cs="仿宋" w:hint="eastAsia"/>
            <w:lang w:eastAsia="zh-CN"/>
          </w:rPr>
          <w:t>(五)、媒体云项目总投资</w:t>
        </w:r>
        <w:r>
          <w:tab/>
        </w:r>
        <w:r>
          <w:fldChar w:fldCharType="begin"/>
        </w:r>
        <w:r>
          <w:instrText xml:space="preserve"> PAGEREF _Toc6274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_Toc16721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_Toc1328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_Toc15966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_Toc5594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_Toc15440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3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_Toc26639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_Toc21340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_Toc8712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_Toc12217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_Toc22331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_Toc30181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_Toc21051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_Toc32255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_Toc30456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_Toc16750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_Toc21864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_Toc25790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_Toc32607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4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_Toc2564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_Toc32042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_Toc16999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_Toc20176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33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_Toc11433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9" w:history="1">
        <w:r>
          <w:rPr>
            <w:rFonts w:ascii="仿宋" w:eastAsia="仿宋" w:hAnsi="仿宋" w:cs="仿宋" w:hint="eastAsia"/>
            <w:lang w:eastAsia="zh-CN"/>
          </w:rPr>
          <w:t>十三、媒体云项目总结分析</w:t>
        </w:r>
        <w:r>
          <w:tab/>
        </w:r>
        <w:r>
          <w:fldChar w:fldCharType="begin"/>
        </w:r>
        <w:r>
          <w:instrText xml:space="preserve"> PAGEREF _Toc19619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33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238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743"/>
      <w:r>
        <w:rPr>
          <w:rFonts w:ascii="仿宋" w:eastAsia="仿宋" w:hAnsi="仿宋" w:cs="仿宋" w:hint="eastAsia"/>
          <w:lang w:eastAsia="zh-CN"/>
        </w:rPr>
        <w:t>(一)、媒体云项目选址原则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媒体云项目选址是决定工业媒体云项目成败的关键因素之一。根据现行政策，媒体云项目选址必须符合一系列要求，以确保城乡建设、环境保护和资源利用的协调。以下是一些关于媒体云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媒体云项目选址必须与当地城乡建设总体规划相一致。它应该符合工业媒体云项目占地使用规划的要求，并与大气污染防治、水资源和自然生态保护政策相协调。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避开特殊区域： 媒体云项目选址应避开自然保护区、风景名胜区、生活饮用水源地和其他特别需要保护的敏感性目标。这有助于维护自然环境的完整性和生态系统的稳定。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媒体云项目选址应充分考虑土地资源的节约。最好选择空闲地、非耕地或荒地，以减少对良田或耕地的占用。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媒体云项目选址应提供足够的场地，以满足工艺和辅助生产设施的建设需要。这有助于确保生产流程的高效运行。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媒体云项目选址应具备良好的生产基础条件，包括充足的水源、电力、运输和可靠的能源供应。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媒体云项目选址应地势平缓，便于排除雨水和处理生产、生活废水。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媒体云项目选址应与居民区及环境污染敏感点保持足够的防护距离，以确保生产活动不会对人民健康和环境造成危害。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媒体云项目选址是媒体云项目成功的第一步，符合政策要求的选址将有助于确保媒体云项目的可持续发展，并避免对环境和社会造成不利影响。因此，在媒体云项目规划和选址阶段，应认真考虑这些原则和要求。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250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https://d.book118.com/185114034342011044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媒体云相关行业公司成立报告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媒体云相关行业公司成立报告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媒体云相关行业公司成立报告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媒体云相关行业公司成立报告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媒体云相关行业公司成立报告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5114034342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2024-01-04T09:15:00Z</dcterms:created>
  <dcterms:modified xsi:type="dcterms:W3CDTF">2024-01-04T09:15:09Z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954319E1E1EE41C394F6B2B92A7707BB_11</vt:lpwstr>
  </property>
  <property fmtid="{D5CDD505-2E9C-101B-9397-08002B2CF9AE}" pid="3" name="KSOProductBuildVer">
    <vt:lpwstr>2052-12.1.0.16120</vt:lpwstr>
  </property>
</Properties>
</file>