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饲用酶制剂行业相关公司筹备报告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13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_Toc21679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_Toc13569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_Toc11160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_Toc22621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9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_Toc23259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_Toc18862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_Toc10308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_Toc8577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_Toc29753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_Toc3969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6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_Toc18561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_Toc13001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_Toc13131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_Toc6117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(一)、饲用酶制剂项目选址原则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_Toc16798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_Toc21593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_Toc11715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4" w:history="1">
        <w:r>
          <w:rPr>
            <w:rFonts w:ascii="仿宋" w:eastAsia="仿宋" w:hAnsi="仿宋" w:cs="仿宋" w:hint="eastAsia"/>
            <w:lang w:eastAsia="zh-CN"/>
          </w:rPr>
          <w:t>(五)、饲用酶制剂项目选址综合评价</w:t>
        </w:r>
        <w:r>
          <w:tab/>
        </w:r>
        <w:r>
          <w:fldChar w:fldCharType="begin"/>
        </w:r>
        <w:r>
          <w:instrText xml:space="preserve"> PAGEREF _Toc31074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_Toc10462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_Toc21909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0" w:history="1">
        <w:r>
          <w:rPr>
            <w:rFonts w:ascii="仿宋" w:eastAsia="仿宋" w:hAnsi="仿宋" w:cs="仿宋" w:hint="eastAsia"/>
            <w:lang w:eastAsia="zh-CN"/>
          </w:rPr>
          <w:t>(一)、饲用酶制剂项目进度安排</w:t>
        </w:r>
        <w:r>
          <w:tab/>
        </w:r>
        <w:r>
          <w:fldChar w:fldCharType="begin"/>
        </w:r>
        <w:r>
          <w:instrText xml:space="preserve"> PAGEREF _Toc7030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3" w:history="1">
        <w:r>
          <w:rPr>
            <w:rFonts w:ascii="仿宋" w:eastAsia="仿宋" w:hAnsi="仿宋" w:cs="仿宋" w:hint="eastAsia"/>
            <w:lang w:eastAsia="zh-CN"/>
          </w:rPr>
          <w:t>(二)、饲用酶制剂项目实施保障措施</w:t>
        </w:r>
        <w:r>
          <w:tab/>
        </w:r>
        <w:r>
          <w:fldChar w:fldCharType="begin"/>
        </w:r>
        <w:r>
          <w:instrText xml:space="preserve"> PAGEREF _Toc28773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9" w:history="1">
        <w:r>
          <w:rPr>
            <w:rFonts w:ascii="仿宋" w:eastAsia="仿宋" w:hAnsi="仿宋" w:cs="仿宋" w:hint="eastAsia"/>
            <w:lang w:eastAsia="zh-CN"/>
          </w:rPr>
          <w:t>(一)、饲用酶制剂项目背景分析</w:t>
        </w:r>
        <w:r>
          <w:tab/>
        </w:r>
        <w:r>
          <w:fldChar w:fldCharType="begin"/>
        </w:r>
        <w:r>
          <w:instrText xml:space="preserve"> PAGEREF _Toc26039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0" w:history="1">
        <w:r>
          <w:rPr>
            <w:rFonts w:ascii="仿宋" w:eastAsia="仿宋" w:hAnsi="仿宋" w:cs="仿宋" w:hint="eastAsia"/>
            <w:lang w:eastAsia="zh-CN"/>
          </w:rPr>
          <w:t>(二)、饲用酶制剂项目建设必要性分析</w:t>
        </w:r>
        <w:r>
          <w:tab/>
        </w:r>
        <w:r>
          <w:fldChar w:fldCharType="begin"/>
        </w:r>
        <w:r>
          <w:instrText xml:space="preserve"> PAGEREF _Toc30400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_Toc14743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_Toc21774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_Toc4389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_Toc16546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_Toc6485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_Toc25196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_Toc13189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_Toc26863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_Toc16856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_Toc19458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_Toc16137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_Toc22294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_Toc7394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_Toc19730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_Toc30073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_Toc22613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_Toc18108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_Toc17201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_Toc28619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_Toc24362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7" w:history="1">
        <w:r>
          <w:rPr>
            <w:rFonts w:ascii="仿宋" w:eastAsia="仿宋" w:hAnsi="仿宋" w:cs="仿宋" w:hint="eastAsia"/>
            <w:lang w:eastAsia="zh-CN"/>
          </w:rPr>
          <w:t>(五)、饲用酶制剂项目总投资</w:t>
        </w:r>
        <w:r>
          <w:tab/>
        </w:r>
        <w:r>
          <w:fldChar w:fldCharType="begin"/>
        </w:r>
        <w:r>
          <w:instrText xml:space="preserve"> PAGEREF _Toc11577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_Toc15217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_Toc5414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_Toc19853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_Toc7144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13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2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67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https://d.book118.com/185210133331011110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饲用酶制剂行业相关公司筹备报告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饲用酶制剂行业相关公司筹备报告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饲用酶制剂行业相关公司筹备报告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饲用酶制剂行业相关公司筹备报告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饲用酶制剂行业相关公司筹备报告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5210133331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2024-01-26T20:12:00Z</dcterms:created>
  <dcterms:modified xsi:type="dcterms:W3CDTF">2024-01-26T20:12:45Z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6CC54D58C5524E4797BDAB1E72D8C8BB_11</vt:lpwstr>
  </property>
  <property fmtid="{D5CDD505-2E9C-101B-9397-08002B2CF9AE}" pid="3" name="KSOProductBuildVer">
    <vt:lpwstr>2052-12.1.0.16120</vt:lpwstr>
  </property>
</Properties>
</file>