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1" w:history="1">
        <w:r>
          <w:rPr>
            <w:rFonts w:ascii="仿宋" w:eastAsia="仿宋" w:hAnsi="仿宋" w:cs="仿宋" w:hint="eastAsia"/>
            <w:lang w:eastAsia="zh-CN"/>
          </w:rPr>
          <w:t>序言</w:t>
        </w:r>
        <w:r>
          <w:tab/>
        </w:r>
        <w:r>
          <w:fldChar w:fldCharType="begin"/>
        </w:r>
        <w:r>
          <w:instrText xml:space="preserve"> PAGEREF _Toc14181 \h </w:instrText>
        </w:r>
        <w:r>
          <w:fldChar w:fldCharType="separate"/>
        </w:r>
        <w:r>
          <w:t>3</w:t>
        </w:r>
        <w:r>
          <w:fldChar w:fldCharType="end"/>
        </w:r>
      </w:hyperlink>
    </w:p>
    <w:p>
      <w:pPr>
        <w:pStyle w:val="TOC1"/>
        <w:tabs>
          <w:tab w:val="right" w:leader="dot" w:pos="8306"/>
        </w:tabs>
      </w:pPr>
      <w:hyperlink w:anchor="_Toc17765" w:history="1">
        <w:r>
          <w:rPr>
            <w:rFonts w:ascii="仿宋" w:eastAsia="仿宋" w:hAnsi="仿宋" w:cs="仿宋" w:hint="eastAsia"/>
            <w:lang w:eastAsia="zh-CN"/>
          </w:rPr>
          <w:t>一、艺术涂料项目绩效评估</w:t>
        </w:r>
        <w:r>
          <w:tab/>
        </w:r>
        <w:r>
          <w:fldChar w:fldCharType="begin"/>
        </w:r>
        <w:r>
          <w:instrText xml:space="preserve"> PAGEREF _Toc17765 \h </w:instrText>
        </w:r>
        <w:r>
          <w:fldChar w:fldCharType="separate"/>
        </w:r>
        <w:r>
          <w:t>3</w:t>
        </w:r>
        <w:r>
          <w:fldChar w:fldCharType="end"/>
        </w:r>
      </w:hyperlink>
    </w:p>
    <w:p>
      <w:pPr>
        <w:pStyle w:val="TOC2"/>
        <w:tabs>
          <w:tab w:val="right" w:leader="dot" w:pos="8306"/>
        </w:tabs>
      </w:pPr>
      <w:hyperlink w:anchor="_Toc10110" w:history="1">
        <w:r>
          <w:rPr>
            <w:rFonts w:ascii="仿宋" w:eastAsia="仿宋" w:hAnsi="仿宋" w:cs="仿宋" w:hint="eastAsia"/>
            <w:lang w:eastAsia="zh-CN"/>
          </w:rPr>
          <w:t>(一)、绩效评估指标</w:t>
        </w:r>
        <w:r>
          <w:tab/>
        </w:r>
        <w:r>
          <w:fldChar w:fldCharType="begin"/>
        </w:r>
        <w:r>
          <w:instrText xml:space="preserve"> PAGEREF _Toc10110 \h </w:instrText>
        </w:r>
        <w:r>
          <w:fldChar w:fldCharType="separate"/>
        </w:r>
        <w:r>
          <w:t>3</w:t>
        </w:r>
        <w:r>
          <w:fldChar w:fldCharType="end"/>
        </w:r>
      </w:hyperlink>
    </w:p>
    <w:p>
      <w:pPr>
        <w:pStyle w:val="TOC2"/>
        <w:tabs>
          <w:tab w:val="right" w:leader="dot" w:pos="8306"/>
        </w:tabs>
      </w:pPr>
      <w:hyperlink w:anchor="_Toc22940" w:history="1">
        <w:r>
          <w:rPr>
            <w:rFonts w:ascii="仿宋" w:eastAsia="仿宋" w:hAnsi="仿宋" w:cs="仿宋" w:hint="eastAsia"/>
            <w:lang w:eastAsia="zh-CN"/>
          </w:rPr>
          <w:t>(二)、绩效评估方法</w:t>
        </w:r>
        <w:r>
          <w:tab/>
        </w:r>
        <w:r>
          <w:fldChar w:fldCharType="begin"/>
        </w:r>
        <w:r>
          <w:instrText xml:space="preserve"> PAGEREF _Toc22940 \h </w:instrText>
        </w:r>
        <w:r>
          <w:fldChar w:fldCharType="separate"/>
        </w:r>
        <w:r>
          <w:t>4</w:t>
        </w:r>
        <w:r>
          <w:fldChar w:fldCharType="end"/>
        </w:r>
      </w:hyperlink>
    </w:p>
    <w:p>
      <w:pPr>
        <w:pStyle w:val="TOC2"/>
        <w:tabs>
          <w:tab w:val="right" w:leader="dot" w:pos="8306"/>
        </w:tabs>
      </w:pPr>
      <w:hyperlink w:anchor="_Toc1012" w:history="1">
        <w:r>
          <w:rPr>
            <w:rFonts w:ascii="仿宋" w:eastAsia="仿宋" w:hAnsi="仿宋" w:cs="仿宋" w:hint="eastAsia"/>
            <w:lang w:eastAsia="zh-CN"/>
          </w:rPr>
          <w:t>(三)、绩效评估周期</w:t>
        </w:r>
        <w:r>
          <w:tab/>
        </w:r>
        <w:r>
          <w:fldChar w:fldCharType="begin"/>
        </w:r>
        <w:r>
          <w:instrText xml:space="preserve"> PAGEREF _Toc1012 \h </w:instrText>
        </w:r>
        <w:r>
          <w:fldChar w:fldCharType="separate"/>
        </w:r>
        <w:r>
          <w:t>5</w:t>
        </w:r>
        <w:r>
          <w:fldChar w:fldCharType="end"/>
        </w:r>
      </w:hyperlink>
    </w:p>
    <w:p>
      <w:pPr>
        <w:pStyle w:val="TOC1"/>
        <w:tabs>
          <w:tab w:val="right" w:leader="dot" w:pos="8306"/>
        </w:tabs>
      </w:pPr>
      <w:hyperlink w:anchor="_Toc9474" w:history="1">
        <w:r>
          <w:rPr>
            <w:rFonts w:ascii="仿宋" w:eastAsia="仿宋" w:hAnsi="仿宋" w:cs="仿宋" w:hint="eastAsia"/>
            <w:lang w:eastAsia="zh-CN"/>
          </w:rPr>
          <w:t>二、艺术涂料项目危机管理</w:t>
        </w:r>
        <w:r>
          <w:tab/>
        </w:r>
        <w:r>
          <w:fldChar w:fldCharType="begin"/>
        </w:r>
        <w:r>
          <w:instrText xml:space="preserve"> PAGEREF _Toc9474 \h </w:instrText>
        </w:r>
        <w:r>
          <w:fldChar w:fldCharType="separate"/>
        </w:r>
        <w:r>
          <w:t>6</w:t>
        </w:r>
        <w:r>
          <w:fldChar w:fldCharType="end"/>
        </w:r>
      </w:hyperlink>
    </w:p>
    <w:p>
      <w:pPr>
        <w:pStyle w:val="TOC2"/>
        <w:tabs>
          <w:tab w:val="right" w:leader="dot" w:pos="8306"/>
        </w:tabs>
      </w:pPr>
      <w:hyperlink w:anchor="_Toc31490" w:history="1">
        <w:r>
          <w:rPr>
            <w:rFonts w:ascii="仿宋" w:eastAsia="仿宋" w:hAnsi="仿宋" w:cs="仿宋" w:hint="eastAsia"/>
            <w:lang w:eastAsia="zh-CN"/>
          </w:rPr>
          <w:t>(一)、危机预警与识别</w:t>
        </w:r>
        <w:r>
          <w:tab/>
        </w:r>
        <w:r>
          <w:fldChar w:fldCharType="begin"/>
        </w:r>
        <w:r>
          <w:instrText xml:space="preserve"> PAGEREF _Toc31490 \h </w:instrText>
        </w:r>
        <w:r>
          <w:fldChar w:fldCharType="separate"/>
        </w:r>
        <w:r>
          <w:t>6</w:t>
        </w:r>
        <w:r>
          <w:fldChar w:fldCharType="end"/>
        </w:r>
      </w:hyperlink>
    </w:p>
    <w:p>
      <w:pPr>
        <w:pStyle w:val="TOC2"/>
        <w:tabs>
          <w:tab w:val="right" w:leader="dot" w:pos="8306"/>
        </w:tabs>
      </w:pPr>
      <w:hyperlink w:anchor="_Toc16697" w:history="1">
        <w:r>
          <w:rPr>
            <w:rFonts w:ascii="仿宋" w:eastAsia="仿宋" w:hAnsi="仿宋" w:cs="仿宋" w:hint="eastAsia"/>
            <w:lang w:eastAsia="zh-CN"/>
          </w:rPr>
          <w:t>(二)、危机应对与恢复</w:t>
        </w:r>
        <w:r>
          <w:tab/>
        </w:r>
        <w:r>
          <w:fldChar w:fldCharType="begin"/>
        </w:r>
        <w:r>
          <w:instrText xml:space="preserve"> PAGEREF _Toc16697 \h </w:instrText>
        </w:r>
        <w:r>
          <w:fldChar w:fldCharType="separate"/>
        </w:r>
        <w:r>
          <w:t>7</w:t>
        </w:r>
        <w:r>
          <w:fldChar w:fldCharType="end"/>
        </w:r>
      </w:hyperlink>
    </w:p>
    <w:p>
      <w:pPr>
        <w:pStyle w:val="TOC1"/>
        <w:tabs>
          <w:tab w:val="right" w:leader="dot" w:pos="8306"/>
        </w:tabs>
      </w:pPr>
      <w:hyperlink w:anchor="_Toc31462" w:history="1">
        <w:r>
          <w:rPr>
            <w:rFonts w:ascii="仿宋" w:eastAsia="仿宋" w:hAnsi="仿宋" w:cs="仿宋" w:hint="eastAsia"/>
            <w:lang w:eastAsia="zh-CN"/>
          </w:rPr>
          <w:t>三、市场分析、调研</w:t>
        </w:r>
        <w:r>
          <w:tab/>
        </w:r>
        <w:r>
          <w:fldChar w:fldCharType="begin"/>
        </w:r>
        <w:r>
          <w:instrText xml:space="preserve"> PAGEREF _Toc31462 \h </w:instrText>
        </w:r>
        <w:r>
          <w:fldChar w:fldCharType="separate"/>
        </w:r>
        <w:r>
          <w:t>8</w:t>
        </w:r>
        <w:r>
          <w:fldChar w:fldCharType="end"/>
        </w:r>
      </w:hyperlink>
    </w:p>
    <w:p>
      <w:pPr>
        <w:pStyle w:val="TOC2"/>
        <w:tabs>
          <w:tab w:val="right" w:leader="dot" w:pos="8306"/>
        </w:tabs>
      </w:pPr>
      <w:hyperlink w:anchor="_Toc14870" w:history="1">
        <w:r>
          <w:rPr>
            <w:rFonts w:ascii="仿宋" w:eastAsia="仿宋" w:hAnsi="仿宋" w:cs="仿宋" w:hint="eastAsia"/>
            <w:lang w:eastAsia="zh-CN"/>
          </w:rPr>
          <w:t>(一)、艺术涂料行业分析</w:t>
        </w:r>
        <w:r>
          <w:tab/>
        </w:r>
        <w:r>
          <w:fldChar w:fldCharType="begin"/>
        </w:r>
        <w:r>
          <w:instrText xml:space="preserve"> PAGEREF _Toc14870 \h </w:instrText>
        </w:r>
        <w:r>
          <w:fldChar w:fldCharType="separate"/>
        </w:r>
        <w:r>
          <w:t>8</w:t>
        </w:r>
        <w:r>
          <w:fldChar w:fldCharType="end"/>
        </w:r>
      </w:hyperlink>
    </w:p>
    <w:p>
      <w:pPr>
        <w:pStyle w:val="TOC2"/>
        <w:tabs>
          <w:tab w:val="right" w:leader="dot" w:pos="8306"/>
        </w:tabs>
      </w:pPr>
      <w:hyperlink w:anchor="_Toc17486" w:history="1">
        <w:r>
          <w:rPr>
            <w:rFonts w:ascii="仿宋" w:eastAsia="仿宋" w:hAnsi="仿宋" w:cs="仿宋" w:hint="eastAsia"/>
            <w:lang w:eastAsia="zh-CN"/>
          </w:rPr>
          <w:t>(二)、艺术涂料市场分析预测</w:t>
        </w:r>
        <w:r>
          <w:tab/>
        </w:r>
        <w:r>
          <w:fldChar w:fldCharType="begin"/>
        </w:r>
        <w:r>
          <w:instrText xml:space="preserve"> PAGEREF _Toc17486 \h </w:instrText>
        </w:r>
        <w:r>
          <w:fldChar w:fldCharType="separate"/>
        </w:r>
        <w:r>
          <w:t>9</w:t>
        </w:r>
        <w:r>
          <w:fldChar w:fldCharType="end"/>
        </w:r>
      </w:hyperlink>
    </w:p>
    <w:p>
      <w:pPr>
        <w:pStyle w:val="TOC1"/>
        <w:tabs>
          <w:tab w:val="right" w:leader="dot" w:pos="8306"/>
        </w:tabs>
      </w:pPr>
      <w:hyperlink w:anchor="_Toc26880" w:history="1">
        <w:r>
          <w:rPr>
            <w:rFonts w:ascii="仿宋" w:eastAsia="仿宋" w:hAnsi="仿宋" w:cs="仿宋" w:hint="eastAsia"/>
            <w:lang w:eastAsia="zh-CN"/>
          </w:rPr>
          <w:t>四、艺术涂料项目选址可行性分析</w:t>
        </w:r>
        <w:r>
          <w:tab/>
        </w:r>
        <w:r>
          <w:fldChar w:fldCharType="begin"/>
        </w:r>
        <w:r>
          <w:instrText xml:space="preserve"> PAGEREF _Toc26880 \h </w:instrText>
        </w:r>
        <w:r>
          <w:fldChar w:fldCharType="separate"/>
        </w:r>
        <w:r>
          <w:t>10</w:t>
        </w:r>
        <w:r>
          <w:fldChar w:fldCharType="end"/>
        </w:r>
      </w:hyperlink>
    </w:p>
    <w:p>
      <w:pPr>
        <w:pStyle w:val="TOC2"/>
        <w:tabs>
          <w:tab w:val="right" w:leader="dot" w:pos="8306"/>
        </w:tabs>
      </w:pPr>
      <w:hyperlink w:anchor="_Toc8391" w:history="1">
        <w:r>
          <w:rPr>
            <w:rFonts w:ascii="仿宋" w:eastAsia="仿宋" w:hAnsi="仿宋" w:cs="仿宋" w:hint="eastAsia"/>
            <w:lang w:eastAsia="zh-CN"/>
          </w:rPr>
          <w:t>(一)、艺术涂料项目选址</w:t>
        </w:r>
        <w:r>
          <w:tab/>
        </w:r>
        <w:r>
          <w:fldChar w:fldCharType="begin"/>
        </w:r>
        <w:r>
          <w:instrText xml:space="preserve"> PAGEREF _Toc8391 \h </w:instrText>
        </w:r>
        <w:r>
          <w:fldChar w:fldCharType="separate"/>
        </w:r>
        <w:r>
          <w:t>10</w:t>
        </w:r>
        <w:r>
          <w:fldChar w:fldCharType="end"/>
        </w:r>
      </w:hyperlink>
    </w:p>
    <w:p>
      <w:pPr>
        <w:pStyle w:val="TOC2"/>
        <w:tabs>
          <w:tab w:val="right" w:leader="dot" w:pos="8306"/>
        </w:tabs>
      </w:pPr>
      <w:hyperlink w:anchor="_Toc30727" w:history="1">
        <w:r>
          <w:rPr>
            <w:rFonts w:ascii="仿宋" w:eastAsia="仿宋" w:hAnsi="仿宋" w:cs="仿宋" w:hint="eastAsia"/>
            <w:lang w:eastAsia="zh-CN"/>
          </w:rPr>
          <w:t>(二)、用地控制指标</w:t>
        </w:r>
        <w:r>
          <w:tab/>
        </w:r>
        <w:r>
          <w:fldChar w:fldCharType="begin"/>
        </w:r>
        <w:r>
          <w:instrText xml:space="preserve"> PAGEREF _Toc30727 \h </w:instrText>
        </w:r>
        <w:r>
          <w:fldChar w:fldCharType="separate"/>
        </w:r>
        <w:r>
          <w:t>10</w:t>
        </w:r>
        <w:r>
          <w:fldChar w:fldCharType="end"/>
        </w:r>
      </w:hyperlink>
    </w:p>
    <w:p>
      <w:pPr>
        <w:pStyle w:val="TOC2"/>
        <w:tabs>
          <w:tab w:val="right" w:leader="dot" w:pos="8306"/>
        </w:tabs>
      </w:pPr>
      <w:hyperlink w:anchor="_Toc26104" w:history="1">
        <w:r>
          <w:rPr>
            <w:rFonts w:ascii="仿宋" w:eastAsia="仿宋" w:hAnsi="仿宋" w:cs="仿宋" w:hint="eastAsia"/>
            <w:lang w:eastAsia="zh-CN"/>
          </w:rPr>
          <w:t>(三)、节约用地措施</w:t>
        </w:r>
        <w:r>
          <w:tab/>
        </w:r>
        <w:r>
          <w:fldChar w:fldCharType="begin"/>
        </w:r>
        <w:r>
          <w:instrText xml:space="preserve"> PAGEREF _Toc26104 \h </w:instrText>
        </w:r>
        <w:r>
          <w:fldChar w:fldCharType="separate"/>
        </w:r>
        <w:r>
          <w:t>12</w:t>
        </w:r>
        <w:r>
          <w:fldChar w:fldCharType="end"/>
        </w:r>
      </w:hyperlink>
    </w:p>
    <w:p>
      <w:pPr>
        <w:pStyle w:val="TOC2"/>
        <w:tabs>
          <w:tab w:val="right" w:leader="dot" w:pos="8306"/>
        </w:tabs>
      </w:pPr>
      <w:hyperlink w:anchor="_Toc12996" w:history="1">
        <w:r>
          <w:rPr>
            <w:rFonts w:ascii="仿宋" w:eastAsia="仿宋" w:hAnsi="仿宋" w:cs="仿宋" w:hint="eastAsia"/>
            <w:lang w:eastAsia="zh-CN"/>
          </w:rPr>
          <w:t>(四)、总图布置方案</w:t>
        </w:r>
        <w:r>
          <w:tab/>
        </w:r>
        <w:r>
          <w:fldChar w:fldCharType="begin"/>
        </w:r>
        <w:r>
          <w:instrText xml:space="preserve"> PAGEREF _Toc12996 \h </w:instrText>
        </w:r>
        <w:r>
          <w:fldChar w:fldCharType="separate"/>
        </w:r>
        <w:r>
          <w:t>13</w:t>
        </w:r>
        <w:r>
          <w:fldChar w:fldCharType="end"/>
        </w:r>
      </w:hyperlink>
    </w:p>
    <w:p>
      <w:pPr>
        <w:pStyle w:val="TOC2"/>
        <w:tabs>
          <w:tab w:val="right" w:leader="dot" w:pos="8306"/>
        </w:tabs>
      </w:pPr>
      <w:hyperlink w:anchor="_Toc29558" w:history="1">
        <w:r>
          <w:rPr>
            <w:rFonts w:ascii="仿宋" w:eastAsia="仿宋" w:hAnsi="仿宋" w:cs="仿宋" w:hint="eastAsia"/>
            <w:lang w:eastAsia="zh-CN"/>
          </w:rPr>
          <w:t>(五)、选址综合评价</w:t>
        </w:r>
        <w:r>
          <w:tab/>
        </w:r>
        <w:r>
          <w:fldChar w:fldCharType="begin"/>
        </w:r>
        <w:r>
          <w:instrText xml:space="preserve"> PAGEREF _Toc29558 \h </w:instrText>
        </w:r>
        <w:r>
          <w:fldChar w:fldCharType="separate"/>
        </w:r>
        <w:r>
          <w:t>14</w:t>
        </w:r>
        <w:r>
          <w:fldChar w:fldCharType="end"/>
        </w:r>
      </w:hyperlink>
    </w:p>
    <w:p>
      <w:pPr>
        <w:pStyle w:val="TOC1"/>
        <w:tabs>
          <w:tab w:val="right" w:leader="dot" w:pos="8306"/>
        </w:tabs>
      </w:pPr>
      <w:hyperlink w:anchor="_Toc15181" w:history="1">
        <w:r>
          <w:rPr>
            <w:rFonts w:ascii="仿宋" w:eastAsia="仿宋" w:hAnsi="仿宋" w:cs="仿宋" w:hint="eastAsia"/>
            <w:lang w:eastAsia="zh-CN"/>
          </w:rPr>
          <w:t>五、艺术涂料项目概论</w:t>
        </w:r>
        <w:r>
          <w:tab/>
        </w:r>
        <w:r>
          <w:fldChar w:fldCharType="begin"/>
        </w:r>
        <w:r>
          <w:instrText xml:space="preserve"> PAGEREF _Toc15181 \h </w:instrText>
        </w:r>
        <w:r>
          <w:fldChar w:fldCharType="separate"/>
        </w:r>
        <w:r>
          <w:t>15</w:t>
        </w:r>
        <w:r>
          <w:fldChar w:fldCharType="end"/>
        </w:r>
      </w:hyperlink>
    </w:p>
    <w:p>
      <w:pPr>
        <w:pStyle w:val="TOC2"/>
        <w:tabs>
          <w:tab w:val="right" w:leader="dot" w:pos="8306"/>
        </w:tabs>
      </w:pPr>
      <w:hyperlink w:anchor="_Toc2160" w:history="1">
        <w:r>
          <w:rPr>
            <w:rFonts w:ascii="仿宋" w:eastAsia="仿宋" w:hAnsi="仿宋" w:cs="仿宋" w:hint="eastAsia"/>
            <w:lang w:eastAsia="zh-CN"/>
          </w:rPr>
          <w:t>(一)、艺术涂料项目概况</w:t>
        </w:r>
        <w:r>
          <w:tab/>
        </w:r>
        <w:r>
          <w:fldChar w:fldCharType="begin"/>
        </w:r>
        <w:r>
          <w:instrText xml:space="preserve"> PAGEREF _Toc2160 \h </w:instrText>
        </w:r>
        <w:r>
          <w:fldChar w:fldCharType="separate"/>
        </w:r>
        <w:r>
          <w:t>15</w:t>
        </w:r>
        <w:r>
          <w:fldChar w:fldCharType="end"/>
        </w:r>
      </w:hyperlink>
    </w:p>
    <w:p>
      <w:pPr>
        <w:pStyle w:val="TOC2"/>
        <w:tabs>
          <w:tab w:val="right" w:leader="dot" w:pos="8306"/>
        </w:tabs>
      </w:pPr>
      <w:hyperlink w:anchor="_Toc11202" w:history="1">
        <w:r>
          <w:rPr>
            <w:rFonts w:ascii="仿宋" w:eastAsia="仿宋" w:hAnsi="仿宋" w:cs="仿宋" w:hint="eastAsia"/>
            <w:lang w:eastAsia="zh-CN"/>
          </w:rPr>
          <w:t>(二)、艺术涂料项目目标</w:t>
        </w:r>
        <w:r>
          <w:tab/>
        </w:r>
        <w:r>
          <w:fldChar w:fldCharType="begin"/>
        </w:r>
        <w:r>
          <w:instrText xml:space="preserve"> PAGEREF _Toc11202 \h </w:instrText>
        </w:r>
        <w:r>
          <w:fldChar w:fldCharType="separate"/>
        </w:r>
        <w:r>
          <w:t>17</w:t>
        </w:r>
        <w:r>
          <w:fldChar w:fldCharType="end"/>
        </w:r>
      </w:hyperlink>
    </w:p>
    <w:p>
      <w:pPr>
        <w:pStyle w:val="TOC2"/>
        <w:tabs>
          <w:tab w:val="right" w:leader="dot" w:pos="8306"/>
        </w:tabs>
      </w:pPr>
      <w:hyperlink w:anchor="_Toc30599" w:history="1">
        <w:r>
          <w:rPr>
            <w:rFonts w:ascii="仿宋" w:eastAsia="仿宋" w:hAnsi="仿宋" w:cs="仿宋" w:hint="eastAsia"/>
            <w:lang w:eastAsia="zh-CN"/>
          </w:rPr>
          <w:t>(三)、艺术涂料项目提出的理由</w:t>
        </w:r>
        <w:r>
          <w:tab/>
        </w:r>
        <w:r>
          <w:fldChar w:fldCharType="begin"/>
        </w:r>
        <w:r>
          <w:instrText xml:space="preserve"> PAGEREF _Toc30599 \h </w:instrText>
        </w:r>
        <w:r>
          <w:fldChar w:fldCharType="separate"/>
        </w:r>
        <w:r>
          <w:t>18</w:t>
        </w:r>
        <w:r>
          <w:fldChar w:fldCharType="end"/>
        </w:r>
      </w:hyperlink>
    </w:p>
    <w:p>
      <w:pPr>
        <w:pStyle w:val="TOC2"/>
        <w:tabs>
          <w:tab w:val="right" w:leader="dot" w:pos="8306"/>
        </w:tabs>
      </w:pPr>
      <w:hyperlink w:anchor="_Toc12603" w:history="1">
        <w:r>
          <w:rPr>
            <w:rFonts w:ascii="仿宋" w:eastAsia="仿宋" w:hAnsi="仿宋" w:cs="仿宋" w:hint="eastAsia"/>
            <w:lang w:eastAsia="zh-CN"/>
          </w:rPr>
          <w:t>(四)、艺术涂料项目意义</w:t>
        </w:r>
        <w:r>
          <w:tab/>
        </w:r>
        <w:r>
          <w:fldChar w:fldCharType="begin"/>
        </w:r>
        <w:r>
          <w:instrText xml:space="preserve"> PAGEREF _Toc12603 \h </w:instrText>
        </w:r>
        <w:r>
          <w:fldChar w:fldCharType="separate"/>
        </w:r>
        <w:r>
          <w:t>20</w:t>
        </w:r>
        <w:r>
          <w:fldChar w:fldCharType="end"/>
        </w:r>
      </w:hyperlink>
    </w:p>
    <w:p>
      <w:pPr>
        <w:pStyle w:val="TOC2"/>
        <w:tabs>
          <w:tab w:val="right" w:leader="dot" w:pos="8306"/>
        </w:tabs>
      </w:pPr>
      <w:hyperlink w:anchor="_Toc12935" w:history="1">
        <w:r>
          <w:rPr>
            <w:rFonts w:ascii="仿宋" w:eastAsia="仿宋" w:hAnsi="仿宋" w:cs="仿宋" w:hint="eastAsia"/>
            <w:lang w:eastAsia="zh-CN"/>
          </w:rPr>
          <w:t>(五)、艺术涂料项目背景</w:t>
        </w:r>
        <w:r>
          <w:tab/>
        </w:r>
        <w:r>
          <w:fldChar w:fldCharType="begin"/>
        </w:r>
        <w:r>
          <w:instrText xml:space="preserve"> PAGEREF _Toc12935 \h </w:instrText>
        </w:r>
        <w:r>
          <w:fldChar w:fldCharType="separate"/>
        </w:r>
        <w:r>
          <w:t>21</w:t>
        </w:r>
        <w:r>
          <w:fldChar w:fldCharType="end"/>
        </w:r>
      </w:hyperlink>
    </w:p>
    <w:p>
      <w:pPr>
        <w:pStyle w:val="TOC1"/>
        <w:tabs>
          <w:tab w:val="right" w:leader="dot" w:pos="8306"/>
        </w:tabs>
      </w:pPr>
      <w:hyperlink w:anchor="_Toc21276" w:history="1">
        <w:r>
          <w:rPr>
            <w:rFonts w:ascii="仿宋" w:eastAsia="仿宋" w:hAnsi="仿宋" w:cs="仿宋" w:hint="eastAsia"/>
            <w:lang w:eastAsia="zh-CN"/>
          </w:rPr>
          <w:t>六、产品规划分析</w:t>
        </w:r>
        <w:r>
          <w:tab/>
        </w:r>
        <w:r>
          <w:fldChar w:fldCharType="begin"/>
        </w:r>
        <w:r>
          <w:instrText xml:space="preserve"> PAGEREF _Toc21276 \h </w:instrText>
        </w:r>
        <w:r>
          <w:fldChar w:fldCharType="separate"/>
        </w:r>
        <w:r>
          <w:t>22</w:t>
        </w:r>
        <w:r>
          <w:fldChar w:fldCharType="end"/>
        </w:r>
      </w:hyperlink>
    </w:p>
    <w:p>
      <w:pPr>
        <w:pStyle w:val="TOC2"/>
        <w:tabs>
          <w:tab w:val="right" w:leader="dot" w:pos="8306"/>
        </w:tabs>
      </w:pPr>
      <w:hyperlink w:anchor="_Toc13541" w:history="1">
        <w:r>
          <w:rPr>
            <w:rFonts w:ascii="仿宋" w:eastAsia="仿宋" w:hAnsi="仿宋" w:cs="仿宋" w:hint="eastAsia"/>
            <w:lang w:eastAsia="zh-CN"/>
          </w:rPr>
          <w:t>(一)、产品规划</w:t>
        </w:r>
        <w:r>
          <w:tab/>
        </w:r>
        <w:r>
          <w:fldChar w:fldCharType="begin"/>
        </w:r>
        <w:r>
          <w:instrText xml:space="preserve"> PAGEREF _Toc13541 \h </w:instrText>
        </w:r>
        <w:r>
          <w:fldChar w:fldCharType="separate"/>
        </w:r>
        <w:r>
          <w:t>22</w:t>
        </w:r>
        <w:r>
          <w:fldChar w:fldCharType="end"/>
        </w:r>
      </w:hyperlink>
    </w:p>
    <w:p>
      <w:pPr>
        <w:pStyle w:val="TOC2"/>
        <w:tabs>
          <w:tab w:val="right" w:leader="dot" w:pos="8306"/>
        </w:tabs>
      </w:pPr>
      <w:hyperlink w:anchor="_Toc29212" w:history="1">
        <w:r>
          <w:rPr>
            <w:rFonts w:ascii="仿宋" w:eastAsia="仿宋" w:hAnsi="仿宋" w:cs="仿宋" w:hint="eastAsia"/>
            <w:lang w:eastAsia="zh-CN"/>
          </w:rPr>
          <w:t>(二)、建设规模</w:t>
        </w:r>
        <w:r>
          <w:tab/>
        </w:r>
        <w:r>
          <w:fldChar w:fldCharType="begin"/>
        </w:r>
        <w:r>
          <w:instrText xml:space="preserve"> PAGEREF _Toc29212 \h </w:instrText>
        </w:r>
        <w:r>
          <w:fldChar w:fldCharType="separate"/>
        </w:r>
        <w:r>
          <w:t>22</w:t>
        </w:r>
        <w:r>
          <w:fldChar w:fldCharType="end"/>
        </w:r>
      </w:hyperlink>
    </w:p>
    <w:p>
      <w:pPr>
        <w:pStyle w:val="TOC1"/>
        <w:tabs>
          <w:tab w:val="right" w:leader="dot" w:pos="8306"/>
        </w:tabs>
      </w:pPr>
      <w:hyperlink w:anchor="_Toc19245" w:history="1">
        <w:r>
          <w:rPr>
            <w:rFonts w:ascii="仿宋" w:eastAsia="仿宋" w:hAnsi="仿宋" w:cs="仿宋" w:hint="eastAsia"/>
            <w:lang w:eastAsia="zh-CN"/>
          </w:rPr>
          <w:t>七、艺术涂料项目技术管理</w:t>
        </w:r>
        <w:r>
          <w:tab/>
        </w:r>
        <w:r>
          <w:fldChar w:fldCharType="begin"/>
        </w:r>
        <w:r>
          <w:instrText xml:space="preserve"> PAGEREF _Toc19245 \h </w:instrText>
        </w:r>
        <w:r>
          <w:fldChar w:fldCharType="separate"/>
        </w:r>
        <w:r>
          <w:t>24</w:t>
        </w:r>
        <w:r>
          <w:fldChar w:fldCharType="end"/>
        </w:r>
      </w:hyperlink>
    </w:p>
    <w:p>
      <w:pPr>
        <w:pStyle w:val="TOC2"/>
        <w:tabs>
          <w:tab w:val="right" w:leader="dot" w:pos="8306"/>
        </w:tabs>
      </w:pPr>
      <w:hyperlink w:anchor="_Toc9353" w:history="1">
        <w:r>
          <w:rPr>
            <w:rFonts w:ascii="仿宋" w:eastAsia="仿宋" w:hAnsi="仿宋" w:cs="仿宋" w:hint="eastAsia"/>
            <w:lang w:eastAsia="zh-CN"/>
          </w:rPr>
          <w:t>(一)、技术方案选用方向</w:t>
        </w:r>
        <w:r>
          <w:tab/>
        </w:r>
        <w:r>
          <w:fldChar w:fldCharType="begin"/>
        </w:r>
        <w:r>
          <w:instrText xml:space="preserve"> PAGEREF _Toc9353 \h </w:instrText>
        </w:r>
        <w:r>
          <w:fldChar w:fldCharType="separate"/>
        </w:r>
        <w:r>
          <w:t>24</w:t>
        </w:r>
        <w:r>
          <w:fldChar w:fldCharType="end"/>
        </w:r>
      </w:hyperlink>
    </w:p>
    <w:p>
      <w:pPr>
        <w:pStyle w:val="TOC2"/>
        <w:tabs>
          <w:tab w:val="right" w:leader="dot" w:pos="8306"/>
        </w:tabs>
      </w:pPr>
      <w:hyperlink w:anchor="_Toc26300" w:history="1">
        <w:r>
          <w:rPr>
            <w:rFonts w:ascii="仿宋" w:eastAsia="仿宋" w:hAnsi="仿宋" w:cs="仿宋" w:hint="eastAsia"/>
            <w:lang w:eastAsia="zh-CN"/>
          </w:rPr>
          <w:t>(二)、工艺技术方案选用原则</w:t>
        </w:r>
        <w:r>
          <w:tab/>
        </w:r>
        <w:r>
          <w:fldChar w:fldCharType="begin"/>
        </w:r>
        <w:r>
          <w:instrText xml:space="preserve"> PAGEREF _Toc26300 \h </w:instrText>
        </w:r>
        <w:r>
          <w:fldChar w:fldCharType="separate"/>
        </w:r>
        <w:r>
          <w:t>25</w:t>
        </w:r>
        <w:r>
          <w:fldChar w:fldCharType="end"/>
        </w:r>
      </w:hyperlink>
    </w:p>
    <w:p>
      <w:pPr>
        <w:pStyle w:val="TOC2"/>
        <w:tabs>
          <w:tab w:val="right" w:leader="dot" w:pos="8306"/>
        </w:tabs>
      </w:pPr>
      <w:hyperlink w:anchor="_Toc386" w:history="1">
        <w:r>
          <w:rPr>
            <w:rFonts w:ascii="仿宋" w:eastAsia="仿宋" w:hAnsi="仿宋" w:cs="仿宋" w:hint="eastAsia"/>
            <w:lang w:eastAsia="zh-CN"/>
          </w:rPr>
          <w:t>(三)、工艺技术方案要求</w:t>
        </w:r>
        <w:r>
          <w:tab/>
        </w:r>
        <w:r>
          <w:fldChar w:fldCharType="begin"/>
        </w:r>
        <w:r>
          <w:instrText xml:space="preserve"> PAGEREF _Toc386 \h </w:instrText>
        </w:r>
        <w:r>
          <w:fldChar w:fldCharType="separate"/>
        </w:r>
        <w:r>
          <w:t>27</w:t>
        </w:r>
        <w:r>
          <w:fldChar w:fldCharType="end"/>
        </w:r>
      </w:hyperlink>
    </w:p>
    <w:p>
      <w:pPr>
        <w:pStyle w:val="TOC1"/>
        <w:tabs>
          <w:tab w:val="right" w:leader="dot" w:pos="8306"/>
        </w:tabs>
      </w:pPr>
      <w:hyperlink w:anchor="_Toc26751" w:history="1">
        <w:r>
          <w:rPr>
            <w:rFonts w:ascii="仿宋" w:eastAsia="仿宋" w:hAnsi="仿宋" w:cs="仿宋" w:hint="eastAsia"/>
            <w:lang w:eastAsia="zh-CN"/>
          </w:rPr>
          <w:t>八、艺术涂料项目人力资源培养与发展</w:t>
        </w:r>
        <w:r>
          <w:tab/>
        </w:r>
        <w:r>
          <w:fldChar w:fldCharType="begin"/>
        </w:r>
        <w:r>
          <w:instrText xml:space="preserve"> PAGEREF _Toc26751 \h </w:instrText>
        </w:r>
        <w:r>
          <w:fldChar w:fldCharType="separate"/>
        </w:r>
        <w:r>
          <w:t>30</w:t>
        </w:r>
        <w:r>
          <w:fldChar w:fldCharType="end"/>
        </w:r>
      </w:hyperlink>
    </w:p>
    <w:p>
      <w:pPr>
        <w:pStyle w:val="TOC2"/>
        <w:tabs>
          <w:tab w:val="right" w:leader="dot" w:pos="8306"/>
        </w:tabs>
      </w:pPr>
      <w:hyperlink w:anchor="_Toc15178" w:history="1">
        <w:r>
          <w:rPr>
            <w:rFonts w:ascii="仿宋" w:eastAsia="仿宋" w:hAnsi="仿宋" w:cs="仿宋" w:hint="eastAsia"/>
            <w:lang w:eastAsia="zh-CN"/>
          </w:rPr>
          <w:t>(一)、人才需求与规划</w:t>
        </w:r>
        <w:r>
          <w:tab/>
        </w:r>
        <w:r>
          <w:fldChar w:fldCharType="begin"/>
        </w:r>
        <w:r>
          <w:instrText xml:space="preserve"> PAGEREF _Toc15178 \h </w:instrText>
        </w:r>
        <w:r>
          <w:fldChar w:fldCharType="separate"/>
        </w:r>
        <w:r>
          <w:t>30</w:t>
        </w:r>
        <w:r>
          <w:fldChar w:fldCharType="end"/>
        </w:r>
      </w:hyperlink>
    </w:p>
    <w:p>
      <w:pPr>
        <w:pStyle w:val="TOC2"/>
        <w:tabs>
          <w:tab w:val="right" w:leader="dot" w:pos="8306"/>
        </w:tabs>
      </w:pPr>
      <w:hyperlink w:anchor="_Toc25238" w:history="1">
        <w:r>
          <w:rPr>
            <w:rFonts w:ascii="仿宋" w:eastAsia="仿宋" w:hAnsi="仿宋" w:cs="仿宋" w:hint="eastAsia"/>
            <w:lang w:eastAsia="zh-CN"/>
          </w:rPr>
          <w:t>(二)、培训与发展计划</w:t>
        </w:r>
        <w:r>
          <w:tab/>
        </w:r>
        <w:r>
          <w:fldChar w:fldCharType="begin"/>
        </w:r>
        <w:r>
          <w:instrText xml:space="preserve"> PAGEREF _Toc25238 \h </w:instrText>
        </w:r>
        <w:r>
          <w:fldChar w:fldCharType="separate"/>
        </w:r>
        <w:r>
          <w:t>30</w:t>
        </w:r>
        <w:r>
          <w:fldChar w:fldCharType="end"/>
        </w:r>
      </w:hyperlink>
    </w:p>
    <w:p>
      <w:pPr>
        <w:pStyle w:val="TOC1"/>
        <w:tabs>
          <w:tab w:val="right" w:leader="dot" w:pos="8306"/>
        </w:tabs>
      </w:pPr>
      <w:hyperlink w:anchor="_Toc10459" w:history="1">
        <w:r>
          <w:rPr>
            <w:rFonts w:ascii="仿宋" w:eastAsia="仿宋" w:hAnsi="仿宋" w:cs="仿宋" w:hint="eastAsia"/>
            <w:lang w:eastAsia="zh-CN"/>
          </w:rPr>
          <w:t>九、艺术涂料项目人力资源管理</w:t>
        </w:r>
        <w:r>
          <w:tab/>
        </w:r>
        <w:r>
          <w:fldChar w:fldCharType="begin"/>
        </w:r>
        <w:r>
          <w:instrText xml:space="preserve"> PAGEREF _Toc10459 \h </w:instrText>
        </w:r>
        <w:r>
          <w:fldChar w:fldCharType="separate"/>
        </w:r>
        <w:r>
          <w:t>31</w:t>
        </w:r>
        <w:r>
          <w:fldChar w:fldCharType="end"/>
        </w:r>
      </w:hyperlink>
    </w:p>
    <w:p>
      <w:pPr>
        <w:pStyle w:val="TOC2"/>
        <w:tabs>
          <w:tab w:val="right" w:leader="dot" w:pos="8306"/>
        </w:tabs>
      </w:pPr>
      <w:hyperlink w:anchor="_Toc4097" w:history="1">
        <w:r>
          <w:rPr>
            <w:rFonts w:ascii="仿宋" w:eastAsia="仿宋" w:hAnsi="仿宋" w:cs="仿宋" w:hint="eastAsia"/>
            <w:lang w:eastAsia="zh-CN"/>
          </w:rPr>
          <w:t>(一)、建立健全的预算管理制度</w:t>
        </w:r>
        <w:r>
          <w:tab/>
        </w:r>
        <w:r>
          <w:fldChar w:fldCharType="begin"/>
        </w:r>
        <w:r>
          <w:instrText xml:space="preserve"> PAGEREF _Toc4097 \h </w:instrText>
        </w:r>
        <w:r>
          <w:fldChar w:fldCharType="separate"/>
        </w:r>
        <w:r>
          <w:t>31</w:t>
        </w:r>
        <w:r>
          <w:fldChar w:fldCharType="end"/>
        </w:r>
      </w:hyperlink>
    </w:p>
    <w:p>
      <w:pPr>
        <w:pStyle w:val="TOC2"/>
        <w:tabs>
          <w:tab w:val="right" w:leader="dot" w:pos="8306"/>
        </w:tabs>
      </w:pPr>
      <w:hyperlink w:anchor="_Toc8544" w:history="1">
        <w:r>
          <w:rPr>
            <w:rFonts w:ascii="仿宋" w:eastAsia="仿宋" w:hAnsi="仿宋" w:cs="仿宋" w:hint="eastAsia"/>
            <w:lang w:eastAsia="zh-CN"/>
          </w:rPr>
          <w:t>(二)、加强资金流动监控</w:t>
        </w:r>
        <w:r>
          <w:tab/>
        </w:r>
        <w:r>
          <w:fldChar w:fldCharType="begin"/>
        </w:r>
        <w:r>
          <w:instrText xml:space="preserve"> PAGEREF _Toc8544 \h </w:instrText>
        </w:r>
        <w:r>
          <w:fldChar w:fldCharType="separate"/>
        </w:r>
        <w:r>
          <w:t>32</w:t>
        </w:r>
        <w:r>
          <w:fldChar w:fldCharType="end"/>
        </w:r>
      </w:hyperlink>
    </w:p>
    <w:p>
      <w:pPr>
        <w:pStyle w:val="TOC2"/>
        <w:tabs>
          <w:tab w:val="right" w:leader="dot" w:pos="8306"/>
        </w:tabs>
      </w:pPr>
      <w:hyperlink w:anchor="_Toc31428" w:history="1">
        <w:r>
          <w:rPr>
            <w:rFonts w:ascii="仿宋" w:eastAsia="仿宋" w:hAnsi="仿宋" w:cs="仿宋" w:hint="eastAsia"/>
            <w:lang w:eastAsia="zh-CN"/>
          </w:rPr>
          <w:t>(三)、制定完善的风险控制机制</w:t>
        </w:r>
        <w:r>
          <w:tab/>
        </w:r>
        <w:r>
          <w:fldChar w:fldCharType="begin"/>
        </w:r>
        <w:r>
          <w:instrText xml:space="preserve"> PAGEREF _Toc31428 \h </w:instrText>
        </w:r>
        <w:r>
          <w:fldChar w:fldCharType="separate"/>
        </w:r>
        <w:r>
          <w:t>34</w:t>
        </w:r>
        <w:r>
          <w:fldChar w:fldCharType="end"/>
        </w:r>
      </w:hyperlink>
    </w:p>
    <w:p>
      <w:pPr>
        <w:pStyle w:val="TOC2"/>
        <w:tabs>
          <w:tab w:val="right" w:leader="dot" w:pos="8306"/>
        </w:tabs>
      </w:pPr>
      <w:hyperlink w:anchor="_Toc24645" w:history="1">
        <w:r>
          <w:rPr>
            <w:rFonts w:ascii="仿宋" w:eastAsia="仿宋" w:hAnsi="仿宋" w:cs="仿宋" w:hint="eastAsia"/>
            <w:lang w:eastAsia="zh-CN"/>
          </w:rPr>
          <w:t>(四)、优化成本管理</w:t>
        </w:r>
        <w:r>
          <w:tab/>
        </w:r>
        <w:r>
          <w:fldChar w:fldCharType="begin"/>
        </w:r>
        <w:r>
          <w:instrText xml:space="preserve"> PAGEREF _Toc24645 \h </w:instrText>
        </w:r>
        <w:r>
          <w:fldChar w:fldCharType="separate"/>
        </w:r>
        <w:r>
          <w:t>35</w:t>
        </w:r>
        <w:r>
          <w:fldChar w:fldCharType="end"/>
        </w:r>
      </w:hyperlink>
    </w:p>
    <w:p>
      <w:pPr>
        <w:pStyle w:val="TOC1"/>
        <w:tabs>
          <w:tab w:val="right" w:leader="dot" w:pos="8306"/>
        </w:tabs>
      </w:pPr>
      <w:hyperlink w:anchor="_Toc19495" w:history="1">
        <w:r>
          <w:rPr>
            <w:rFonts w:ascii="仿宋" w:eastAsia="仿宋" w:hAnsi="仿宋" w:cs="仿宋" w:hint="eastAsia"/>
            <w:lang w:eastAsia="zh-CN"/>
          </w:rPr>
          <w:t>十、艺术涂料项目财务管理</w:t>
        </w:r>
        <w:r>
          <w:tab/>
        </w:r>
        <w:r>
          <w:fldChar w:fldCharType="begin"/>
        </w:r>
        <w:r>
          <w:instrText xml:space="preserve"> PAGEREF _Toc19495 \h </w:instrText>
        </w:r>
        <w:r>
          <w:fldChar w:fldCharType="separate"/>
        </w:r>
        <w:r>
          <w:t>36</w:t>
        </w:r>
        <w:r>
          <w:fldChar w:fldCharType="end"/>
        </w:r>
      </w:hyperlink>
    </w:p>
    <w:p>
      <w:pPr>
        <w:pStyle w:val="TOC2"/>
        <w:tabs>
          <w:tab w:val="right" w:leader="dot" w:pos="8306"/>
        </w:tabs>
      </w:pPr>
      <w:hyperlink w:anchor="_Toc7932" w:history="1">
        <w:r>
          <w:rPr>
            <w:rFonts w:ascii="仿宋" w:eastAsia="仿宋" w:hAnsi="仿宋" w:cs="仿宋" w:hint="eastAsia"/>
            <w:lang w:eastAsia="zh-CN"/>
          </w:rPr>
          <w:t>(一)、资金需求大</w:t>
        </w:r>
        <w:r>
          <w:tab/>
        </w:r>
        <w:r>
          <w:fldChar w:fldCharType="begin"/>
        </w:r>
        <w:r>
          <w:instrText xml:space="preserve"> PAGEREF _Toc7932 \h </w:instrText>
        </w:r>
        <w:r>
          <w:fldChar w:fldCharType="separate"/>
        </w:r>
        <w:r>
          <w:t>36</w:t>
        </w:r>
        <w:r>
          <w:fldChar w:fldCharType="end"/>
        </w:r>
      </w:hyperlink>
    </w:p>
    <w:p>
      <w:pPr>
        <w:pStyle w:val="TOC2"/>
        <w:tabs>
          <w:tab w:val="right" w:leader="dot" w:pos="8306"/>
        </w:tabs>
      </w:pPr>
      <w:hyperlink w:anchor="_Toc24575" w:history="1">
        <w:r>
          <w:rPr>
            <w:rFonts w:ascii="仿宋" w:eastAsia="仿宋" w:hAnsi="仿宋" w:cs="仿宋" w:hint="eastAsia"/>
            <w:lang w:eastAsia="zh-CN"/>
          </w:rPr>
          <w:t>(二)、研发周期长</w:t>
        </w:r>
        <w:r>
          <w:tab/>
        </w:r>
        <w:r>
          <w:fldChar w:fldCharType="begin"/>
        </w:r>
        <w:r>
          <w:instrText xml:space="preserve"> PAGEREF _Toc24575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6" w:history="1">
        <w:r>
          <w:rPr>
            <w:rFonts w:ascii="仿宋" w:eastAsia="仿宋" w:hAnsi="仿宋" w:cs="仿宋" w:hint="eastAsia"/>
            <w:lang w:eastAsia="zh-CN"/>
          </w:rPr>
          <w:t>(三)、市场风险大</w:t>
        </w:r>
        <w:r>
          <w:tab/>
        </w:r>
        <w:r>
          <w:fldChar w:fldCharType="begin"/>
        </w:r>
        <w:r>
          <w:instrText xml:space="preserve"> PAGEREF _Toc14756 \h </w:instrText>
        </w:r>
        <w:r>
          <w:fldChar w:fldCharType="separate"/>
        </w:r>
        <w:r>
          <w:t>38</w:t>
        </w:r>
        <w:r>
          <w:fldChar w:fldCharType="end"/>
        </w:r>
      </w:hyperlink>
    </w:p>
    <w:p>
      <w:pPr>
        <w:pStyle w:val="TOC2"/>
        <w:tabs>
          <w:tab w:val="right" w:leader="dot" w:pos="8306"/>
        </w:tabs>
      </w:pPr>
      <w:hyperlink w:anchor="_Toc15131" w:history="1">
        <w:r>
          <w:rPr>
            <w:rFonts w:ascii="仿宋" w:eastAsia="仿宋" w:hAnsi="仿宋" w:cs="仿宋" w:hint="eastAsia"/>
            <w:lang w:eastAsia="zh-CN"/>
          </w:rPr>
          <w:t>(四)、利润率高</w:t>
        </w:r>
        <w:r>
          <w:tab/>
        </w:r>
        <w:r>
          <w:fldChar w:fldCharType="begin"/>
        </w:r>
        <w:r>
          <w:instrText xml:space="preserve"> PAGEREF _Toc15131 \h </w:instrText>
        </w:r>
        <w:r>
          <w:fldChar w:fldCharType="separate"/>
        </w:r>
        <w:r>
          <w:t>41</w:t>
        </w:r>
        <w:r>
          <w:fldChar w:fldCharType="end"/>
        </w:r>
      </w:hyperlink>
    </w:p>
    <w:p>
      <w:pPr>
        <w:pStyle w:val="TOC1"/>
        <w:tabs>
          <w:tab w:val="right" w:leader="dot" w:pos="8306"/>
        </w:tabs>
      </w:pPr>
      <w:hyperlink w:anchor="_Toc7735" w:history="1">
        <w:r>
          <w:rPr>
            <w:rFonts w:ascii="仿宋" w:eastAsia="仿宋" w:hAnsi="仿宋" w:cs="仿宋" w:hint="eastAsia"/>
            <w:lang w:eastAsia="zh-CN"/>
          </w:rPr>
          <w:t>十一、艺术涂料项目投资规划</w:t>
        </w:r>
        <w:r>
          <w:tab/>
        </w:r>
        <w:r>
          <w:fldChar w:fldCharType="begin"/>
        </w:r>
        <w:r>
          <w:instrText xml:space="preserve"> PAGEREF _Toc7735 \h </w:instrText>
        </w:r>
        <w:r>
          <w:fldChar w:fldCharType="separate"/>
        </w:r>
        <w:r>
          <w:t>43</w:t>
        </w:r>
        <w:r>
          <w:fldChar w:fldCharType="end"/>
        </w:r>
      </w:hyperlink>
    </w:p>
    <w:p>
      <w:pPr>
        <w:pStyle w:val="TOC2"/>
        <w:tabs>
          <w:tab w:val="right" w:leader="dot" w:pos="8306"/>
        </w:tabs>
      </w:pPr>
      <w:hyperlink w:anchor="_Toc17999" w:history="1">
        <w:r>
          <w:rPr>
            <w:rFonts w:ascii="仿宋" w:eastAsia="仿宋" w:hAnsi="仿宋" w:cs="仿宋" w:hint="eastAsia"/>
            <w:lang w:eastAsia="zh-CN"/>
          </w:rPr>
          <w:t>(一)、艺术涂料项目总投资估算</w:t>
        </w:r>
        <w:r>
          <w:tab/>
        </w:r>
        <w:r>
          <w:fldChar w:fldCharType="begin"/>
        </w:r>
        <w:r>
          <w:instrText xml:space="preserve"> PAGEREF _Toc17999 \h </w:instrText>
        </w:r>
        <w:r>
          <w:fldChar w:fldCharType="separate"/>
        </w:r>
        <w:r>
          <w:t>43</w:t>
        </w:r>
        <w:r>
          <w:fldChar w:fldCharType="end"/>
        </w:r>
      </w:hyperlink>
    </w:p>
    <w:p>
      <w:pPr>
        <w:pStyle w:val="TOC2"/>
        <w:tabs>
          <w:tab w:val="right" w:leader="dot" w:pos="8306"/>
        </w:tabs>
      </w:pPr>
      <w:hyperlink w:anchor="_Toc497" w:history="1">
        <w:r>
          <w:rPr>
            <w:rFonts w:ascii="仿宋" w:eastAsia="仿宋" w:hAnsi="仿宋" w:cs="仿宋" w:hint="eastAsia"/>
            <w:lang w:eastAsia="zh-CN"/>
          </w:rPr>
          <w:t>(二)、资金筹措</w:t>
        </w:r>
        <w:r>
          <w:tab/>
        </w:r>
        <w:r>
          <w:fldChar w:fldCharType="begin"/>
        </w:r>
        <w:r>
          <w:instrText xml:space="preserve"> PAGEREF _Toc497 \h </w:instrText>
        </w:r>
        <w:r>
          <w:fldChar w:fldCharType="separate"/>
        </w:r>
        <w:r>
          <w:t>44</w:t>
        </w:r>
        <w:r>
          <w:fldChar w:fldCharType="end"/>
        </w:r>
      </w:hyperlink>
    </w:p>
    <w:p>
      <w:pPr>
        <w:pStyle w:val="TOC1"/>
        <w:tabs>
          <w:tab w:val="right" w:leader="dot" w:pos="8306"/>
        </w:tabs>
      </w:pPr>
      <w:hyperlink w:anchor="_Toc31418" w:history="1">
        <w:r>
          <w:rPr>
            <w:rFonts w:ascii="仿宋" w:eastAsia="仿宋" w:hAnsi="仿宋" w:cs="仿宋" w:hint="eastAsia"/>
            <w:lang w:eastAsia="zh-CN"/>
          </w:rPr>
          <w:t>十二、艺术涂料项目创新与研发</w:t>
        </w:r>
        <w:r>
          <w:tab/>
        </w:r>
        <w:r>
          <w:fldChar w:fldCharType="begin"/>
        </w:r>
        <w:r>
          <w:instrText xml:space="preserve"> PAGEREF _Toc31418 \h </w:instrText>
        </w:r>
        <w:r>
          <w:fldChar w:fldCharType="separate"/>
        </w:r>
        <w:r>
          <w:t>45</w:t>
        </w:r>
        <w:r>
          <w:fldChar w:fldCharType="end"/>
        </w:r>
      </w:hyperlink>
    </w:p>
    <w:p>
      <w:pPr>
        <w:pStyle w:val="TOC2"/>
        <w:tabs>
          <w:tab w:val="right" w:leader="dot" w:pos="8306"/>
        </w:tabs>
      </w:pPr>
      <w:hyperlink w:anchor="_Toc30467" w:history="1">
        <w:r>
          <w:rPr>
            <w:rFonts w:ascii="仿宋" w:eastAsia="仿宋" w:hAnsi="仿宋" w:cs="仿宋" w:hint="eastAsia"/>
            <w:lang w:eastAsia="zh-CN"/>
          </w:rPr>
          <w:t>(一)、创新策略与方向</w:t>
        </w:r>
        <w:r>
          <w:tab/>
        </w:r>
        <w:r>
          <w:fldChar w:fldCharType="begin"/>
        </w:r>
        <w:r>
          <w:instrText xml:space="preserve"> PAGEREF _Toc30467 \h </w:instrText>
        </w:r>
        <w:r>
          <w:fldChar w:fldCharType="separate"/>
        </w:r>
        <w:r>
          <w:t>45</w:t>
        </w:r>
        <w:r>
          <w:fldChar w:fldCharType="end"/>
        </w:r>
      </w:hyperlink>
    </w:p>
    <w:p>
      <w:pPr>
        <w:pStyle w:val="TOC2"/>
        <w:tabs>
          <w:tab w:val="right" w:leader="dot" w:pos="8306"/>
        </w:tabs>
      </w:pPr>
      <w:hyperlink w:anchor="_Toc20780" w:history="1">
        <w:r>
          <w:rPr>
            <w:rFonts w:ascii="仿宋" w:eastAsia="仿宋" w:hAnsi="仿宋" w:cs="仿宋" w:hint="eastAsia"/>
            <w:lang w:eastAsia="zh-CN"/>
          </w:rPr>
          <w:t>(二)、研发规划与投入</w:t>
        </w:r>
        <w:r>
          <w:tab/>
        </w:r>
        <w:r>
          <w:fldChar w:fldCharType="begin"/>
        </w:r>
        <w:r>
          <w:instrText xml:space="preserve"> PAGEREF _Toc20780 \h </w:instrText>
        </w:r>
        <w:r>
          <w:fldChar w:fldCharType="separate"/>
        </w:r>
        <w:r>
          <w:t>47</w:t>
        </w:r>
        <w:r>
          <w:fldChar w:fldCharType="end"/>
        </w:r>
      </w:hyperlink>
    </w:p>
    <w:p>
      <w:pPr>
        <w:pStyle w:val="TOC1"/>
        <w:tabs>
          <w:tab w:val="right" w:leader="dot" w:pos="8306"/>
        </w:tabs>
      </w:pPr>
      <w:hyperlink w:anchor="_Toc3285" w:history="1">
        <w:r>
          <w:rPr>
            <w:rFonts w:ascii="仿宋" w:eastAsia="仿宋" w:hAnsi="仿宋" w:cs="仿宋" w:hint="eastAsia"/>
            <w:lang w:eastAsia="zh-CN"/>
          </w:rPr>
          <w:t>十三、艺术涂料项目实施时间节点</w:t>
        </w:r>
        <w:r>
          <w:tab/>
        </w:r>
        <w:r>
          <w:fldChar w:fldCharType="begin"/>
        </w:r>
        <w:r>
          <w:instrText xml:space="preserve"> PAGEREF _Toc3285 \h </w:instrText>
        </w:r>
        <w:r>
          <w:fldChar w:fldCharType="separate"/>
        </w:r>
        <w:r>
          <w:t>48</w:t>
        </w:r>
        <w:r>
          <w:fldChar w:fldCharType="end"/>
        </w:r>
      </w:hyperlink>
    </w:p>
    <w:p>
      <w:pPr>
        <w:pStyle w:val="TOC2"/>
        <w:tabs>
          <w:tab w:val="right" w:leader="dot" w:pos="8306"/>
        </w:tabs>
      </w:pPr>
      <w:hyperlink w:anchor="_Toc5599" w:history="1">
        <w:r>
          <w:rPr>
            <w:rFonts w:ascii="仿宋" w:eastAsia="仿宋" w:hAnsi="仿宋" w:cs="仿宋" w:hint="eastAsia"/>
            <w:lang w:eastAsia="zh-CN"/>
          </w:rPr>
          <w:t>(一)、艺术涂料项目启动阶段时间节点</w:t>
        </w:r>
        <w:r>
          <w:tab/>
        </w:r>
        <w:r>
          <w:fldChar w:fldCharType="begin"/>
        </w:r>
        <w:r>
          <w:instrText xml:space="preserve"> PAGEREF _Toc5599 \h </w:instrText>
        </w:r>
        <w:r>
          <w:fldChar w:fldCharType="separate"/>
        </w:r>
        <w:r>
          <w:t>48</w:t>
        </w:r>
        <w:r>
          <w:fldChar w:fldCharType="end"/>
        </w:r>
      </w:hyperlink>
    </w:p>
    <w:p>
      <w:pPr>
        <w:pStyle w:val="TOC2"/>
        <w:tabs>
          <w:tab w:val="right" w:leader="dot" w:pos="8306"/>
        </w:tabs>
      </w:pPr>
      <w:hyperlink w:anchor="_Toc14177" w:history="1">
        <w:r>
          <w:rPr>
            <w:rFonts w:ascii="仿宋" w:eastAsia="仿宋" w:hAnsi="仿宋" w:cs="仿宋" w:hint="eastAsia"/>
            <w:lang w:eastAsia="zh-CN"/>
          </w:rPr>
          <w:t>(二)、艺术涂料项目执行阶段时间节点</w:t>
        </w:r>
        <w:r>
          <w:tab/>
        </w:r>
        <w:r>
          <w:fldChar w:fldCharType="begin"/>
        </w:r>
        <w:r>
          <w:instrText xml:space="preserve"> PAGEREF _Toc14177 \h </w:instrText>
        </w:r>
        <w:r>
          <w:fldChar w:fldCharType="separate"/>
        </w:r>
        <w:r>
          <w:t>49</w:t>
        </w:r>
        <w:r>
          <w:fldChar w:fldCharType="end"/>
        </w:r>
      </w:hyperlink>
    </w:p>
    <w:p>
      <w:pPr>
        <w:pStyle w:val="TOC2"/>
        <w:tabs>
          <w:tab w:val="right" w:leader="dot" w:pos="8306"/>
        </w:tabs>
      </w:pPr>
      <w:hyperlink w:anchor="_Toc2787" w:history="1">
        <w:r>
          <w:rPr>
            <w:rFonts w:ascii="仿宋" w:eastAsia="仿宋" w:hAnsi="仿宋" w:cs="仿宋" w:hint="eastAsia"/>
            <w:lang w:eastAsia="zh-CN"/>
          </w:rPr>
          <w:t>(三)、艺术涂料项目完成阶段时间节点</w:t>
        </w:r>
        <w:r>
          <w:tab/>
        </w:r>
        <w:r>
          <w:fldChar w:fldCharType="begin"/>
        </w:r>
        <w:r>
          <w:instrText xml:space="preserve"> PAGEREF _Toc2787 \h </w:instrText>
        </w:r>
        <w:r>
          <w:fldChar w:fldCharType="separate"/>
        </w:r>
        <w:r>
          <w:t>50</w:t>
        </w:r>
        <w:r>
          <w:fldChar w:fldCharType="end"/>
        </w:r>
      </w:hyperlink>
    </w:p>
    <w:p>
      <w:pPr>
        <w:pStyle w:val="TOC1"/>
        <w:tabs>
          <w:tab w:val="right" w:leader="dot" w:pos="8306"/>
        </w:tabs>
      </w:pPr>
      <w:hyperlink w:anchor="_Toc24182" w:history="1">
        <w:r>
          <w:rPr>
            <w:rFonts w:ascii="仿宋" w:eastAsia="仿宋" w:hAnsi="仿宋" w:cs="仿宋" w:hint="eastAsia"/>
            <w:lang w:eastAsia="zh-CN"/>
          </w:rPr>
          <w:t>十四、质量管理体系</w:t>
        </w:r>
        <w:r>
          <w:tab/>
        </w:r>
        <w:r>
          <w:fldChar w:fldCharType="begin"/>
        </w:r>
        <w:r>
          <w:instrText xml:space="preserve"> PAGEREF _Toc24182 \h </w:instrText>
        </w:r>
        <w:r>
          <w:fldChar w:fldCharType="separate"/>
        </w:r>
        <w:r>
          <w:t>51</w:t>
        </w:r>
        <w:r>
          <w:fldChar w:fldCharType="end"/>
        </w:r>
      </w:hyperlink>
    </w:p>
    <w:p>
      <w:pPr>
        <w:pStyle w:val="TOC2"/>
        <w:tabs>
          <w:tab w:val="right" w:leader="dot" w:pos="8306"/>
        </w:tabs>
      </w:pPr>
      <w:hyperlink w:anchor="_Toc22245" w:history="1">
        <w:r>
          <w:rPr>
            <w:rFonts w:ascii="仿宋" w:eastAsia="仿宋" w:hAnsi="仿宋" w:cs="仿宋" w:hint="eastAsia"/>
            <w:lang w:eastAsia="zh-CN"/>
          </w:rPr>
          <w:t>(一)、质量目标与方针</w:t>
        </w:r>
        <w:r>
          <w:tab/>
        </w:r>
        <w:r>
          <w:fldChar w:fldCharType="begin"/>
        </w:r>
        <w:r>
          <w:instrText xml:space="preserve"> PAGEREF _Toc22245 \h </w:instrText>
        </w:r>
        <w:r>
          <w:fldChar w:fldCharType="separate"/>
        </w:r>
        <w:r>
          <w:t>51</w:t>
        </w:r>
        <w:r>
          <w:fldChar w:fldCharType="end"/>
        </w:r>
      </w:hyperlink>
    </w:p>
    <w:p>
      <w:pPr>
        <w:pStyle w:val="TOC2"/>
        <w:tabs>
          <w:tab w:val="right" w:leader="dot" w:pos="8306"/>
        </w:tabs>
      </w:pPr>
      <w:hyperlink w:anchor="_Toc15317" w:history="1">
        <w:r>
          <w:rPr>
            <w:rFonts w:ascii="仿宋" w:eastAsia="仿宋" w:hAnsi="仿宋" w:cs="仿宋" w:hint="eastAsia"/>
            <w:lang w:eastAsia="zh-CN"/>
          </w:rPr>
          <w:t>(二)、质量管理责任</w:t>
        </w:r>
        <w:r>
          <w:tab/>
        </w:r>
        <w:r>
          <w:fldChar w:fldCharType="begin"/>
        </w:r>
        <w:r>
          <w:instrText xml:space="preserve"> PAGEREF _Toc15317 \h </w:instrText>
        </w:r>
        <w:r>
          <w:fldChar w:fldCharType="separate"/>
        </w:r>
        <w:r>
          <w:t>52</w:t>
        </w:r>
        <w:r>
          <w:fldChar w:fldCharType="end"/>
        </w:r>
      </w:hyperlink>
    </w:p>
    <w:p>
      <w:pPr>
        <w:pStyle w:val="TOC2"/>
        <w:tabs>
          <w:tab w:val="right" w:leader="dot" w:pos="8306"/>
        </w:tabs>
      </w:pPr>
      <w:hyperlink w:anchor="_Toc27452" w:history="1">
        <w:r>
          <w:rPr>
            <w:rFonts w:ascii="仿宋" w:eastAsia="仿宋" w:hAnsi="仿宋" w:cs="仿宋" w:hint="eastAsia"/>
            <w:lang w:eastAsia="zh-CN"/>
          </w:rPr>
          <w:t>(三)、质量管理体系文件</w:t>
        </w:r>
        <w:r>
          <w:tab/>
        </w:r>
        <w:r>
          <w:fldChar w:fldCharType="begin"/>
        </w:r>
        <w:r>
          <w:instrText xml:space="preserve"> PAGEREF _Toc27452 \h </w:instrText>
        </w:r>
        <w:r>
          <w:fldChar w:fldCharType="separate"/>
        </w:r>
        <w:r>
          <w:t>54</w:t>
        </w:r>
        <w:r>
          <w:fldChar w:fldCharType="end"/>
        </w:r>
      </w:hyperlink>
    </w:p>
    <w:p>
      <w:pPr>
        <w:pStyle w:val="TOC2"/>
        <w:tabs>
          <w:tab w:val="right" w:leader="dot" w:pos="8306"/>
        </w:tabs>
      </w:pPr>
      <w:hyperlink w:anchor="_Toc10129" w:history="1">
        <w:r>
          <w:rPr>
            <w:rFonts w:ascii="仿宋" w:eastAsia="仿宋" w:hAnsi="仿宋" w:cs="仿宋" w:hint="eastAsia"/>
            <w:lang w:eastAsia="zh-CN"/>
          </w:rPr>
          <w:t>(四)、质量培训与教育</w:t>
        </w:r>
        <w:r>
          <w:tab/>
        </w:r>
        <w:r>
          <w:fldChar w:fldCharType="begin"/>
        </w:r>
        <w:r>
          <w:instrText xml:space="preserve"> PAGEREF _Toc10129 \h </w:instrText>
        </w:r>
        <w:r>
          <w:fldChar w:fldCharType="separate"/>
        </w:r>
        <w:r>
          <w:t>56</w:t>
        </w:r>
        <w:r>
          <w:fldChar w:fldCharType="end"/>
        </w:r>
      </w:hyperlink>
    </w:p>
    <w:p>
      <w:pPr>
        <w:pStyle w:val="TOC2"/>
        <w:tabs>
          <w:tab w:val="right" w:leader="dot" w:pos="8306"/>
        </w:tabs>
      </w:pPr>
      <w:hyperlink w:anchor="_Toc9063" w:history="1">
        <w:r>
          <w:rPr>
            <w:rFonts w:ascii="仿宋" w:eastAsia="仿宋" w:hAnsi="仿宋" w:cs="仿宋" w:hint="eastAsia"/>
            <w:lang w:eastAsia="zh-CN"/>
          </w:rPr>
          <w:t>(五)、质量审核与评价</w:t>
        </w:r>
        <w:r>
          <w:tab/>
        </w:r>
        <w:r>
          <w:fldChar w:fldCharType="begin"/>
        </w:r>
        <w:r>
          <w:instrText xml:space="preserve"> PAGEREF _Toc9063 \h </w:instrText>
        </w:r>
        <w:r>
          <w:fldChar w:fldCharType="separate"/>
        </w:r>
        <w:r>
          <w:t>57</w:t>
        </w:r>
        <w:r>
          <w:fldChar w:fldCharType="end"/>
        </w:r>
      </w:hyperlink>
    </w:p>
    <w:p>
      <w:pPr>
        <w:pStyle w:val="TOC2"/>
        <w:tabs>
          <w:tab w:val="right" w:leader="dot" w:pos="8306"/>
        </w:tabs>
      </w:pPr>
      <w:hyperlink w:anchor="_Toc11287" w:history="1">
        <w:r>
          <w:rPr>
            <w:rFonts w:ascii="仿宋" w:eastAsia="仿宋" w:hAnsi="仿宋" w:cs="仿宋" w:hint="eastAsia"/>
            <w:lang w:eastAsia="zh-CN"/>
          </w:rPr>
          <w:t>(六)、不符合与纠正措施</w:t>
        </w:r>
        <w:r>
          <w:tab/>
        </w:r>
        <w:r>
          <w:fldChar w:fldCharType="begin"/>
        </w:r>
        <w:r>
          <w:instrText xml:space="preserve"> PAGEREF _Toc11287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65"/>
      <w:r>
        <w:rPr>
          <w:rFonts w:ascii="仿宋" w:eastAsia="仿宋" w:hAnsi="仿宋" w:cs="仿宋" w:hint="eastAsia"/>
          <w:sz w:val="28"/>
          <w:lang w:eastAsia="zh-CN"/>
        </w:rPr>
        <w:t>一、艺术涂料项目绩效评估</w:t>
      </w:r>
      <w:bookmarkEnd w:id="2"/>
    </w:p>
    <w:p>
      <w:pPr>
        <w:pStyle w:val="Heading2"/>
        <w:rPr>
          <w:rFonts w:ascii="仿宋" w:eastAsia="仿宋" w:hAnsi="仿宋" w:cs="仿宋" w:hint="eastAsia"/>
          <w:lang w:eastAsia="zh-CN"/>
        </w:rPr>
      </w:pPr>
      <w:bookmarkStart w:id="3" w:name="_Toc101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项目中，我们设计了一套全面的绩效评估指标，以确保艺术涂料项目的可控和成功交付。这些指标跨足艺术涂料项目目标、成本、进度和质量等多个维度，为我们提供了全面洞察艺术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目标达成率是我们关注的首要指标。我们设定了明确的目标，并通过定期监测和评估，迅速发现并应对潜在的目标偏差。这为艺术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成本绩效是另一个核心关注点。通过实际成本与预算成本的对比分析，我们深入了解成本差异的原因，及时调整资源分配，保持艺术涂料项目在经济效益方面的合理水平。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进度作为关键的绩效指标之一，得到了精心的关注。我们制定了详细的艺术涂料项目进度计划，并设立了进度符合度指标，确保实际进度与计划进度保持一致。这使我们能够快速发现和解决潜在的进度问题，保持艺术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艺术涂料项目绩效的不可或缺的一环。我们引入了一系列的质量标准和客户满意度指标，以确保艺术涂料项目交付的成果在质量上达到或超越预期水平。通过持续监测这些指标，我们努力提升艺术涂料项目整体质量水平，为艺术涂料项目的成功交付提供有力保障。通过这些科学且全面的绩效评估，我们能够更好地引导艺术涂料项目的持续改进，确保艺术涂料项目目标的顺利达成。</w:t>
      </w:r>
    </w:p>
    <w:p>
      <w:pPr>
        <w:pStyle w:val="Heading2"/>
        <w:ind w:firstLine="560" w:firstLineChars="200"/>
        <w:rPr>
          <w:rFonts w:ascii="仿宋" w:eastAsia="仿宋" w:hAnsi="仿宋" w:cs="仿宋" w:hint="eastAsia"/>
          <w:sz w:val="28"/>
          <w:lang w:eastAsia="zh-CN"/>
        </w:rPr>
      </w:pPr>
      <w:bookmarkStart w:id="4" w:name="_Toc229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绩效评估是艺术涂料项目中的关键环节，为确保艺术涂料项目达到预期目标，我们采用了多层次、多维度的绩效评估方法。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艺术涂料项目的战略目标对齐，确保每个决策和行动都与艺术涂料项目整体目标保持一致。团队会定期召开战略对齐会议，审视当前工作与艺术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艺术涂料项目进度、质量、成本和风险等方面。这些指标通过数据收集和分析，为艺术涂料项目管理团队提供了客观的评估依据。例如，我们通过艺术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绩效评估不仅仅停留在艺术涂料项目内部，还考虑了艺术涂料项目对外部环境的影响。我们定期进行干系人满意度调查，以了解各利益相关方对艺术涂料项目的期望和满意度，并及时做出调整。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这种多层次、多角度的绩效评估方法，使得我们能够全面了解艺术涂料项目的运行状态，及时做出调整，确保艺术涂料项目在不断变化的环境中保持稳健前行。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0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为了确保艺术涂料项目的有效管理和不断优化，我们采用了精心设计的绩效评估周期。这个周期旨在实现灵活、实时和全面的评估，以适应艺术涂料项目执行中的各种挑战。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艺术涂料项目的不同需求，分为短期、中期和长期。短期评估关注每个迭代或工作周期，以及时发现和解决当前任务中的问题。中期评估涵盖几个迭代，深入了解整体艺术涂料项目的趋势和性能。长期评估则着眼于整个艺术涂料项目阶段，确保艺术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艺术涂料项目管理工具和协作平台，团队成员能够随时更新和分享艺术涂料项目数据。这种实时性的反馈机制使我们能够及时察觉潜在问题，快速调整，保持艺术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艺术涂料项目的决策制定密不可分。每个周期的艺术涂料项目回顾会议成为集体总结经验、识别问题深层次原因并找到创新解决方案的平台。这种定期的反思与调整机制使艺术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474"/>
      <w:r>
        <w:rPr>
          <w:rFonts w:ascii="仿宋" w:eastAsia="仿宋" w:hAnsi="仿宋" w:cs="仿宋" w:hint="eastAsia"/>
          <w:sz w:val="28"/>
          <w:lang w:eastAsia="zh-CN"/>
        </w:rPr>
        <w:t>二、艺术涂料项目危机管理</w:t>
      </w:r>
      <w:bookmarkEnd w:id="6"/>
    </w:p>
    <w:p>
      <w:pPr>
        <w:pStyle w:val="Heading2"/>
        <w:rPr>
          <w:rFonts w:ascii="仿宋" w:eastAsia="仿宋" w:hAnsi="仿宋" w:cs="仿宋" w:hint="eastAsia"/>
          <w:lang w:eastAsia="zh-CN"/>
        </w:rPr>
      </w:pPr>
      <w:bookmarkStart w:id="7" w:name="_Toc3149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项目危机管理中，危机预警与识别是确保艺术涂料项目稳健运行的核心步骤。通过建立全面的监测机制，艺术涂料项目团队旨在及时发现和理解潜在的风险和危机因素，以便采取及时的预防和应对措施，确保艺术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首先，通过深入的风险评估，艺术涂料项目团队全面分析了整个艺术涂料项目和各个阶段可能存在的威胁。这包括准确评估每个潜在风险的发生概率和可能影响的程度，为后续危机预警提供了有力支持。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艺术涂料项目团队着重于明确定义艺术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艺术涂料项目进展的持续监控，团队能够及时发现潜在问题并作出迅速反应。艺术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在这一阶段，团队的专业素养和反应速度将发挥至关重要的作用，以确保潜在危机能够在初期得到有效的处理，最大程度地减轻负面影响。通过危机预警与识别，艺术涂料项目得以更有序、可控地推进。</w:t>
      </w:r>
    </w:p>
    <w:p>
      <w:pPr>
        <w:pStyle w:val="Heading2"/>
        <w:ind w:firstLine="560" w:firstLineChars="200"/>
        <w:rPr>
          <w:rFonts w:ascii="仿宋" w:eastAsia="仿宋" w:hAnsi="仿宋" w:cs="仿宋" w:hint="eastAsia"/>
          <w:sz w:val="28"/>
          <w:lang w:eastAsia="zh-CN"/>
        </w:rPr>
      </w:pPr>
      <w:bookmarkStart w:id="8" w:name="_Toc1669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在危机发生时，艺术涂料项目团队立即行动，成立了应急小组。该小组的任务是迅速制定并实施紧急应对措施，以最小化潜在损失。以下是采取的主要措施：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暂停艺术涂料项目进度：为遏制危机蔓延，艺术涂料项目暂时停止进行，以便全面评估当前状况。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资源重新分配：重新评估艺术涂料项目资源的分配，确保最大限度地减小损失。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实时沟通：与关键利益相关者建立实时沟通机制，向他们传递艺术涂料项目危机的实际状况，保障艺术涂料项目核心利益。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在紧急应对的同时，艺术涂料项目团队强调了团队协作和有效沟通的重要性。以下是团队协作的关键举措：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信息共享机制：建立了信息共享平台，确保团队成员能够及时获取艺术涂料项目危机的实时信息。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领导者沟通：艺术涂料项目领导者通过定期会议和即时沟通工具，指导团队应对危机，保持团队稳定运行。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随着危机得到初步控制，艺术涂料项目团队转向制定恢复计划，以确保艺术涂料项目能够从中迅速恢复。主要恢复计划包括：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修复受损的进度计划：重新评估艺术涂料项目进度，制定修复计划，确保艺术涂料项目尽快回归正常进程。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重新调整资源分配：优化资源分配，确保艺术涂料项目在有限资源下高效运转。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风险管理机制加强：对艺术涂料项目风险进行全面评估，制定更强化的风险管理策略，以预防未来可能的危机。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46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870"/>
      <w:r>
        <w:rPr>
          <w:rFonts w:ascii="仿宋" w:eastAsia="仿宋" w:hAnsi="仿宋" w:cs="仿宋" w:hint="eastAsia"/>
          <w:lang w:eastAsia="zh-CN"/>
        </w:rPr>
        <w:t>(一)、艺术涂料行业分析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行业一直以来都是市场的关注焦点。行业内的发展趋势、竞争态势以及潜在机会都对艺术涂料项目的推进产生深远的影响。通过深入研究行业的整体概貌，我们将更好地理解行业的核心特征，为艺术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行业，技术一直是推动创新和发展的关键因素。我们将对当前技术趋势进行详尽分析，包括但不限于人工智能、大数据应用、先进制造技术等。这有助于艺术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艺术涂料项目成功的基础。我们将对主要竞争对手进行深入研究，包括其市场份额、产品特点、市场定位等。通过全面了解竞争对手的优势和劣势，艺术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486"/>
      <w:r>
        <w:rPr>
          <w:rFonts w:ascii="仿宋" w:eastAsia="仿宋" w:hAnsi="仿宋" w:cs="仿宋" w:hint="eastAsia"/>
          <w:sz w:val="28"/>
          <w:lang w:eastAsia="zh-CN"/>
        </w:rPr>
        <w:t>(二)、艺术涂料市场分析预测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通过对市场规模的深入调研，我们将预测艺术涂料市场未来的增长趋势。这包括市场的整体规模、各细分领域的发展趋势等。艺术涂料项目可以根据市场的扩张速度和潜在机会，制定更符合市场需求的发展策略。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艺术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艺术涂料项目实施过程中需要充分考虑的因素。我们将对市场风险进行全面评估，包括但不限于政策法规风险、市场竞争风险、技术变革风险等。通过对潜在风险的深入分析，艺术涂料项目可以制定相应的风险缓解策略，降低不确定性对艺术涂料项目的影响。</w:t>
      </w:r>
    </w:p>
    <w:p>
      <w:pPr>
        <w:pStyle w:val="Heading1"/>
        <w:ind w:firstLine="560" w:firstLineChars="200"/>
        <w:rPr>
          <w:rFonts w:ascii="仿宋" w:eastAsia="仿宋" w:hAnsi="仿宋" w:cs="仿宋" w:hint="eastAsia"/>
          <w:sz w:val="28"/>
          <w:lang w:eastAsia="zh-CN"/>
        </w:rPr>
      </w:pPr>
      <w:bookmarkStart w:id="12" w:name="_Toc26880"/>
      <w:r>
        <w:rPr>
          <w:rFonts w:ascii="仿宋" w:eastAsia="仿宋" w:hAnsi="仿宋" w:cs="仿宋" w:hint="eastAsia"/>
          <w:sz w:val="28"/>
          <w:lang w:eastAsia="zh-CN"/>
        </w:rPr>
        <w:t>四、艺术涂料项目选址可行性分析</w:t>
      </w:r>
      <w:bookmarkEnd w:id="12"/>
    </w:p>
    <w:p>
      <w:pPr>
        <w:pStyle w:val="Heading2"/>
        <w:rPr>
          <w:rFonts w:ascii="仿宋" w:eastAsia="仿宋" w:hAnsi="仿宋" w:cs="仿宋" w:hint="eastAsia"/>
          <w:lang w:eastAsia="zh-CN"/>
        </w:rPr>
      </w:pPr>
      <w:bookmarkStart w:id="13" w:name="_Toc8391"/>
      <w:r>
        <w:rPr>
          <w:rFonts w:ascii="仿宋" w:eastAsia="仿宋" w:hAnsi="仿宋" w:cs="仿宋" w:hint="eastAsia"/>
          <w:lang w:eastAsia="zh-CN"/>
        </w:rPr>
        <w:t>(一)、艺术涂料项目选址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该艺术涂料项目选址位于XX省XX市XX区XXX街道</w:t>
      </w:r>
    </w:p>
    <w:p>
      <w:pPr>
        <w:pStyle w:val="Heading2"/>
        <w:ind w:firstLine="560" w:firstLineChars="200"/>
        <w:rPr>
          <w:rFonts w:ascii="仿宋" w:eastAsia="仿宋" w:hAnsi="仿宋" w:cs="仿宋" w:hint="eastAsia"/>
          <w:sz w:val="28"/>
          <w:lang w:eastAsia="zh-CN"/>
        </w:rPr>
      </w:pPr>
      <w:bookmarkStart w:id="14" w:name="_Toc307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艺术涂料项目的征地面积将根据艺术涂料项目的实际规模和需求进行精确规划。具体面积XXX平方米，旨在确保艺术涂料项目不仅能够满足当前的发展需求，还能够预留空间以适应未来的扩展。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净用地面积是在征地面积基础上去除不可利用面积后的实际可开发用地。具体面积XXX平方米，考虑到环保、交通、安全等多方面因素，以确保艺术涂料项目在整体利用效率上达到最优。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艺术涂料项目计划建设的建筑总规模具体面积XXX平方米。这一规模的确定综合考虑了艺术涂料项目的性质、规模，以及城市规划的相关要求，确保建筑布局与周边环境协调一致。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绿地率是艺术涂料项目用地中被规划为绿地的比例。具体面积XXX平方米，旨在通过合理规划绿地，改善艺术涂料项目周边环境，提升居民生活质量，并符合城市整体绿化规划。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容积率是用地上可以建设的建筑总体积与用地面积之比。具体面积XXX，通过合理的容积率规划，确保艺术涂料项目建筑规模与周边环境和谐共生。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确保艺术涂料项目选址与当地城市规划相一致，具体面积XXX平方米。通过与城市规划部门深入沟通，确保艺术涂料项目不仅符合城市的整体发展方向，还能够融入城市的发展布局，为城市的长远发展贡献力量。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艺术涂料项目选址符合当地产业政策，具体面积XXX平方米。这包括艺术涂料项目对当地经济的促进作用，以及对相关产业的带动效应，确保艺术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用地总体要求必须符合环保和可持续发展的原则，具体面积XXX平方米。通过采用绿色建筑设计、节能减排等措施，确保艺术涂料项目在建设和运营过程中对环境的影响最小化，达到可持续发展的要求。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确保艺术涂料项目选址具备必要的公共设施配套，具体面积XXX平方米。这包括交通便利性、教育、医疗等基础设施，以提高居民生活品质，使得艺术涂料项目选址更具吸引力。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考虑用地总体要求对当地社会稳定性的影响，具体面积XXX平方米。通过深入了解当地社区反馈，确保艺术涂料项目的选址和建设过程对当地社会和谐稳定产生积极作用。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艺术涂料项目选址不仅符合法规和规划，还在实际操作中具有可行性。这一全面规划将为艺术涂料项目的成功实施提供坚实的基础，确保艺术涂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1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艺术涂料项目的设备规划和空间设计中，我们将采取灵活设备布局的措施。设备布局将根据实际需求进行灵活设计，避免不必要的浪费。通过合理规划设备摆放位置，我们将提高设备的利用率，减少设备间距，以确保艺术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艺术涂料项目内部引入共享设施的概念，例如共享会议室、办公区等。通过这种方式，我们可以减少对资源的重复建设，提高资源共享效率，从而减小艺术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99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艺术涂料项目的总图布置中，我们将不同功能区域进行明确的规划，以最大程度满足艺术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5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艺术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艺术涂料项目对环境的影响是综合评价的重要因素之一。我们将详细考虑选址周边的自然环境、生态保护区、水源地等情况，确保艺术涂料项目的建设和运营对环境影响最小化，并符合当地的环保法规标准。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对选址的评价还需充分考虑当地政府的产业政策和法规。我们将详细了解艺术涂料项目所在地的相关政策，确保艺术涂料项目的规划和运营与当地法规相符，降低不必要的法律风险。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考虑到社会稳定性对企业运营的重要性，我们将评估选址地区的社会安全情况、劳工关系、社区反馈等方面，以确保艺术涂料项目的建设和运营不会受到社会稳定性的负面影响。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最后，我们将综合考虑用地成本，包括土地购置费用、土地开发成本等。通过对用地成本的详细评估，我们能够做出更为精确的经济效益分析，为艺术涂料项目的投资决策提供有力支持。</w:t>
      </w:r>
    </w:p>
    <w:p>
      <w:pPr>
        <w:pStyle w:val="Heading1"/>
        <w:ind w:firstLine="560" w:firstLineChars="200"/>
        <w:rPr>
          <w:rFonts w:ascii="仿宋" w:eastAsia="仿宋" w:hAnsi="仿宋" w:cs="仿宋" w:hint="eastAsia"/>
          <w:sz w:val="28"/>
          <w:lang w:eastAsia="zh-CN"/>
        </w:rPr>
      </w:pPr>
      <w:bookmarkStart w:id="18" w:name="_Toc15181"/>
      <w:r>
        <w:rPr>
          <w:rFonts w:ascii="仿宋" w:eastAsia="仿宋" w:hAnsi="仿宋" w:cs="仿宋" w:hint="eastAsia"/>
          <w:sz w:val="28"/>
          <w:lang w:eastAsia="zh-CN"/>
        </w:rPr>
        <w:t>五、艺术涂料项目概论</w:t>
      </w:r>
      <w:bookmarkEnd w:id="18"/>
    </w:p>
    <w:p>
      <w:pPr>
        <w:pStyle w:val="Heading2"/>
        <w:rPr>
          <w:rFonts w:ascii="仿宋" w:eastAsia="仿宋" w:hAnsi="仿宋" w:cs="仿宋" w:hint="eastAsia"/>
          <w:lang w:eastAsia="zh-CN"/>
        </w:rPr>
      </w:pPr>
      <w:bookmarkStart w:id="19" w:name="_Toc2160"/>
      <w:r>
        <w:rPr>
          <w:rFonts w:ascii="仿宋" w:eastAsia="仿宋" w:hAnsi="仿宋" w:cs="仿宋" w:hint="eastAsia"/>
          <w:lang w:eastAsia="zh-CN"/>
        </w:rPr>
        <w:t>(一)、艺术涂料项目概况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的起源追溯至对市场的深入洞察。市场的不断演变与变革为艺术涂料项目提供了难得的机遇。当前市场存在的需求缺口和变革的大环境共同构成了艺术涂料项目的背景。这个艺术涂料项目旨在充分利用市场机遇，填补行业中尚未满足的需求，为客户提供全新的解决方案。市场的变革和需求的增长使得这个艺术涂料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艺术涂料项目名称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正式命名为艺术涂料。这个名称不仅仅是一个标识，更代表了艺术涂料项目的核心理念和愿景。它蕴含着艺术涂料项目所要解决问题的关键字，具有强烈的表达和辨识度，为艺术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艺术涂料项目目标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的核心目标是提供一种全新、高效的解决方案，满足客户日益增长的需求。艺术涂料项目追求的不仅仅是满足市场需求，更是在市场中获得卓越的竞争优势。通过不断提升产品或服务的质量和创新水平，艺术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艺术涂料项目范围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全面涵盖了产品研发、制造、市场推广和售后服务，确保从产品设计到最终用户体验的全方位关注。这一全面的艺术涂料项目范围是为了确保艺术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艺术涂料项目时间表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艺术涂料项目计划在未来18个月内完成，包括研发、测试、市场试点和正式推出等不同阶段。这个时间表的合理设计是为了确保艺术涂料项目各个阶段的顺利推进，以便按时交付高质量的成果。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艺术涂料项目预算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艺术涂料项目总预算估算为XX百万美元，主要分配在研发、市场推广、人员培训和运营等方面。这一充足的预算为艺术涂料项目提供了充足的资源，确保艺术涂料项目在各个方面都能取得优异的表现。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https://d.book118.com/185234201203011034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86228"/>
    <w:rsid w:val="29486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3420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2024-01-02T21:15:00Z</dcterms:created>
  <dcterms:modified xsi:type="dcterms:W3CDTF">2024-01-02T21:15:39Z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5AE71BEAAC9D4AF68E31D674B2C67FAC_11</vt:lpwstr>
  </property>
  <property fmtid="{D5CDD505-2E9C-101B-9397-08002B2CF9AE}" pid="3" name="KSOProductBuildVer">
    <vt:lpwstr>2052-12.1.0.16120</vt:lpwstr>
  </property>
</Properties>
</file>