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  <w:spacing w:line="836" w:lineRule="exact"/>
        <w:ind w:right="1813"/>
      </w:pPr>
      <w:r>
        <w:rPr>
          <w:w w:val="95"/>
        </w:rPr>
        <w:t>北京市用能单位能源审计推广实施方案</w:t>
      </w:r>
    </w:p>
    <w:p>
      <w:pPr>
        <w:pStyle w:val="Title"/>
        <w:spacing w:before="7"/>
      </w:pPr>
      <w:r>
        <w:rPr>
          <w:w w:val="95"/>
        </w:rPr>
        <w:t>〔2023—2023</w:t>
      </w:r>
      <w:r>
        <w:rPr>
          <w:spacing w:val="-48"/>
          <w:w w:val="95"/>
        </w:rPr>
        <w:t xml:space="preserve"> 年</w:t>
      </w:r>
      <w:r>
        <w:rPr>
          <w:w w:val="95"/>
        </w:rPr>
        <w:t>〕</w:t>
      </w:r>
    </w:p>
    <w:p>
      <w:pPr>
        <w:pStyle w:val="BodyText"/>
        <w:spacing w:before="7"/>
        <w:rPr>
          <w:rFonts w:ascii="宋体"/>
          <w:sz w:val="70"/>
        </w:rPr>
      </w:pPr>
    </w:p>
    <w:p>
      <w:pPr>
        <w:pStyle w:val="BodyText"/>
        <w:spacing w:line="244" w:lineRule="auto"/>
        <w:ind w:left="877" w:right="680" w:firstLine="961"/>
      </w:pPr>
      <w:r>
        <w:rPr>
          <w:spacing w:val="-34"/>
          <w:w w:val="95"/>
        </w:rPr>
        <w:t>为落实《中华人民共和国节约能源法》、国家《“”</w:t>
      </w:r>
      <w:r>
        <w:rPr>
          <w:spacing w:val="1"/>
          <w:w w:val="95"/>
        </w:rPr>
        <w:t xml:space="preserve"> </w:t>
      </w:r>
      <w:r>
        <w:rPr>
          <w:spacing w:val="-21"/>
        </w:rPr>
        <w:t>节能减排综合性工作方案》、《北京市实施&lt;中华人民共和国</w:t>
      </w:r>
      <w:r>
        <w:t>节约能源法&gt;方法》以及《北京市“”时期节能降耗与应对气候变化综合性工作方案》等相关法律、政策、法规及规划要求，进一步深入挖掘重点用能单位节能潜力，持续提升本市能效水平和节能治理水平，特制定本方案。</w:t>
      </w:r>
    </w:p>
    <w:p>
      <w:pPr>
        <w:pStyle w:val="BodyText"/>
        <w:spacing w:before="235"/>
        <w:ind w:left="1845"/>
        <w:rPr>
          <w:rFonts w:ascii="黑体" w:eastAsia="黑体" w:hint="eastAsia"/>
        </w:rPr>
      </w:pPr>
      <w:r>
        <w:rPr>
          <w:rFonts w:ascii="黑体" w:eastAsia="黑体" w:hint="eastAsia"/>
          <w:w w:val="95"/>
        </w:rPr>
        <w:t>一、推广能源审计的必要性</w:t>
      </w:r>
    </w:p>
    <w:p>
      <w:pPr>
        <w:pStyle w:val="BodyText"/>
        <w:spacing w:before="285" w:line="244" w:lineRule="auto"/>
        <w:ind w:left="877" w:right="917" w:firstLine="964"/>
        <w:jc w:val="both"/>
      </w:pPr>
      <w:r>
        <w:rPr>
          <w:rFonts w:ascii="楷体" w:eastAsia="楷体" w:hAnsi="楷体" w:hint="eastAsia"/>
          <w:b/>
          <w:w w:val="95"/>
        </w:rPr>
        <w:t>〔一〕推广能源审计是实现“内涵促降”的有力支撑。</w:t>
      </w:r>
      <w:r>
        <w:rPr>
          <w:rFonts w:ascii="楷体" w:eastAsia="楷体" w:hAnsi="楷体" w:hint="eastAsia"/>
          <w:b/>
          <w:spacing w:val="1"/>
          <w:w w:val="95"/>
        </w:rPr>
        <w:t xml:space="preserve"> </w:t>
      </w:r>
      <w:r>
        <w:rPr>
          <w:w w:val="95"/>
        </w:rPr>
        <w:t>“”期间，国家对本市下达万元地区生产总值能耗下</w:t>
      </w:r>
      <w:r>
        <w:rPr>
          <w:spacing w:val="20"/>
          <w:w w:val="95"/>
        </w:rPr>
        <w:t xml:space="preserve"> </w:t>
      </w:r>
      <w:r>
        <w:rPr>
          <w:spacing w:val="30"/>
          <w:w w:val="95"/>
        </w:rPr>
        <w:t xml:space="preserve">降 </w:t>
      </w:r>
      <w:r>
        <w:rPr>
          <w:w w:val="95"/>
        </w:rPr>
        <w:t>17</w:t>
      </w:r>
      <w:r>
        <w:rPr>
          <w:spacing w:val="9"/>
          <w:w w:val="95"/>
        </w:rPr>
        <w:t xml:space="preserve">%，碳排放强度下降 </w:t>
      </w:r>
      <w:r>
        <w:rPr>
          <w:w w:val="95"/>
        </w:rPr>
        <w:t>18</w:t>
      </w:r>
      <w:r>
        <w:rPr>
          <w:spacing w:val="-16"/>
          <w:w w:val="95"/>
        </w:rPr>
        <w:t>%的节能减碳目标。但本市“以</w:t>
      </w:r>
      <w:r>
        <w:rPr>
          <w:w w:val="95"/>
        </w:rPr>
        <w:t>退促降”空间进一步收窄，需要深入挖掘重点用能单位节能</w:t>
      </w:r>
      <w:r>
        <w:rPr>
          <w:spacing w:val="20"/>
          <w:w w:val="95"/>
        </w:rPr>
        <w:t xml:space="preserve"> </w:t>
      </w:r>
      <w:r>
        <w:rPr>
          <w:w w:val="95"/>
        </w:rPr>
        <w:t>潜力。开展能源审计，可以准时分析把握用能单位能源治理</w:t>
      </w:r>
      <w:r>
        <w:rPr>
          <w:spacing w:val="20"/>
          <w:w w:val="95"/>
        </w:rPr>
        <w:t xml:space="preserve"> </w:t>
      </w:r>
      <w:r>
        <w:rPr>
          <w:w w:val="95"/>
        </w:rPr>
        <w:t>水平及用能状况，排查问题和薄弱环节，查找节能方向，将</w:t>
      </w:r>
      <w:r>
        <w:rPr>
          <w:spacing w:val="20"/>
          <w:w w:val="95"/>
        </w:rPr>
        <w:t xml:space="preserve"> </w:t>
      </w:r>
      <w:r>
        <w:rPr>
          <w:w w:val="95"/>
        </w:rPr>
        <w:t>为制定能源消费标准、建立领跑者制度和实施节能改造工程</w:t>
      </w:r>
      <w:r>
        <w:rPr>
          <w:spacing w:val="1"/>
          <w:w w:val="95"/>
        </w:rPr>
        <w:t xml:space="preserve"> </w:t>
      </w:r>
      <w:r>
        <w:t>供给重要依据，是实现“内涵促降”的有效抓手。</w:t>
      </w:r>
    </w:p>
    <w:p>
      <w:pPr>
        <w:pStyle w:val="Heading1"/>
        <w:spacing w:before="257"/>
        <w:ind w:left="877" w:firstLine="964"/>
      </w:pPr>
      <w:r>
        <w:rPr>
          <w:w w:val="95"/>
        </w:rPr>
        <w:t>〔二〕开展能源审计是提升用能单位治理水平的重要推</w:t>
      </w:r>
    </w:p>
    <w:p>
      <w:pPr>
        <w:pStyle w:val="BodyText"/>
        <w:spacing w:before="144" w:line="235" w:lineRule="auto"/>
        <w:ind w:left="877" w:right="924"/>
        <w:jc w:val="both"/>
      </w:pPr>
      <w:r>
        <w:rPr>
          <w:rFonts w:ascii="楷体" w:eastAsia="楷体" w:hint="eastAsia"/>
          <w:b/>
          <w:w w:val="95"/>
        </w:rPr>
        <w:t>动力。</w:t>
      </w:r>
      <w:r>
        <w:rPr>
          <w:w w:val="95"/>
        </w:rPr>
        <w:t>目前，局部用能单位节能意识还不高，缺乏主动开展</w:t>
      </w:r>
      <w:r>
        <w:rPr>
          <w:spacing w:val="7"/>
          <w:w w:val="95"/>
        </w:rPr>
        <w:t xml:space="preserve"> </w:t>
      </w:r>
      <w:r>
        <w:rPr>
          <w:w w:val="95"/>
        </w:rPr>
        <w:t>节能工作的乐观性和内在动力。开展能源审计，一方面帮助</w:t>
      </w:r>
      <w:r>
        <w:rPr>
          <w:spacing w:val="13"/>
          <w:w w:val="95"/>
        </w:rPr>
        <w:t xml:space="preserve"> </w:t>
      </w:r>
      <w:r>
        <w:rPr>
          <w:w w:val="95"/>
        </w:rPr>
        <w:t>用能单位了解自身能源使用治理中存在的问题，找准节能潜</w:t>
      </w:r>
      <w:r>
        <w:rPr>
          <w:spacing w:val="13"/>
          <w:w w:val="95"/>
        </w:rPr>
        <w:t xml:space="preserve"> </w:t>
      </w:r>
      <w:r>
        <w:rPr>
          <w:w w:val="95"/>
        </w:rPr>
        <w:t>力；另一方面，可以促进用能单位提升自身用能治理水平，</w:t>
      </w:r>
    </w:p>
    <w:p>
      <w:pPr>
        <w:spacing w:after="0" w:line="235" w:lineRule="auto"/>
        <w:jc w:val="both"/>
        <w:sectPr>
          <w:type w:val="continuous"/>
          <w:pgSz w:w="17860" w:h="25260"/>
          <w:pgMar w:top="1560" w:right="1780" w:bottom="280" w:left="1820" w:header="708" w:footer="708"/>
          <w:cols w:space="708"/>
        </w:sectPr>
      </w:pPr>
    </w:p>
    <w:p>
      <w:pPr>
        <w:pStyle w:val="BodyText"/>
        <w:spacing w:line="835" w:lineRule="exact"/>
        <w:ind w:left="877"/>
      </w:pPr>
      <w:r>
        <w:rPr>
          <w:w w:val="95"/>
        </w:rPr>
        <w:t>提高能源利用效率。</w:t>
      </w:r>
    </w:p>
    <w:p>
      <w:pPr>
        <w:pStyle w:val="Heading1"/>
        <w:spacing w:before="264"/>
        <w:ind w:left="877" w:firstLine="964"/>
      </w:pPr>
      <w:r>
        <w:t>〔三〕推广能源审计是培育进展节能效劳产业的重要途</w:t>
      </w:r>
    </w:p>
    <w:p>
      <w:pPr>
        <w:pStyle w:val="BodyText"/>
        <w:spacing w:before="138" w:line="237" w:lineRule="auto"/>
        <w:ind w:left="877" w:right="694"/>
      </w:pPr>
      <w:r>
        <w:rPr>
          <w:rFonts w:ascii="楷体" w:eastAsia="楷体" w:hint="eastAsia"/>
          <w:b/>
        </w:rPr>
        <w:t>径。</w:t>
      </w:r>
      <w:r>
        <w:t>开展能源审计，不仅可以带动一批能源审计中介效劳机构进展壮大，还可以通过实施一批节能改造工程，带动相关</w:t>
      </w:r>
      <w:r>
        <w:rPr>
          <w:spacing w:val="-17"/>
          <w:w w:val="95"/>
        </w:rPr>
        <w:t>技术、产品的推广应用，有利于加快培育节能技术研发、</w:t>
      </w:r>
      <w:r>
        <w:rPr>
          <w:spacing w:val="6"/>
          <w:w w:val="95"/>
        </w:rPr>
        <w:t xml:space="preserve"> </w:t>
      </w:r>
      <w:r>
        <w:t>能源审计、节能诊断、合同能源治理节能改造、节能量审核等多位一体的节能效劳产业体系。</w:t>
      </w:r>
    </w:p>
    <w:p>
      <w:pPr>
        <w:pStyle w:val="BodyText"/>
        <w:spacing w:before="268"/>
        <w:ind w:left="1845"/>
        <w:rPr>
          <w:rFonts w:ascii="黑体" w:eastAsia="黑体" w:hint="eastAsia"/>
        </w:rPr>
      </w:pPr>
      <w:r>
        <w:rPr>
          <w:rFonts w:ascii="黑体" w:eastAsia="黑体" w:hint="eastAsia"/>
          <w:w w:val="95"/>
        </w:rPr>
        <w:t>二、总体思路及工作目标</w:t>
      </w:r>
    </w:p>
    <w:p>
      <w:pPr>
        <w:pStyle w:val="Heading1"/>
        <w:spacing w:before="285"/>
        <w:ind w:left="1823"/>
      </w:pPr>
      <w:r>
        <w:t>〔一〕总体思路。</w:t>
      </w:r>
    </w:p>
    <w:p>
      <w:pPr>
        <w:pStyle w:val="BodyText"/>
        <w:spacing w:before="36" w:line="244" w:lineRule="auto"/>
        <w:ind w:left="877" w:right="687" w:firstLine="939"/>
      </w:pPr>
      <w:r>
        <w:t>坚持以科学发展观为指导，立足本市能源消费和经济进展的内在规律，围绕“内涵促降、系统促降”的工作主线要求，依据“政府主导、企业主体、统筹兼顾”的原则，坚持强制实施与鼓舞引导相结合，实行“统一部署、分步实施、严格监管”的工作机制，明确职责分工，发挥第三方中介机</w:t>
      </w:r>
      <w:r>
        <w:rPr>
          <w:spacing w:val="-16"/>
          <w:w w:val="95"/>
        </w:rPr>
        <w:t>构作用，调动各方力气，高标准、高质量开展能源审计工作，</w:t>
      </w:r>
      <w:r>
        <w:rPr>
          <w:spacing w:val="5"/>
          <w:w w:val="95"/>
        </w:rPr>
        <w:t xml:space="preserve"> </w:t>
      </w:r>
      <w:r>
        <w:t>深入查找用能单位节能潜力，明确节能降耗工作方向和重</w:t>
      </w:r>
    </w:p>
    <w:p>
      <w:pPr>
        <w:pStyle w:val="BodyText"/>
        <w:spacing w:line="868" w:lineRule="exact"/>
        <w:ind w:left="877"/>
      </w:pPr>
      <w:r>
        <w:rPr>
          <w:w w:val="95"/>
        </w:rPr>
        <w:t>点，为顺当实现“”节能目标供给有力支撑。</w:t>
      </w:r>
    </w:p>
    <w:p>
      <w:pPr>
        <w:pStyle w:val="Heading1"/>
        <w:spacing w:before="264"/>
        <w:ind w:left="1845"/>
      </w:pPr>
      <w:r>
        <w:t>〔二〕工作目标。</w:t>
      </w:r>
    </w:p>
    <w:p>
      <w:pPr>
        <w:pStyle w:val="ListParagraph"/>
        <w:numPr>
          <w:ilvl w:val="0"/>
          <w:numId w:val="10"/>
        </w:numPr>
        <w:tabs>
          <w:tab w:val="left" w:pos="2279"/>
        </w:tabs>
        <w:spacing w:before="37" w:after="0" w:line="244" w:lineRule="auto"/>
        <w:ind w:left="877" w:right="924" w:firstLine="968"/>
        <w:jc w:val="both"/>
        <w:rPr>
          <w:sz w:val="48"/>
        </w:rPr>
      </w:pPr>
      <w:r>
        <w:rPr>
          <w:b/>
          <w:spacing w:val="2"/>
          <w:w w:val="95"/>
          <w:sz w:val="48"/>
        </w:rPr>
        <w:t>强制能源审计。</w:t>
      </w:r>
      <w:r>
        <w:rPr>
          <w:w w:val="95"/>
          <w:sz w:val="48"/>
        </w:rPr>
        <w:t>对未完成年度节能考核目标、能源利</w:t>
      </w:r>
      <w:r>
        <w:rPr>
          <w:spacing w:val="1"/>
          <w:w w:val="95"/>
          <w:sz w:val="48"/>
        </w:rPr>
        <w:t xml:space="preserve"> </w:t>
      </w:r>
      <w:r>
        <w:rPr>
          <w:sz w:val="48"/>
        </w:rPr>
        <w:t>用状况报告审核不合格的年综合能耗 5000</w:t>
      </w:r>
      <w:r>
        <w:rPr>
          <w:spacing w:val="-3"/>
          <w:sz w:val="48"/>
        </w:rPr>
        <w:t xml:space="preserve"> 吨标准煤以上的</w:t>
      </w:r>
      <w:r>
        <w:rPr>
          <w:spacing w:val="4"/>
          <w:sz w:val="48"/>
        </w:rPr>
        <w:t>重点用能单位，责令实施强制能源审计。</w:t>
      </w:r>
      <w:r>
        <w:rPr>
          <w:sz w:val="48"/>
        </w:rPr>
        <w:t>2023</w:t>
      </w:r>
      <w:r>
        <w:rPr>
          <w:spacing w:val="10"/>
          <w:sz w:val="48"/>
        </w:rPr>
        <w:t xml:space="preserve"> 年底前，完</w:t>
      </w:r>
      <w:r>
        <w:rPr>
          <w:sz w:val="48"/>
        </w:rPr>
        <w:t>成全部须开展强制性能源审计单位的能源审计工作。</w:t>
      </w:r>
    </w:p>
    <w:p>
      <w:pPr>
        <w:pStyle w:val="ListParagraph"/>
        <w:numPr>
          <w:ilvl w:val="0"/>
          <w:numId w:val="10"/>
        </w:numPr>
        <w:tabs>
          <w:tab w:val="left" w:pos="2274"/>
        </w:tabs>
        <w:spacing w:before="0" w:after="0" w:line="875" w:lineRule="exact"/>
        <w:ind w:left="2273" w:right="0" w:hanging="436"/>
        <w:jc w:val="left"/>
        <w:rPr>
          <w:sz w:val="48"/>
        </w:rPr>
      </w:pPr>
      <w:r>
        <w:rPr>
          <w:b/>
          <w:spacing w:val="2"/>
          <w:w w:val="95"/>
          <w:sz w:val="48"/>
        </w:rPr>
        <w:t>鼓舞性能源审计。</w:t>
      </w:r>
      <w:r>
        <w:rPr>
          <w:w w:val="95"/>
          <w:sz w:val="48"/>
        </w:rPr>
        <w:t>对须开展强制能源审计以外的年综</w:t>
      </w:r>
    </w:p>
    <w:p>
      <w:pPr>
        <w:spacing w:after="0" w:line="875" w:lineRule="exact"/>
        <w:jc w:val="left"/>
        <w:rPr>
          <w:sz w:val="48"/>
        </w:rPr>
      </w:pPr>
      <w:r>
        <w:rPr>
          <w:sz w:val="48"/>
        </w:rPr>
        <w:br/>
      </w:r>
      <w:r>
        <w:rPr>
          <w:sz w:val="48"/>
        </w:rPr>
        <w:br/>
      </w:r>
    </w:p>
    <w:p>
      <w:pPr>
        <w:widowControl/>
        <w:autoSpaceDE/>
        <w:autoSpaceDN/>
        <w:spacing w:before="0" w:after="0" w:line="240" w:lineRule="auto"/>
        <w:ind w:left="0" w:right="0"/>
        <w:jc w:val="left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4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https://d.book118.com/185242204230011034</w:t>
        </w:r>
      </w:hyperlink>
    </w:p>
    <w:p>
      <w:pPr>
        <w:spacing w:after="0" w:line="875" w:lineRule="exact"/>
        <w:jc w:val="left"/>
        <w:rPr>
          <w:sz w:val="48"/>
        </w:rPr>
      </w:pPr>
    </w:p>
    <w:sectPr>
      <w:pgSz w:w="17860" w:h="25260"/>
      <w:pgMar w:top="1740" w:right="1780" w:bottom="280" w:left="1820" w:header="708" w:footer="708"/>
      <w:pgNumType w:start="2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微软雅黑">
    <w:altName w:val="微软雅黑"/>
    <w:charset w:val="86"/>
    <w:family w:val="swiss"/>
    <w:pitch w:val="variable"/>
    <w:sig w:usb0="00000000" w:usb1="00000000" w:usb2="00000000" w:usb3="00000000" w:csb0="00040000" w:csb1="00000000"/>
  </w:font>
  <w:font w:name="宋体">
    <w:altName w:val="宋体"/>
    <w:charset w:val="86"/>
    <w:family w:val="auto"/>
    <w:pitch w:val="variable"/>
    <w:sig w:usb0="00000000" w:usb1="00000000" w:usb2="00000000" w:usb3="00000000" w:csb0="00040000" w:csb1="00000000"/>
  </w:font>
  <w:font w:name="黑体">
    <w:altName w:val="黑体"/>
    <w:charset w:val="86"/>
    <w:family w:val="modern"/>
    <w:pitch w:val="fixed"/>
    <w:sig w:usb0="00000000" w:usb1="00000000" w:usb2="00000000" w:usb3="00000000" w:csb0="00040000" w:csb1="00000000"/>
  </w:font>
  <w:font w:name="幼圆">
    <w:altName w:val="幼圆"/>
    <w:charset w:val="86"/>
    <w:family w:val="modern"/>
    <w:pitch w:val="fixed"/>
    <w:sig w:usb0="00000000" w:usb1="00000000" w:usb2="00000000" w:usb3="00000000" w:csb0="00040000" w:csb1="00000000"/>
  </w:font>
  <w:font w:name="楷体">
    <w:altName w:val="楷体"/>
    <w:charset w:val="86"/>
    <w:family w:val="modern"/>
    <w:pitch w:val="fixed"/>
    <w:sig w:usb0="00000000" w:usb1="00000000" w:usb2="0000000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639A8"/>
    <w:multiLevelType w:val="hybridMultilevel"/>
    <w:tmpl w:val="00000000"/>
    <w:lvl w:ilvl="0">
      <w:start w:val="274"/>
      <w:numFmt w:val="decimal"/>
      <w:lvlText w:val="%1"/>
      <w:lvlJc w:val="left"/>
      <w:pPr>
        <w:ind w:left="3155" w:hanging="879"/>
        <w:jc w:val="left"/>
      </w:pPr>
      <w:rPr>
        <w:rFonts w:ascii="微软雅黑" w:eastAsia="微软雅黑" w:hAnsi="微软雅黑" w:cs="微软雅黑" w:hint="default"/>
        <w:spacing w:val="-1"/>
        <w:w w:val="102"/>
        <w:sz w:val="31"/>
        <w:szCs w:val="31"/>
      </w:rPr>
    </w:lvl>
    <w:lvl w:ilvl="1">
      <w:start w:val="0"/>
      <w:numFmt w:val="bullet"/>
      <w:lvlText w:val="•"/>
      <w:lvlJc w:val="left"/>
      <w:pPr>
        <w:ind w:left="4269" w:hanging="87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379" w:hanging="87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489" w:hanging="87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599" w:hanging="87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709" w:hanging="87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819" w:hanging="87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929" w:hanging="87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039" w:hanging="879"/>
      </w:pPr>
      <w:rPr>
        <w:rFonts w:hint="default"/>
      </w:rPr>
    </w:lvl>
  </w:abstractNum>
  <w:abstractNum w:abstractNumId="1">
    <w:nsid w:val="10E87133"/>
    <w:multiLevelType w:val="hybridMultilevel"/>
    <w:tmpl w:val="00000000"/>
    <w:lvl w:ilvl="0">
      <w:start w:val="1"/>
      <w:numFmt w:val="decimal"/>
      <w:lvlText w:val="%1."/>
      <w:lvlJc w:val="left"/>
      <w:pPr>
        <w:ind w:left="877" w:hanging="433"/>
        <w:jc w:val="left"/>
      </w:pPr>
      <w:rPr>
        <w:rFonts w:ascii="微软雅黑" w:eastAsia="微软雅黑" w:hAnsi="微软雅黑" w:cs="微软雅黑" w:hint="default"/>
        <w:b/>
        <w:bCs/>
        <w:spacing w:val="-1"/>
        <w:w w:val="99"/>
        <w:sz w:val="46"/>
        <w:szCs w:val="46"/>
      </w:rPr>
    </w:lvl>
    <w:lvl w:ilvl="1">
      <w:start w:val="0"/>
      <w:numFmt w:val="bullet"/>
      <w:lvlText w:val="•"/>
      <w:lvlJc w:val="left"/>
      <w:pPr>
        <w:ind w:left="2217" w:hanging="43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555" w:hanging="43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893" w:hanging="43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231" w:hanging="43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569" w:hanging="43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907" w:hanging="43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245" w:hanging="43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583" w:hanging="433"/>
      </w:pPr>
      <w:rPr>
        <w:rFonts w:hint="default"/>
      </w:rPr>
    </w:lvl>
  </w:abstractNum>
  <w:abstractNum w:abstractNumId="2">
    <w:nsid w:val="17825B5D"/>
    <w:multiLevelType w:val="hybridMultilevel"/>
    <w:tmpl w:val="00000000"/>
    <w:lvl w:ilvl="0">
      <w:start w:val="57"/>
      <w:numFmt w:val="decimal"/>
      <w:lvlText w:val="%1"/>
      <w:lvlJc w:val="left"/>
      <w:pPr>
        <w:ind w:left="2486" w:hanging="850"/>
        <w:jc w:val="left"/>
      </w:pPr>
      <w:rPr>
        <w:rFonts w:ascii="微软雅黑" w:eastAsia="微软雅黑" w:hAnsi="微软雅黑" w:cs="微软雅黑" w:hint="default"/>
        <w:spacing w:val="-1"/>
        <w:w w:val="102"/>
        <w:sz w:val="31"/>
        <w:szCs w:val="31"/>
      </w:rPr>
    </w:lvl>
    <w:lvl w:ilvl="1">
      <w:start w:val="0"/>
      <w:numFmt w:val="bullet"/>
      <w:lvlText w:val="•"/>
      <w:lvlJc w:val="left"/>
      <w:pPr>
        <w:ind w:left="3657" w:hanging="85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835" w:hanging="85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013" w:hanging="8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191" w:hanging="8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369" w:hanging="8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547" w:hanging="8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725" w:hanging="8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903" w:hanging="850"/>
      </w:pPr>
      <w:rPr>
        <w:rFonts w:hint="default"/>
      </w:rPr>
    </w:lvl>
  </w:abstractNum>
  <w:abstractNum w:abstractNumId="3">
    <w:nsid w:val="1BDC7917"/>
    <w:multiLevelType w:val="hybridMultilevel"/>
    <w:tmpl w:val="00000000"/>
    <w:lvl w:ilvl="0">
      <w:start w:val="142"/>
      <w:numFmt w:val="decimal"/>
      <w:lvlText w:val="%1"/>
      <w:lvlJc w:val="left"/>
      <w:pPr>
        <w:ind w:left="3155" w:hanging="879"/>
        <w:jc w:val="left"/>
      </w:pPr>
      <w:rPr>
        <w:rFonts w:ascii="微软雅黑" w:eastAsia="微软雅黑" w:hAnsi="微软雅黑" w:cs="微软雅黑" w:hint="default"/>
        <w:spacing w:val="-1"/>
        <w:w w:val="102"/>
        <w:sz w:val="31"/>
        <w:szCs w:val="31"/>
      </w:rPr>
    </w:lvl>
    <w:lvl w:ilvl="1">
      <w:start w:val="0"/>
      <w:numFmt w:val="bullet"/>
      <w:lvlText w:val="•"/>
      <w:lvlJc w:val="left"/>
      <w:pPr>
        <w:ind w:left="4269" w:hanging="87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379" w:hanging="87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489" w:hanging="87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599" w:hanging="87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709" w:hanging="87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819" w:hanging="87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929" w:hanging="87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039" w:hanging="879"/>
      </w:pPr>
      <w:rPr>
        <w:rFonts w:hint="default"/>
      </w:rPr>
    </w:lvl>
  </w:abstractNum>
  <w:abstractNum w:abstractNumId="4">
    <w:nsid w:val="1F92CA6E"/>
    <w:multiLevelType w:val="hybridMultilevel"/>
    <w:tmpl w:val="00000000"/>
    <w:lvl w:ilvl="0">
      <w:start w:val="426"/>
      <w:numFmt w:val="decimal"/>
      <w:lvlText w:val="%1"/>
      <w:lvlJc w:val="left"/>
      <w:pPr>
        <w:ind w:left="3155" w:hanging="879"/>
        <w:jc w:val="left"/>
      </w:pPr>
      <w:rPr>
        <w:rFonts w:ascii="微软雅黑" w:eastAsia="微软雅黑" w:hAnsi="微软雅黑" w:cs="微软雅黑" w:hint="default"/>
        <w:spacing w:val="-1"/>
        <w:w w:val="102"/>
        <w:sz w:val="31"/>
        <w:szCs w:val="31"/>
      </w:rPr>
    </w:lvl>
    <w:lvl w:ilvl="1">
      <w:start w:val="0"/>
      <w:numFmt w:val="bullet"/>
      <w:lvlText w:val="•"/>
      <w:lvlJc w:val="left"/>
      <w:pPr>
        <w:ind w:left="4269" w:hanging="87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379" w:hanging="87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489" w:hanging="87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599" w:hanging="87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709" w:hanging="87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819" w:hanging="87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929" w:hanging="87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039" w:hanging="879"/>
      </w:pPr>
      <w:rPr>
        <w:rFonts w:hint="default"/>
      </w:rPr>
    </w:lvl>
  </w:abstractNum>
  <w:abstractNum w:abstractNumId="5">
    <w:nsid w:val="324BF39A"/>
    <w:multiLevelType w:val="hybridMultilevel"/>
    <w:tmpl w:val="00000000"/>
    <w:lvl w:ilvl="0">
      <w:start w:val="514"/>
      <w:numFmt w:val="decimal"/>
      <w:lvlText w:val="%1"/>
      <w:lvlJc w:val="left"/>
      <w:pPr>
        <w:ind w:left="3155" w:hanging="879"/>
        <w:jc w:val="left"/>
      </w:pPr>
      <w:rPr>
        <w:rFonts w:ascii="微软雅黑" w:eastAsia="微软雅黑" w:hAnsi="微软雅黑" w:cs="微软雅黑" w:hint="default"/>
        <w:spacing w:val="-1"/>
        <w:w w:val="102"/>
        <w:sz w:val="31"/>
        <w:szCs w:val="31"/>
      </w:rPr>
    </w:lvl>
    <w:lvl w:ilvl="1">
      <w:start w:val="0"/>
      <w:numFmt w:val="bullet"/>
      <w:lvlText w:val="•"/>
      <w:lvlJc w:val="left"/>
      <w:pPr>
        <w:ind w:left="4269" w:hanging="87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379" w:hanging="87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489" w:hanging="87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599" w:hanging="87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709" w:hanging="87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819" w:hanging="87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929" w:hanging="87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039" w:hanging="879"/>
      </w:pPr>
      <w:rPr>
        <w:rFonts w:hint="default"/>
      </w:rPr>
    </w:lvl>
  </w:abstractNum>
  <w:abstractNum w:abstractNumId="6">
    <w:nsid w:val="4183FAD3"/>
    <w:multiLevelType w:val="hybridMultilevel"/>
    <w:tmpl w:val="00000000"/>
    <w:lvl w:ilvl="0">
      <w:start w:val="94"/>
      <w:numFmt w:val="decimal"/>
      <w:lvlText w:val="%1"/>
      <w:lvlJc w:val="left"/>
      <w:pPr>
        <w:ind w:left="2486" w:hanging="850"/>
        <w:jc w:val="right"/>
      </w:pPr>
      <w:rPr>
        <w:rFonts w:ascii="微软雅黑" w:eastAsia="微软雅黑" w:hAnsi="微软雅黑" w:cs="微软雅黑" w:hint="default"/>
        <w:spacing w:val="-1"/>
        <w:w w:val="102"/>
        <w:sz w:val="31"/>
        <w:szCs w:val="31"/>
      </w:rPr>
    </w:lvl>
    <w:lvl w:ilvl="1">
      <w:start w:val="0"/>
      <w:numFmt w:val="bullet"/>
      <w:lvlText w:val="•"/>
      <w:lvlJc w:val="left"/>
      <w:pPr>
        <w:ind w:left="3657" w:hanging="85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835" w:hanging="85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013" w:hanging="8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191" w:hanging="8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369" w:hanging="8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547" w:hanging="8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725" w:hanging="8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903" w:hanging="850"/>
      </w:pPr>
      <w:rPr>
        <w:rFonts w:hint="default"/>
      </w:rPr>
    </w:lvl>
  </w:abstractNum>
  <w:abstractNum w:abstractNumId="7">
    <w:nsid w:val="4697EFED"/>
    <w:multiLevelType w:val="hybridMultilevel"/>
    <w:tmpl w:val="00000000"/>
    <w:lvl w:ilvl="0">
      <w:start w:val="289"/>
      <w:numFmt w:val="decimal"/>
      <w:lvlText w:val="%1"/>
      <w:lvlJc w:val="left"/>
      <w:pPr>
        <w:ind w:left="3155" w:hanging="879"/>
        <w:jc w:val="left"/>
      </w:pPr>
      <w:rPr>
        <w:rFonts w:ascii="微软雅黑" w:eastAsia="微软雅黑" w:hAnsi="微软雅黑" w:cs="微软雅黑" w:hint="default"/>
        <w:spacing w:val="-1"/>
        <w:w w:val="102"/>
        <w:sz w:val="31"/>
        <w:szCs w:val="31"/>
      </w:rPr>
    </w:lvl>
    <w:lvl w:ilvl="1">
      <w:start w:val="0"/>
      <w:numFmt w:val="bullet"/>
      <w:lvlText w:val="•"/>
      <w:lvlJc w:val="left"/>
      <w:pPr>
        <w:ind w:left="3638" w:hanging="87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117" w:hanging="87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96" w:hanging="87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75" w:hanging="87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53" w:hanging="87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32" w:hanging="87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11" w:hanging="87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990" w:hanging="879"/>
      </w:pPr>
      <w:rPr>
        <w:rFonts w:hint="default"/>
      </w:rPr>
    </w:lvl>
  </w:abstractNum>
  <w:abstractNum w:abstractNumId="8">
    <w:nsid w:val="57413B8E"/>
    <w:multiLevelType w:val="hybridMultilevel"/>
    <w:tmpl w:val="00000000"/>
    <w:lvl w:ilvl="0">
      <w:start w:val="22"/>
      <w:numFmt w:val="decimal"/>
      <w:lvlText w:val="%1"/>
      <w:lvlJc w:val="left"/>
      <w:pPr>
        <w:ind w:left="2486" w:hanging="850"/>
        <w:jc w:val="left"/>
      </w:pPr>
      <w:rPr>
        <w:rFonts w:ascii="微软雅黑" w:eastAsia="微软雅黑" w:hAnsi="微软雅黑" w:cs="微软雅黑" w:hint="default"/>
        <w:spacing w:val="-1"/>
        <w:w w:val="102"/>
        <w:sz w:val="31"/>
        <w:szCs w:val="31"/>
      </w:rPr>
    </w:lvl>
    <w:lvl w:ilvl="1">
      <w:start w:val="0"/>
      <w:numFmt w:val="bullet"/>
      <w:lvlText w:val="•"/>
      <w:lvlJc w:val="left"/>
      <w:pPr>
        <w:ind w:left="3657" w:hanging="85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835" w:hanging="85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013" w:hanging="8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191" w:hanging="8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369" w:hanging="8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547" w:hanging="8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725" w:hanging="8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903" w:hanging="850"/>
      </w:pPr>
      <w:rPr>
        <w:rFonts w:hint="default"/>
      </w:rPr>
    </w:lvl>
  </w:abstractNum>
  <w:abstractNum w:abstractNumId="9">
    <w:nsid w:val="7318955F"/>
    <w:multiLevelType w:val="hybridMultilevel"/>
    <w:tmpl w:val="00000000"/>
    <w:lvl w:ilvl="0">
      <w:start w:val="1"/>
      <w:numFmt w:val="decimal"/>
      <w:lvlText w:val="%1."/>
      <w:lvlJc w:val="left"/>
      <w:pPr>
        <w:ind w:left="2270" w:hanging="433"/>
        <w:jc w:val="left"/>
      </w:pPr>
      <w:rPr>
        <w:rFonts w:ascii="微软雅黑" w:eastAsia="微软雅黑" w:hAnsi="微软雅黑" w:cs="微软雅黑" w:hint="default"/>
        <w:b/>
        <w:bCs/>
        <w:spacing w:val="-1"/>
        <w:w w:val="99"/>
        <w:sz w:val="46"/>
        <w:szCs w:val="46"/>
      </w:rPr>
    </w:lvl>
    <w:lvl w:ilvl="1">
      <w:start w:val="1"/>
      <w:numFmt w:val="decimal"/>
      <w:lvlText w:val="%2"/>
      <w:lvlJc w:val="left"/>
      <w:pPr>
        <w:ind w:left="3155" w:hanging="695"/>
        <w:jc w:val="right"/>
      </w:pPr>
      <w:rPr>
        <w:rFonts w:ascii="微软雅黑" w:eastAsia="微软雅黑" w:hAnsi="微软雅黑" w:cs="微软雅黑" w:hint="default"/>
        <w:w w:val="102"/>
        <w:sz w:val="31"/>
        <w:szCs w:val="31"/>
      </w:rPr>
    </w:lvl>
    <w:lvl w:ilvl="2">
      <w:start w:val="0"/>
      <w:numFmt w:val="bullet"/>
      <w:lvlText w:val="•"/>
      <w:lvlJc w:val="left"/>
      <w:pPr>
        <w:ind w:left="4393" w:hanging="69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626" w:hanging="69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859" w:hanging="69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093" w:hanging="69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26" w:hanging="69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559" w:hanging="69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793" w:hanging="695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8"/>
  </w:num>
  <w:num w:numId="5">
    <w:abstractNumId w:val="5"/>
  </w:num>
  <w:num w:numId="6">
    <w:abstractNumId w:val="4"/>
  </w:num>
  <w:num w:numId="7">
    <w:abstractNumId w:val="7"/>
  </w:num>
  <w:num w:numId="8">
    <w:abstractNumId w:val="0"/>
  </w:num>
  <w:num w:numId="9">
    <w:abstractNumId w:val="3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微软雅黑" w:eastAsia="微软雅黑" w:hAnsi="微软雅黑" w:cs="微软雅黑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微软雅黑" w:eastAsia="微软雅黑" w:hAnsi="微软雅黑" w:cs="微软雅黑"/>
      <w:sz w:val="48"/>
      <w:szCs w:val="48"/>
    </w:rPr>
  </w:style>
  <w:style w:type="paragraph" w:customStyle="1" w:styleId="Heading1">
    <w:name w:val="Heading 1"/>
    <w:basedOn w:val="Normal"/>
    <w:uiPriority w:val="1"/>
    <w:qFormat/>
    <w:pPr>
      <w:ind w:left="1841"/>
      <w:outlineLvl w:val="1"/>
    </w:pPr>
    <w:rPr>
      <w:rFonts w:ascii="楷体" w:eastAsia="楷体" w:hAnsi="楷体" w:cs="楷体"/>
      <w:b/>
      <w:bCs/>
      <w:sz w:val="48"/>
      <w:szCs w:val="48"/>
    </w:rPr>
  </w:style>
  <w:style w:type="paragraph" w:styleId="Title">
    <w:name w:val="Title"/>
    <w:basedOn w:val="Normal"/>
    <w:uiPriority w:val="1"/>
    <w:qFormat/>
    <w:pPr>
      <w:ind w:left="1748" w:right="1786"/>
      <w:jc w:val="center"/>
    </w:pPr>
    <w:rPr>
      <w:rFonts w:ascii="宋体" w:eastAsia="宋体" w:hAnsi="宋体" w:cs="宋体"/>
      <w:sz w:val="66"/>
      <w:szCs w:val="66"/>
    </w:rPr>
  </w:style>
  <w:style w:type="paragraph" w:styleId="ListParagraph">
    <w:name w:val="List Paragraph"/>
    <w:basedOn w:val="Normal"/>
    <w:uiPriority w:val="1"/>
    <w:qFormat/>
    <w:pPr>
      <w:ind w:left="3155" w:hanging="879"/>
    </w:pPr>
    <w:rPr>
      <w:rFonts w:ascii="微软雅黑" w:eastAsia="微软雅黑" w:hAnsi="微软雅黑" w:cs="微软雅黑"/>
    </w:rPr>
  </w:style>
  <w:style w:type="paragraph" w:customStyle="1" w:styleId="TableParagraph">
    <w:name w:val="Table Paragraph"/>
    <w:basedOn w:val="Normal"/>
    <w:uiPriority w:val="1"/>
    <w:qFormat/>
    <w:pPr>
      <w:spacing w:before="192"/>
    </w:pPr>
    <w:rPr>
      <w:rFonts w:ascii="微软雅黑" w:eastAsia="微软雅黑" w:hAnsi="微软雅黑" w:cs="微软雅黑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d.book118.com/185242204230011034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2023-10-07T18:14:33Z</dcterms:created>
  <dcterms:modified xsi:type="dcterms:W3CDTF">2023-10-07T18:14:33Z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2023-03-08T00:00:00Z</vt:filetime>
  </property>
  <property fmtid="{D5CDD505-2E9C-101B-9397-08002B2CF9AE}" pid="3" name="LastSaved">
    <vt:filetime>2023-10-07T00:00:00Z</vt:filetime>
  </property>
</Properties>
</file>