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农机具项目融资渠道探索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6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0" w:history="1">
        <w:r>
          <w:rPr>
            <w:rFonts w:ascii="仿宋" w:eastAsia="仿宋" w:hAnsi="仿宋" w:cs="仿宋" w:hint="eastAsia"/>
            <w:lang w:eastAsia="zh-CN"/>
          </w:rPr>
          <w:t>一、建设用地征地拆迁及移民安置分析</w:t>
        </w:r>
        <w:r>
          <w:tab/>
        </w:r>
        <w:r>
          <w:fldChar w:fldCharType="begin"/>
        </w:r>
        <w:r>
          <w:instrText xml:space="preserve"> PAGEREF _Toc20930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0" w:history="1">
        <w:r>
          <w:rPr>
            <w:rFonts w:ascii="仿宋" w:eastAsia="仿宋" w:hAnsi="仿宋" w:cs="仿宋" w:hint="eastAsia"/>
            <w:lang w:eastAsia="zh-CN"/>
          </w:rPr>
          <w:t>(一)、农机具项目选址及用地方案</w:t>
        </w:r>
        <w:r>
          <w:tab/>
        </w:r>
        <w:r>
          <w:fldChar w:fldCharType="begin"/>
        </w:r>
        <w:r>
          <w:instrText xml:space="preserve"> PAGEREF _Toc29180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4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_Toc29054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二、农机具项目概论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6" w:history="1">
        <w:r>
          <w:rPr>
            <w:rFonts w:ascii="仿宋" w:eastAsia="仿宋" w:hAnsi="仿宋" w:cs="仿宋" w:hint="eastAsia"/>
            <w:lang w:eastAsia="zh-CN"/>
          </w:rPr>
          <w:t>(一)、农机具项目申报单位概况</w:t>
        </w:r>
        <w:r>
          <w:tab/>
        </w:r>
        <w:r>
          <w:fldChar w:fldCharType="begin"/>
        </w:r>
        <w:r>
          <w:instrText xml:space="preserve"> PAGEREF _Toc11116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7" w:history="1">
        <w:r>
          <w:rPr>
            <w:rFonts w:ascii="仿宋" w:eastAsia="仿宋" w:hAnsi="仿宋" w:cs="仿宋" w:hint="eastAsia"/>
            <w:lang w:eastAsia="zh-CN"/>
          </w:rPr>
          <w:t>(二)、农机具项目概况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_Toc4670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_Toc24029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_Toc24145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8" w:history="1">
        <w:r>
          <w:rPr>
            <w:rFonts w:ascii="仿宋" w:eastAsia="仿宋" w:hAnsi="仿宋" w:cs="仿宋" w:hint="eastAsia"/>
            <w:lang w:eastAsia="zh-CN"/>
          </w:rPr>
          <w:t>五、融资规模及资金使用计划</w:t>
        </w:r>
        <w:r>
          <w:tab/>
        </w:r>
        <w:r>
          <w:fldChar w:fldCharType="begin"/>
        </w:r>
        <w:r>
          <w:instrText xml:space="preserve"> PAGEREF _Toc17118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0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_Toc31320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9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_Toc11319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3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_Toc9123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4" w:history="1">
        <w:r>
          <w:rPr>
            <w:rFonts w:ascii="仿宋" w:eastAsia="仿宋" w:hAnsi="仿宋" w:cs="仿宋" w:hint="eastAsia"/>
            <w:lang w:eastAsia="zh-CN"/>
          </w:rPr>
          <w:t>六、风险因素</w:t>
        </w:r>
        <w:r>
          <w:tab/>
        </w:r>
        <w:r>
          <w:fldChar w:fldCharType="begin"/>
        </w:r>
        <w:r>
          <w:instrText xml:space="preserve"> PAGEREF _Toc5234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" w:history="1">
        <w:r>
          <w:rPr>
            <w:rFonts w:ascii="仿宋" w:eastAsia="仿宋" w:hAnsi="仿宋" w:cs="仿宋" w:hint="eastAsia"/>
            <w:lang w:eastAsia="zh-CN"/>
          </w:rPr>
          <w:t>(一)、市场风险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2" w:history="1">
        <w:r>
          <w:rPr>
            <w:rFonts w:ascii="仿宋" w:eastAsia="仿宋" w:hAnsi="仿宋" w:cs="仿宋" w:hint="eastAsia"/>
            <w:lang w:eastAsia="zh-CN"/>
          </w:rPr>
          <w:t>(二)、价格风险</w:t>
        </w:r>
        <w:r>
          <w:tab/>
        </w:r>
        <w:r>
          <w:fldChar w:fldCharType="begin"/>
        </w:r>
        <w:r>
          <w:instrText xml:space="preserve"> PAGEREF _Toc26592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(三)、人才风险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3" w:history="1">
        <w:r>
          <w:rPr>
            <w:rFonts w:ascii="仿宋" w:eastAsia="仿宋" w:hAnsi="仿宋" w:cs="仿宋" w:hint="eastAsia"/>
            <w:lang w:eastAsia="zh-CN"/>
          </w:rPr>
          <w:t>(四)、服务风险</w:t>
        </w:r>
        <w:r>
          <w:tab/>
        </w:r>
        <w:r>
          <w:fldChar w:fldCharType="begin"/>
        </w:r>
        <w:r>
          <w:instrText xml:space="preserve"> PAGEREF _Toc17303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1" w:history="1">
        <w:r>
          <w:rPr>
            <w:rFonts w:ascii="仿宋" w:eastAsia="仿宋" w:hAnsi="仿宋" w:cs="仿宋" w:hint="eastAsia"/>
            <w:lang w:eastAsia="zh-CN"/>
          </w:rPr>
          <w:t>(五)、投资风险</w:t>
        </w:r>
        <w:r>
          <w:tab/>
        </w:r>
        <w:r>
          <w:fldChar w:fldCharType="begin"/>
        </w:r>
        <w:r>
          <w:instrText xml:space="preserve"> PAGEREF _Toc31961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eastAsia="zh-CN"/>
          </w:rPr>
          <w:t>(六)、自然灾害风险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1" w:history="1">
        <w:r>
          <w:rPr>
            <w:rFonts w:ascii="仿宋" w:eastAsia="仿宋" w:hAnsi="仿宋" w:cs="仿宋" w:hint="eastAsia"/>
            <w:lang w:eastAsia="zh-CN"/>
          </w:rPr>
          <w:t>(七)、新产品开发风险</w:t>
        </w:r>
        <w:r>
          <w:tab/>
        </w:r>
        <w:r>
          <w:fldChar w:fldCharType="begin"/>
        </w:r>
        <w:r>
          <w:instrText xml:space="preserve"> PAGEREF _Toc25531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4" w:history="1">
        <w:r>
          <w:rPr>
            <w:rFonts w:ascii="仿宋" w:eastAsia="仿宋" w:hAnsi="仿宋" w:cs="仿宋" w:hint="eastAsia"/>
            <w:lang w:eastAsia="zh-CN"/>
          </w:rPr>
          <w:t>(八)、原材料价格波动风险</w:t>
        </w:r>
        <w:r>
          <w:tab/>
        </w:r>
        <w:r>
          <w:fldChar w:fldCharType="begin"/>
        </w:r>
        <w:r>
          <w:instrText xml:space="preserve"> PAGEREF _Toc21904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3" w:history="1">
        <w:r>
          <w:rPr>
            <w:rFonts w:ascii="仿宋" w:eastAsia="仿宋" w:hAnsi="仿宋" w:cs="仿宋" w:hint="eastAsia"/>
            <w:lang w:eastAsia="zh-CN"/>
          </w:rPr>
          <w:t>(九)、产品价格波动风险</w:t>
        </w:r>
        <w:r>
          <w:tab/>
        </w:r>
        <w:r>
          <w:fldChar w:fldCharType="begin"/>
        </w:r>
        <w:r>
          <w:instrText xml:space="preserve"> PAGEREF _Toc15153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0" w:history="1">
        <w:r>
          <w:rPr>
            <w:rFonts w:ascii="仿宋" w:eastAsia="仿宋" w:hAnsi="仿宋" w:cs="仿宋" w:hint="eastAsia"/>
            <w:lang w:eastAsia="zh-CN"/>
          </w:rPr>
          <w:t>(十)、产能扩大后的销售风险</w:t>
        </w:r>
        <w:r>
          <w:tab/>
        </w:r>
        <w:r>
          <w:fldChar w:fldCharType="begin"/>
        </w:r>
        <w:r>
          <w:instrText xml:space="preserve"> PAGEREF _Toc18080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1" w:history="1">
        <w:r>
          <w:rPr>
            <w:rFonts w:ascii="仿宋" w:eastAsia="仿宋" w:hAnsi="仿宋" w:cs="仿宋" w:hint="eastAsia"/>
            <w:lang w:eastAsia="zh-CN"/>
          </w:rPr>
          <w:t>(十一)、公司成长性风险</w:t>
        </w:r>
        <w:r>
          <w:tab/>
        </w:r>
        <w:r>
          <w:fldChar w:fldCharType="begin"/>
        </w:r>
        <w:r>
          <w:instrText xml:space="preserve"> PAGEREF _Toc26191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eastAsia="zh-CN"/>
          </w:rPr>
          <w:t>七、风险及退出方式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2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_Toc26812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8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_Toc27738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6" w:history="1">
        <w:r>
          <w:rPr>
            <w:rFonts w:ascii="仿宋" w:eastAsia="仿宋" w:hAnsi="仿宋" w:cs="仿宋" w:hint="eastAsia"/>
            <w:lang w:eastAsia="zh-CN"/>
          </w:rPr>
          <w:t>八、融资及使用计划</w:t>
        </w:r>
        <w:r>
          <w:tab/>
        </w:r>
        <w:r>
          <w:fldChar w:fldCharType="begin"/>
        </w:r>
        <w:r>
          <w:instrText xml:space="preserve"> PAGEREF _Toc19026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9" w:history="1">
        <w:r>
          <w:rPr>
            <w:rFonts w:ascii="仿宋" w:eastAsia="仿宋" w:hAnsi="仿宋" w:cs="仿宋" w:hint="eastAsia"/>
            <w:lang w:eastAsia="zh-CN"/>
          </w:rPr>
          <w:t>(一)、融资说明</w:t>
        </w:r>
        <w:r>
          <w:tab/>
        </w:r>
        <w:r>
          <w:fldChar w:fldCharType="begin"/>
        </w:r>
        <w:r>
          <w:instrText xml:space="preserve"> PAGEREF _Toc20519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9" w:history="1">
        <w:r>
          <w:rPr>
            <w:rFonts w:ascii="仿宋" w:eastAsia="仿宋" w:hAnsi="仿宋" w:cs="仿宋" w:hint="eastAsia"/>
            <w:lang w:eastAsia="zh-CN"/>
          </w:rPr>
          <w:t>(二)、资金使用计划</w:t>
        </w:r>
        <w:r>
          <w:tab/>
        </w:r>
        <w:r>
          <w:fldChar w:fldCharType="begin"/>
        </w:r>
        <w:r>
          <w:instrText xml:space="preserve"> PAGEREF _Toc4319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九、经营计划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9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_Toc18669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3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_Toc10533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602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7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_Toc21277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2" w:history="1">
        <w:r>
          <w:rPr>
            <w:rFonts w:ascii="仿宋" w:eastAsia="仿宋" w:hAnsi="仿宋" w:cs="仿宋" w:hint="eastAsia"/>
            <w:lang w:eastAsia="zh-CN"/>
          </w:rPr>
          <w:t>十、营销策略</w:t>
        </w:r>
        <w:r>
          <w:tab/>
        </w:r>
        <w:r>
          <w:fldChar w:fldCharType="begin"/>
        </w:r>
        <w:r>
          <w:instrText xml:space="preserve"> PAGEREF _Toc16792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4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_Toc23954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1" w:history="1">
        <w:r>
          <w:rPr>
            <w:rFonts w:ascii="仿宋" w:eastAsia="仿宋" w:hAnsi="仿宋" w:cs="仿宋" w:hint="eastAsia"/>
            <w:lang w:eastAsia="zh-CN"/>
          </w:rPr>
          <w:t>十一、法律与合规事务</w:t>
        </w:r>
        <w:r>
          <w:tab/>
        </w:r>
        <w:r>
          <w:fldChar w:fldCharType="begin"/>
        </w:r>
        <w:r>
          <w:instrText xml:space="preserve"> PAGEREF _Toc5691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8" w:history="1">
        <w:r>
          <w:rPr>
            <w:rFonts w:ascii="仿宋" w:eastAsia="仿宋" w:hAnsi="仿宋" w:cs="仿宋" w:hint="eastAsia"/>
            <w:lang w:eastAsia="zh-CN"/>
          </w:rPr>
          <w:t>(一)、法律合规体系</w:t>
        </w:r>
        <w:r>
          <w:tab/>
        </w:r>
        <w:r>
          <w:fldChar w:fldCharType="begin"/>
        </w:r>
        <w:r>
          <w:instrText xml:space="preserve"> PAGEREF _Toc17268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5" w:history="1">
        <w:r>
          <w:rPr>
            <w:rFonts w:ascii="仿宋" w:eastAsia="仿宋" w:hAnsi="仿宋" w:cs="仿宋" w:hint="eastAsia"/>
            <w:lang w:eastAsia="zh-CN"/>
          </w:rPr>
          <w:t>(二)、知识产权保护</w:t>
        </w:r>
        <w:r>
          <w:tab/>
        </w:r>
        <w:r>
          <w:fldChar w:fldCharType="begin"/>
        </w:r>
        <w:r>
          <w:instrText xml:space="preserve"> PAGEREF _Toc4255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6" w:history="1">
        <w:r>
          <w:rPr>
            <w:rFonts w:ascii="仿宋" w:eastAsia="仿宋" w:hAnsi="仿宋" w:cs="仿宋" w:hint="eastAsia"/>
            <w:lang w:eastAsia="zh-CN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_Toc23376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_Toc4755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4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_Toc23794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8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_Toc19148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60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本文档为一份规范标准的项目融资计划书绪论，仅供学习交流使用，不得用于商业用途。通过编写和学习该计划书，希望理解项目融资过程中所需的关键要素和步骤，为未来的实际项目融资提供参考和指导。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930"/>
      <w:r>
        <w:rPr>
          <w:rFonts w:ascii="仿宋" w:eastAsia="仿宋" w:hAnsi="仿宋" w:cs="仿宋" w:hint="eastAsia"/>
          <w:sz w:val="28"/>
          <w:lang w:eastAsia="zh-CN"/>
        </w:rPr>
        <w:t>一、建设用地征地拆迁及移民安置分析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80"/>
      <w:r>
        <w:rPr>
          <w:rFonts w:ascii="仿宋" w:eastAsia="仿宋" w:hAnsi="仿宋" w:cs="仿宋" w:hint="eastAsia"/>
          <w:lang w:eastAsia="zh-CN"/>
        </w:rPr>
        <w:t>(一)、农机具项目选址及用地方案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(一)农机具项目选址原则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在选择农机具项目的地理位置时，应优先考虑以下原则：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场址应位于便利的交通运输主干道附近，以确保原材料和成品的顺畅运输，并保持通讯便捷，以便及时获取市场信息。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应统筹规划各种设施用地，以提高土地综合利用效率。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应采用先进的工艺技术和设备，以实现节约能源和土地资源的目标。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(二)农机具项目选址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具项目选址位于充满活力和潜力的xx经济开发区，这一决策基于多重战略性因素。首先，该经济开发区具有便捷的交通网络，靠近主要交通枢纽，这有助于原材料供应链的高效管理和产品的分销。其次，开发区内拥有现代化的基础设施和通信网络，为农机具项目提供了必要的支持，确保高效的生产和业务运营。此外，该区域人才资源充足，可获得高素质的劳动力，有助于提高农机具项目的生产力和竞争力。最重要的是，该经济开发区获得了政府的政策支持，包括税收激励和法规便利，为农机具项目的成功提供了有力支持。因此，农机具项目选址在xx经济开发区将为农机具项目带来战略性优势，有望取得长期的商业成功。(三)</w:t>
      </w:r>
      <w:r>
        <w:rPr>
          <w:rFonts w:ascii="仿宋" w:eastAsia="仿宋" w:hAnsi="仿宋" w:cs="仿宋" w:hint="eastAsia"/>
          <w:sz w:val="28"/>
          <w:lang w:eastAsia="zh-CN"/>
        </w:rPr>
        <w:t xml:space="preserve"> 建设条件分析扩充:</w:t>
      </w:r>
      <w:r>
        <w:rPr>
          <w:rFonts w:ascii="仿宋" w:eastAsia="仿宋" w:hAnsi="仿宋" w:cs="仿宋" w:hint="eastAsia"/>
          <w:sz w:val="28"/>
          <w:lang w:eastAsia="zh-CN"/>
        </w:rPr>
        <w:t xml:space="preserve"> 农机具项目承办单位自成立以来一直坚持“自主创新、自主研发”的理念，将提升创新能力视为企业竞争力的核心手段。因此，他们在农机具项目产品开发、设计、制造、检测等方面积累了宝贵的经验。该单位建立了全面的质量保障和管理体系，已通过了ISO</w:t>
      </w:r>
      <w:r>
        <w:rPr>
          <w:rFonts w:ascii="仿宋" w:eastAsia="仿宋" w:hAnsi="仿宋" w:cs="仿宋" w:hint="eastAsia"/>
          <w:sz w:val="28"/>
          <w:lang w:eastAsia="zh-CN"/>
        </w:rPr>
        <w:t xml:space="preserve"> 9000质量体系认证，这使他们赢得了用户的广泛信任和认可。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用地控制指标扩充: 在农机具项目的选址和用地控制方面，本农机具项目的规划完全符合国土资源部发布的相关标准。这些标准旨在确保土地的科学利用，以提高土地资源的综合利用效率，同时也是为了实现资源的可持续利用。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农机具项目的占地产出收益率、建筑容积率和综合利用率均满足国土资源部规定的行业标准。这有助于确保土地得到最大限度的利用，同时符合可持续发展的原则。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(五) 用地总体要求扩充: 用地总体要求是农机具项目建设的关键指标之一。农机具项目的建设规划包括建筑系数、建筑容积率、建设区域绿化覆盖率和固定资产投资强度等要素。这些要求不仅考虑了国家标准，还充分考虑了农机具项目的可持续发展和资源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建筑系数和建筑容积率的设定将有助于确保建筑的合理布局，同时留有足够的绿化空间，提供宜人的工作环境。绿化覆盖率和固定资产投资强度的设定旨在维护环境的生态平衡，确保生产和自然环境的和谐共存。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节约用地措施扩充: 在农机具项目的建设过程中，农机具项目承办单位将遵循“经济适宜、综合利用”的原则，科学规划和合理布局，以最大限度地提高土地的综合利用率。这一方法将确保土地得到高效利用，减少浪费。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具项目承办单位将积极探索新的用地节约方法，包括灵活的用地规划和建筑设计，以确保土地的充分利用。此外，他们还将采取一系列节约用地的举措，例如提高建筑的密度，改进交通布局，促进多功能用地的开发，以及推广绿色建筑技术。所有这些措施将有助于实现土地资源的最大利用，同时确保农机具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(七)总图布置方案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平面布置总体设计原则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农机具项目总体设计按照建筑物的生产性质和使用功能，将场区划分为生产区、办公生活区、公用设施区等三个功能区，以确保功能分区明确，人流和物流顺畅。布置既能充分利用现有场地，有利于生产设施的联系，又有利于外部水、电、气等能源的接入。这将确保工艺流程的顺畅，原材料和物料的输送线路最短，货物和人流分道，生产调度方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主要工程布置设计要求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道路在农机具项目建设场区内呈环状布置，采用城市型水泥混凝土路面结构，以满足不同运输车辆的需求。主干道和次干道的宽度分别为6.00米和3.00米，人行道宽度为1.20米。道路路缘石的转弯半径根据通行车。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绿化设计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绿化设计方面，我们注重创造一个多功能的生态环境，以满足不同需求。农机具项目场区的植物配置以本地树种为主，考虑了当地的气候、土壤和生态环境，以确保植物的生长和生态适应性。树木、花卉和草本植物的布局将根据农机具项目建设区域的总体规划，形成疏密适当、高低错落的绿化层次感，以营造宜人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辅助工程设计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辅助工程设计方面，我们采取了多重措施来确保农机具项目的正常运行。这包括了消防系统的设计，室内外消火栓的合理布置，以及完善的给水管网，以确保农机具项目用水的供应。此外，我们采用了分流制的排水方案，建立了完善的排水系统，以及防雷接地系统，确保农机具项目在各种情况下的安全运行。农机具项目还考虑了电费结算、能源计量和监控系统的配置，以提高能源管理和成本核算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(八)选址综合评价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https://d.book118.com/185302130313011034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农机具项目融资渠道探索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73"/>
    <w:rsid w:val="002B5D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5302130313011034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xxedt</dc:creator>
  <cp:lastModifiedBy>xxedt</cp:lastModifiedBy>
  <cp:revision>1</cp:revision>
  <dcterms:created xsi:type="dcterms:W3CDTF">2023-12-20T22:13:00Z</dcterms:created>
  <dcterms:modified xsi:type="dcterms:W3CDTF">2023-12-20T22:13:31Z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6FF0E2ECF442491D9AE540C0F5C21D52_11</vt:lpwstr>
  </property>
  <property fmtid="{D5CDD505-2E9C-101B-9397-08002B2CF9AE}" pid="3" name="KSOProductBuildVer">
    <vt:lpwstr>2052-12.1.0.15990</vt:lpwstr>
  </property>
</Properties>
</file>