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数控高精度内外圆磨床项目融资计划书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一、后期运营与管理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eastAsia="zh-CN"/>
          </w:rPr>
          <w:t>(一)、数控高精度内外圆磨床项目运营管理机制</w:t>
        </w:r>
        <w:r>
          <w:tab/>
        </w:r>
        <w:r>
          <w:fldChar w:fldCharType="begin"/>
        </w:r>
        <w:r>
          <w:instrText xml:space="preserve"> PAGEREF _Toc5758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2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_Toc9412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9" w:history="1">
        <w:r>
          <w:rPr>
            <w:rFonts w:ascii="仿宋" w:eastAsia="仿宋" w:hAnsi="仿宋" w:cs="仿宋" w:hint="eastAsia"/>
            <w:lang w:eastAsia="zh-CN"/>
          </w:rPr>
          <w:t>二、工艺技术分析</w:t>
        </w:r>
        <w:r>
          <w:tab/>
        </w:r>
        <w:r>
          <w:fldChar w:fldCharType="begin"/>
        </w:r>
        <w:r>
          <w:instrText xml:space="preserve"> PAGEREF _Toc10739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(二)、数控高精度内外圆磨床项目技术工艺简要分析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(四)、数控高精度内外圆磨床项目技术流程简述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三、数控高精度内外圆磨床投资管理策略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(一)、数控高精度内外圆磨床投资估算主要内容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(二)、数控高精度内外圆磨床设备购置投资费用管理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(三)、数控高精度内外圆磨床装修施工投资费用管理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eastAsia="zh-CN"/>
          </w:rPr>
          <w:t>(四)、数控高精度内外圆磨床流动资金管理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eastAsia="zh-CN"/>
          </w:rPr>
          <w:t>四、数控高精度内外圆磨床项目概况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eastAsia="zh-CN"/>
          </w:rPr>
          <w:t>(一)、数控高精度内外圆磨床项目承办单位基本情况</w:t>
        </w:r>
        <w:r>
          <w:tab/>
        </w:r>
        <w:r>
          <w:fldChar w:fldCharType="begin"/>
        </w:r>
        <w:r>
          <w:instrText xml:space="preserve"> PAGEREF _Toc6619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(二)、数控高精度内外圆磨床项目建设符合性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4" w:history="1">
        <w:r>
          <w:rPr>
            <w:rFonts w:ascii="仿宋" w:eastAsia="仿宋" w:hAnsi="仿宋" w:cs="仿宋" w:hint="eastAsia"/>
            <w:lang w:eastAsia="zh-CN"/>
          </w:rPr>
          <w:t>(三)、数控高精度内外圆磨床项目概况</w:t>
        </w:r>
        <w:r>
          <w:tab/>
        </w:r>
        <w:r>
          <w:fldChar w:fldCharType="begin"/>
        </w:r>
        <w:r>
          <w:instrText xml:space="preserve"> PAGEREF _Toc26114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(四)、数控高精度内外圆磨床项目评价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5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5" w:history="1">
        <w:r>
          <w:rPr>
            <w:rFonts w:ascii="仿宋" w:eastAsia="仿宋" w:hAnsi="仿宋" w:cs="仿宋" w:hint="eastAsia"/>
            <w:lang w:eastAsia="zh-CN"/>
          </w:rPr>
          <w:t>(一)、数控高精度内外圆磨床生产控制的基本程序</w:t>
        </w:r>
        <w:r>
          <w:tab/>
        </w:r>
        <w:r>
          <w:fldChar w:fldCharType="begin"/>
        </w:r>
        <w:r>
          <w:instrText xml:space="preserve"> PAGEREF _Toc17585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六、数控高精度内外圆磨床项目概论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9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_Toc4069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0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_Toc14800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" w:history="1">
        <w:r>
          <w:rPr>
            <w:rFonts w:ascii="仿宋" w:eastAsia="仿宋" w:hAnsi="仿宋" w:cs="仿宋" w:hint="eastAsia"/>
            <w:lang w:eastAsia="zh-CN"/>
          </w:rPr>
          <w:t>七、环境保护说明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_Toc5544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_Toc10980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_Toc31751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7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_Toc15177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9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_Toc30199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_Toc27456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(七)、数控高精度内外圆磨床项目建设对区域经济的影响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(三)、数控高精度内外圆磨床项目盈利能力分析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_Toc7752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九、数控高精度内外圆磨床项目投资方案分析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9" w:history="1">
        <w:r>
          <w:rPr>
            <w:rFonts w:ascii="仿宋" w:eastAsia="仿宋" w:hAnsi="仿宋" w:cs="仿宋" w:hint="eastAsia"/>
            <w:lang w:eastAsia="zh-CN"/>
          </w:rPr>
          <w:t>(一)、数控高精度内外圆磨床项目估算说明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(二)、数控高精度内外圆磨床项目总投资估算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十、市场与供应链管理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_Toc2834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5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_Toc32635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十一、组织架构分析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6" w:history="1">
        <w:r>
          <w:rPr>
            <w:rFonts w:ascii="仿宋" w:eastAsia="仿宋" w:hAnsi="仿宋" w:cs="仿宋" w:hint="eastAsia"/>
            <w:lang w:eastAsia="zh-CN"/>
          </w:rPr>
          <w:t>十二、人力资源的特点及管理过程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十三、投资估算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_Toc1675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_Toc19006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(三)、数控高精度内外圆磨床项目盈利能力分析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十五、安全与环境考核评价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8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_Toc10208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5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_Toc15595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8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0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十六、社会和环境责任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8" w:history="1">
        <w:r>
          <w:rPr>
            <w:rFonts w:ascii="仿宋" w:eastAsia="仿宋" w:hAnsi="仿宋" w:cs="仿宋" w:hint="eastAsia"/>
            <w:lang w:eastAsia="zh-CN"/>
          </w:rPr>
          <w:t>(一)、社会责任数控高精度内外圆磨床项目</w:t>
        </w:r>
        <w:r>
          <w:tab/>
        </w:r>
        <w:r>
          <w:fldChar w:fldCharType="begin"/>
        </w:r>
        <w:r>
          <w:instrText xml:space="preserve"> PAGEREF _Toc19448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十七、招聘与人才发展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0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_Toc5490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7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_Toc5677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9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0" w:history="1">
        <w:r>
          <w:rPr>
            <w:rFonts w:ascii="仿宋" w:eastAsia="仿宋" w:hAnsi="仿宋" w:cs="仿宋" w:hint="eastAsia"/>
            <w:lang w:eastAsia="zh-CN"/>
          </w:rPr>
          <w:t>十九、数控高精度内外圆磨床项目优势</w:t>
        </w:r>
        <w:r>
          <w:tab/>
        </w:r>
        <w:r>
          <w:fldChar w:fldCharType="begin"/>
        </w:r>
        <w:r>
          <w:instrText xml:space="preserve"> PAGEREF _Toc25490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_Toc26468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二十、数控高精度内外圆磨床行业企业过去战略的影响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(一)、数控高精度内外圆磨床行业企业过去战略的影响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17"/>
      <w:r>
        <w:rPr>
          <w:rFonts w:ascii="仿宋" w:eastAsia="仿宋" w:hAnsi="仿宋" w:cs="仿宋" w:hint="eastAsia"/>
          <w:sz w:val="28"/>
          <w:lang w:eastAsia="zh-CN"/>
        </w:rPr>
        <w:t>一、后期运营与管理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58"/>
      <w:r>
        <w:rPr>
          <w:rFonts w:ascii="仿宋" w:eastAsia="仿宋" w:hAnsi="仿宋" w:cs="仿宋" w:hint="eastAsia"/>
          <w:lang w:eastAsia="zh-CN"/>
        </w:rPr>
        <w:t>(一)、数控高精度内外圆磨床项目运营管理机制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在数控高精度内外圆磨床项目运营阶段，我们将建立完善的运营管理机制，以确保数控高精度内外圆磨床项目稳健运行和高效管理。关键要点包括：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运营团队组建：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成立专业化的运营团队，囊括各领域专业人才，确保对数控高精度内外圆磨床项目各方面进行全面管理。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设立明确的职责和权限，建立协同工作的团队氛围。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运营计划与执行：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制定详细的运营计划，包括生产计划、人力资源计划、设备维护计划等，确保运营活动有序展开。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  <w:lang w:eastAsia="zh-CN"/>
        </w:rPr>
        <w:t xml:space="preserve">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https://d.book118.com/186000143041010053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数控高精度内外圆磨床项目融资计划书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数控高精度内外圆磨床项目融资计划书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数控高精度内外圆磨床项目融资计划书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数控高精度内外圆磨床项目融资计划书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数控高精度内外圆磨床项目融资计划书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6F47BA"/>
    <w:rsid w:val="2A6F47B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6000143041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2024-02-23T11:20:00Z</dcterms:created>
  <dcterms:modified xsi:type="dcterms:W3CDTF">2024-02-23T11:20:18Z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9EEC5FB971A6432BAF6298C38D5C4428_11</vt:lpwstr>
  </property>
  <property fmtid="{D5CDD505-2E9C-101B-9397-08002B2CF9AE}" pid="3" name="KSOProductBuildVer">
    <vt:lpwstr>2052-12.1.0.16250</vt:lpwstr>
  </property>
</Properties>
</file>