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1、[单选题]患儿男，2+岁，发热3天，伴口唇稍红，发热时双眼球结膜轻度充血，咽部可见均匀稀薄白色附着物。首先考虑的诊断是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A.川崎病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B.幼年类风湿关节炎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C.传染性单核细胞增多症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D.麻疹。E,咽结合膜热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2、[题干]缺铁对小儿的影响涉及以下哪些方面(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A.消化系统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B.造血系统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C.组织代谢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D.神经系统。E,肌力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【答案】A，B，C，D，E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3、[题干]3岁女孩，身高93cm，洗澡时发现乳房增大，无其他异常表现，否认特殊饮食史。骨龄与实际年龄相当，腹部B超检查正常。最可能的诊断是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A.乳房肿物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B.性早熟可能性大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C.单纯乳房早发育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D.正常女童。E,外源性雌激素影响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4、[题干]下列哪一项是不寐的病理变化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A.阳盛阴衰，阴阳失交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B.阴盛阳衰，阴阳失交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C.阴阳两虚，阴阳失交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D.阴阳俱盛，阴阳失交。E,以上都不是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5、[题干]小儿初次感染结核杆菌至产生变态反应的时间是(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A.2～3周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B.48～72小时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C.4～8周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D.10～12周。E,2～3个月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6、[题干]小婴儿化脓性脑膜炎的临床表现是()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https://d.book118.com/186020035025010051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186020035025010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