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color w:val="000000"/>
          <w:kern w:val="0"/>
          <w:sz w:val="31"/>
          <w:szCs w:val="31"/>
          <w:lang w:bidi="ar"/>
        </w:rPr>
      </w:pPr>
    </w:p>
    <w:p>
      <w:pPr>
        <w:widowControl/>
        <w:spacing w:line="560" w:lineRule="exact"/>
        <w:jc w:val="center"/>
        <w:rPr>
          <w:rFonts w:eastAsia="方正小标宋简体"/>
          <w:bCs/>
          <w:sz w:val="44"/>
          <w:szCs w:val="44"/>
        </w:rPr>
      </w:pPr>
      <w:r>
        <w:rPr>
          <w:rFonts w:eastAsia="方正小标宋简体" w:hint="eastAsia"/>
          <w:bCs/>
          <w:sz w:val="44"/>
          <w:szCs w:val="44"/>
        </w:rPr>
        <w:t>广西地方标准《桉树无节材分等方法》（征求意见稿）编制说明</w:t>
      </w:r>
    </w:p>
    <w:p>
      <w:pPr>
        <w:spacing w:line="560" w:lineRule="exact"/>
        <w:ind w:firstLine="883"/>
        <w:jc w:val="center"/>
        <w:rPr>
          <w:rFonts w:eastAsia="仿宋"/>
          <w:b/>
          <w:color w:val="000000"/>
          <w:sz w:val="44"/>
          <w:szCs w:val="44"/>
        </w:rPr>
      </w:pPr>
    </w:p>
    <w:p>
      <w:pPr>
        <w:pStyle w:val="Title"/>
        <w:spacing w:before="0" w:after="0" w:line="560" w:lineRule="exact"/>
        <w:ind w:firstLine="640" w:firstLineChars="200"/>
        <w:jc w:val="left"/>
        <w:rPr>
          <w:rFonts w:ascii="Times New Roman" w:eastAsia="黑体" w:hAnsi="Times New Roman" w:cs="Times New Roman"/>
          <w:b w:val="0"/>
        </w:rPr>
      </w:pPr>
      <w:r>
        <w:rPr>
          <w:rFonts w:ascii="Times New Roman" w:eastAsia="黑体" w:hAnsi="Times New Roman" w:cs="Times New Roman" w:hint="eastAsia"/>
          <w:b w:val="0"/>
        </w:rPr>
        <w:t>一、任务来源、起草单位、主要起草人</w:t>
      </w:r>
    </w:p>
    <w:p>
      <w:pPr>
        <w:overflowPunct w:val="0"/>
        <w:topLinePunct/>
        <w:spacing w:line="520" w:lineRule="exact"/>
        <w:ind w:firstLine="641"/>
        <w:rPr>
          <w:rFonts w:eastAsia="仿宋_GB2312"/>
          <w:color w:val="000000"/>
          <w:sz w:val="32"/>
          <w:szCs w:val="32"/>
        </w:rPr>
      </w:pPr>
      <w:r>
        <w:rPr>
          <w:rFonts w:ascii="仿宋" w:eastAsia="仿宋" w:hAnsi="仿宋" w:hint="eastAsia"/>
          <w:sz w:val="32"/>
          <w:szCs w:val="32"/>
        </w:rPr>
        <w:t>广西地方标准</w:t>
      </w:r>
      <w:r>
        <w:rPr>
          <w:rFonts w:eastAsia="仿宋_GB2312" w:hint="eastAsia"/>
          <w:color w:val="000000"/>
          <w:sz w:val="32"/>
          <w:szCs w:val="32"/>
        </w:rPr>
        <w:t>《桉树无节材分等方法》（2022-1021）</w:t>
      </w:r>
      <w:r>
        <w:rPr>
          <w:rFonts w:ascii="仿宋" w:eastAsia="仿宋" w:hAnsi="仿宋" w:hint="eastAsia"/>
          <w:sz w:val="32"/>
          <w:szCs w:val="32"/>
        </w:rPr>
        <w:t>研制项目，由广西壮族自治区林业局提出，广西壮族自治区市场监督管理局批准立项，列入《广西壮族自治区市场监督管理局关于下达20</w:t>
      </w:r>
      <w:r>
        <w:rPr>
          <w:rFonts w:ascii="仿宋" w:eastAsia="仿宋" w:hAnsi="仿宋"/>
          <w:sz w:val="32"/>
          <w:szCs w:val="32"/>
        </w:rPr>
        <w:t>22</w:t>
      </w:r>
      <w:r>
        <w:rPr>
          <w:rFonts w:ascii="仿宋" w:eastAsia="仿宋" w:hAnsi="仿宋" w:hint="eastAsia"/>
          <w:sz w:val="32"/>
          <w:szCs w:val="32"/>
        </w:rPr>
        <w:t>年广西地方标准制修订项目计划的通知》（桂市监函〔20</w:t>
      </w:r>
      <w:r>
        <w:rPr>
          <w:rFonts w:ascii="仿宋" w:eastAsia="仿宋" w:hAnsi="仿宋"/>
          <w:sz w:val="32"/>
          <w:szCs w:val="32"/>
        </w:rPr>
        <w:t>22</w:t>
      </w:r>
      <w:r>
        <w:rPr>
          <w:rFonts w:ascii="仿宋" w:eastAsia="仿宋" w:hAnsi="仿宋" w:hint="eastAsia"/>
          <w:sz w:val="32"/>
          <w:szCs w:val="32"/>
        </w:rPr>
        <w:t>〕</w:t>
      </w:r>
      <w:r>
        <w:rPr>
          <w:rFonts w:ascii="仿宋" w:eastAsia="仿宋" w:hAnsi="仿宋"/>
          <w:sz w:val="32"/>
          <w:szCs w:val="32"/>
        </w:rPr>
        <w:t>1903</w:t>
      </w:r>
      <w:r>
        <w:rPr>
          <w:rFonts w:ascii="仿宋" w:eastAsia="仿宋" w:hAnsi="仿宋" w:hint="eastAsia"/>
          <w:sz w:val="32"/>
          <w:szCs w:val="32"/>
        </w:rPr>
        <w:t>号）文件。由</w:t>
      </w:r>
      <w:r>
        <w:rPr>
          <w:rFonts w:eastAsia="仿宋_GB2312" w:hint="eastAsia"/>
          <w:color w:val="000000"/>
          <w:sz w:val="32"/>
          <w:szCs w:val="32"/>
        </w:rPr>
        <w:t>广西壮族自治区林业科学研究院负责起草。</w:t>
      </w:r>
    </w:p>
    <w:p>
      <w:pPr>
        <w:overflowPunct w:val="0"/>
        <w:topLinePunct/>
        <w:spacing w:line="560" w:lineRule="exact"/>
        <w:ind w:firstLine="641"/>
        <w:rPr>
          <w:rFonts w:eastAsia="仿宋_GB2312"/>
          <w:color w:val="000000"/>
          <w:sz w:val="32"/>
          <w:szCs w:val="32"/>
        </w:rPr>
      </w:pPr>
      <w:r>
        <w:rPr>
          <w:rFonts w:eastAsia="仿宋_GB2312" w:hint="eastAsia"/>
          <w:color w:val="000000"/>
          <w:sz w:val="32"/>
          <w:szCs w:val="32"/>
        </w:rPr>
        <w:t>标准主要起草人员分工：</w:t>
      </w:r>
    </w:p>
    <w:tbl>
      <w:tblPr>
        <w:tblStyle w:val="TableNormal"/>
        <w:tblW w:w="4821" w:type="pct"/>
        <w:tblInd w:w="113" w:type="dxa"/>
        <w:tblCellMar>
          <w:top w:w="0" w:type="dxa"/>
          <w:left w:w="108" w:type="dxa"/>
          <w:bottom w:w="0" w:type="dxa"/>
          <w:right w:w="108" w:type="dxa"/>
        </w:tblCellMar>
      </w:tblPr>
      <w:tblGrid>
        <w:gridCol w:w="1117"/>
        <w:gridCol w:w="2989"/>
        <w:gridCol w:w="1703"/>
        <w:gridCol w:w="2408"/>
      </w:tblGrid>
      <w:tr>
        <w:tblPrEx>
          <w:tblW w:w="4821" w:type="pct"/>
          <w:tblInd w:w="113" w:type="dxa"/>
          <w:tblCellMar>
            <w:top w:w="0" w:type="dxa"/>
            <w:left w:w="108" w:type="dxa"/>
            <w:bottom w:w="0" w:type="dxa"/>
            <w:right w:w="108" w:type="dxa"/>
          </w:tblCellMar>
        </w:tblPrEx>
        <w:trPr>
          <w:cantSplit/>
          <w:trHeight w:val="576"/>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bCs/>
                <w:sz w:val="28"/>
                <w:szCs w:val="28"/>
              </w:rPr>
            </w:pPr>
            <w:r>
              <w:rPr>
                <w:rFonts w:ascii="仿宋" w:eastAsia="仿宋" w:hAnsi="仿宋" w:cstheme="minorEastAsia" w:hint="eastAsia"/>
                <w:bCs/>
                <w:sz w:val="28"/>
                <w:szCs w:val="28"/>
              </w:rPr>
              <w:t>姓名</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工作单位</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bCs/>
                <w:sz w:val="28"/>
                <w:szCs w:val="28"/>
              </w:rPr>
            </w:pPr>
            <w:r>
              <w:rPr>
                <w:rFonts w:ascii="仿宋" w:eastAsia="仿宋" w:hAnsi="仿宋" w:cstheme="minorEastAsia" w:hint="eastAsia"/>
                <w:bCs/>
                <w:sz w:val="28"/>
                <w:szCs w:val="28"/>
              </w:rPr>
              <w:t>职称</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bCs/>
                <w:sz w:val="28"/>
                <w:szCs w:val="28"/>
              </w:rPr>
            </w:pPr>
            <w:r>
              <w:rPr>
                <w:rFonts w:ascii="仿宋" w:eastAsia="仿宋" w:hAnsi="仿宋" w:cstheme="minorEastAsia" w:hint="eastAsia"/>
                <w:bCs/>
                <w:sz w:val="28"/>
                <w:szCs w:val="28"/>
              </w:rPr>
              <w:t>主要负责工作</w:t>
            </w:r>
          </w:p>
        </w:tc>
      </w:tr>
      <w:tr>
        <w:tblPrEx>
          <w:tblW w:w="4821" w:type="pct"/>
          <w:tblInd w:w="113" w:type="dxa"/>
          <w:tblCellMar>
            <w:top w:w="0" w:type="dxa"/>
            <w:left w:w="108" w:type="dxa"/>
            <w:bottom w:w="0" w:type="dxa"/>
            <w:right w:w="108" w:type="dxa"/>
          </w:tblCellMar>
        </w:tblPrEx>
        <w:trPr>
          <w:cantSplit/>
          <w:trHeight w:val="470"/>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hint="eastAsia"/>
                <w:kern w:val="0"/>
                <w:sz w:val="28"/>
                <w:szCs w:val="28"/>
              </w:rPr>
              <w:t>卢翠香</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hint="eastAsia"/>
                <w:color w:val="000000"/>
                <w:sz w:val="28"/>
                <w:szCs w:val="28"/>
              </w:rPr>
              <w:t>主持编写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hint="eastAsia"/>
                <w:kern w:val="0"/>
                <w:sz w:val="28"/>
                <w:szCs w:val="28"/>
              </w:rPr>
              <w:t>任世奇</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hint="eastAsia"/>
                <w:kern w:val="0"/>
                <w:sz w:val="28"/>
                <w:szCs w:val="28"/>
              </w:rPr>
              <w:t>刘 媛</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sz w:val="28"/>
                <w:szCs w:val="28"/>
              </w:rPr>
              <w:t>邓紫宇</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tcPr>
          <w:p>
            <w:pPr>
              <w:spacing w:line="520" w:lineRule="exact"/>
              <w:rPr>
                <w:rFonts w:ascii="仿宋" w:eastAsia="仿宋" w:hAnsi="仿宋"/>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bl>
    <w:p>
      <w:pPr>
        <w:sectPr>
          <w:footerReference w:type="default" r:id="rId5"/>
          <w:pgSz w:w="11906" w:h="16838"/>
          <w:pgMar w:top="1440" w:right="1800" w:bottom="1440" w:left="1800" w:header="851" w:footer="992" w:gutter="0"/>
          <w:cols w:num="1" w:space="425"/>
          <w:docGrid w:type="lines" w:linePitch="312" w:charSpace="0"/>
        </w:sectPr>
      </w:pPr>
    </w:p>
    <w:tbl>
      <w:tblPr>
        <w:tblStyle w:val="TableNormal"/>
        <w:tblW w:w="4821" w:type="pct"/>
        <w:tblInd w:w="113" w:type="dxa"/>
        <w:tblCellMar>
          <w:top w:w="0" w:type="dxa"/>
          <w:left w:w="108" w:type="dxa"/>
          <w:bottom w:w="0" w:type="dxa"/>
          <w:right w:w="108" w:type="dxa"/>
        </w:tblCellMar>
      </w:tblPr>
      <w:tblGrid>
        <w:gridCol w:w="1117"/>
        <w:gridCol w:w="2989"/>
        <w:gridCol w:w="1703"/>
        <w:gridCol w:w="2408"/>
      </w:tblGrid>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sz w:val="28"/>
                <w:szCs w:val="28"/>
                <w:lang w:bidi="ar"/>
              </w:rPr>
              <w:t>郭东强</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tcPr>
          <w:p>
            <w:pPr>
              <w:spacing w:line="520" w:lineRule="exact"/>
              <w:rPr>
                <w:rFonts w:ascii="仿宋" w:eastAsia="仿宋" w:hAnsi="仿宋"/>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唐庆兰</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tcPr>
          <w:p>
            <w:pPr>
              <w:spacing w:line="520" w:lineRule="exact"/>
              <w:rPr>
                <w:rFonts w:ascii="仿宋" w:eastAsia="仿宋" w:hAnsi="仿宋"/>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李昌荣</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正高级工程师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周  维</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教授级</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陈健波</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教授级高工</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陈升侃</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伍  琪</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李桂兰</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广西壮族自治区产品质量检验研究院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高级工程师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韦振道</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助理工程师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r>
        <w:tblPrEx>
          <w:tblW w:w="4821" w:type="pct"/>
          <w:tblInd w:w="113" w:type="dxa"/>
          <w:tblCellMar>
            <w:top w:w="0" w:type="dxa"/>
            <w:left w:w="108" w:type="dxa"/>
            <w:bottom w:w="0" w:type="dxa"/>
            <w:right w:w="108" w:type="dxa"/>
          </w:tblCellMar>
        </w:tblPrEx>
        <w:trPr>
          <w:cantSplit/>
          <w:trHeight w:val="517"/>
        </w:trPr>
        <w:tc>
          <w:tcPr>
            <w:tcW w:w="680"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sz w:val="28"/>
                <w:szCs w:val="28"/>
                <w:lang w:bidi="ar"/>
              </w:rPr>
            </w:pPr>
            <w:r>
              <w:rPr>
                <w:rFonts w:ascii="仿宋" w:eastAsia="仿宋" w:hAnsi="仿宋" w:hint="eastAsia"/>
                <w:sz w:val="28"/>
                <w:szCs w:val="28"/>
                <w:lang w:bidi="ar"/>
              </w:rPr>
              <w:t>朱 慧</w:t>
            </w:r>
          </w:p>
        </w:tc>
        <w:tc>
          <w:tcPr>
            <w:tcW w:w="1819"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广西壮族自治区林业科学研究院</w:t>
            </w:r>
          </w:p>
        </w:tc>
        <w:tc>
          <w:tcPr>
            <w:tcW w:w="1036"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stheme="minorEastAsia"/>
                <w:sz w:val="28"/>
                <w:szCs w:val="28"/>
              </w:rPr>
            </w:pPr>
            <w:r>
              <w:rPr>
                <w:rFonts w:ascii="仿宋" w:eastAsia="仿宋" w:hAnsi="仿宋" w:cstheme="minorEastAsia" w:hint="eastAsia"/>
                <w:sz w:val="28"/>
                <w:szCs w:val="28"/>
              </w:rPr>
              <w:t>工程师</w:t>
            </w:r>
          </w:p>
        </w:tc>
        <w:tc>
          <w:tcPr>
            <w:tcW w:w="1465" w:type="pct"/>
            <w:tcBorders>
              <w:top w:val="single" w:sz="4" w:space="0" w:color="auto"/>
              <w:left w:val="single" w:sz="4" w:space="0" w:color="auto"/>
              <w:bottom w:val="single" w:sz="4" w:space="0" w:color="auto"/>
              <w:right w:val="single" w:sz="4" w:space="0" w:color="auto"/>
            </w:tcBorders>
            <w:vAlign w:val="center"/>
          </w:tcPr>
          <w:p>
            <w:pPr>
              <w:spacing w:line="520" w:lineRule="exact"/>
              <w:jc w:val="center"/>
              <w:rPr>
                <w:rFonts w:ascii="仿宋" w:eastAsia="仿宋" w:hAnsi="仿宋"/>
                <w:color w:val="000000"/>
                <w:sz w:val="28"/>
                <w:szCs w:val="28"/>
              </w:rPr>
            </w:pPr>
            <w:r>
              <w:rPr>
                <w:rFonts w:ascii="仿宋" w:eastAsia="仿宋" w:hAnsi="仿宋" w:hint="eastAsia"/>
                <w:color w:val="000000"/>
                <w:sz w:val="28"/>
                <w:szCs w:val="28"/>
              </w:rPr>
              <w:t>参与编写</w:t>
            </w:r>
          </w:p>
        </w:tc>
      </w:tr>
    </w:tbl>
    <w:p/>
    <w:p>
      <w:pPr>
        <w:spacing w:line="520" w:lineRule="exact"/>
        <w:ind w:firstLine="640" w:firstLineChars="200"/>
        <w:rPr>
          <w:rFonts w:ascii="黑体" w:eastAsia="黑体" w:hAnsi="黑体"/>
          <w:sz w:val="32"/>
          <w:szCs w:val="32"/>
        </w:rPr>
      </w:pPr>
      <w:r>
        <w:rPr>
          <w:rFonts w:ascii="黑体" w:eastAsia="黑体" w:hAnsi="黑体" w:hint="eastAsia"/>
          <w:sz w:val="32"/>
          <w:szCs w:val="32"/>
        </w:rPr>
        <w:t>二、制定标准的必要性和意义</w:t>
      </w:r>
    </w:p>
    <w:p>
      <w:pPr>
        <w:pStyle w:val="BodyText2"/>
        <w:sectPr>
          <w:footerReference w:type="default" r:id="rId6"/>
          <w:type w:val="nextPage"/>
          <w:pgSz w:w="11906" w:h="16838"/>
          <w:pgMar w:top="1440" w:right="1800" w:bottom="1440" w:left="1800" w:header="851" w:footer="992" w:gutter="0"/>
          <w:pgNumType w:start="2"/>
          <w:cols w:num="1" w:space="425"/>
          <w:titlePg w:val="0"/>
          <w:docGrid w:type="lines" w:linePitch="312" w:charSpace="0"/>
        </w:sectPr>
      </w:pPr>
      <w:r>
        <w:rPr>
          <w:rFonts w:hint="eastAsia"/>
        </w:rPr>
        <w:t>（参照标准申报材料相关内容）</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（一）</w:t>
      </w:r>
      <w:r>
        <w:rPr>
          <w:rFonts w:ascii="楷体_GB2312" w:eastAsia="楷体_GB2312" w:hAnsi="楷体_GB2312" w:cs="楷体_GB2312" w:hint="eastAsia"/>
          <w:b/>
          <w:bCs/>
          <w:sz w:val="32"/>
          <w:szCs w:val="32"/>
        </w:rPr>
        <w:t>制定标准的必要性</w:t>
      </w: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1、政策依据</w:t>
      </w:r>
    </w:p>
    <w:p>
      <w:pPr>
        <w:spacing w:line="520" w:lineRule="exact"/>
        <w:ind w:firstLine="640" w:firstLineChars="200"/>
        <w:rPr>
          <w:rFonts w:ascii="仿宋" w:eastAsia="仿宋" w:hAnsi="仿宋"/>
          <w:kern w:val="0"/>
          <w:sz w:val="32"/>
          <w:szCs w:val="32"/>
        </w:rPr>
      </w:pPr>
      <w:r>
        <w:rPr>
          <w:rFonts w:ascii="仿宋" w:eastAsia="仿宋" w:hAnsi="仿宋"/>
          <w:kern w:val="0"/>
          <w:sz w:val="32"/>
          <w:szCs w:val="32"/>
        </w:rPr>
        <w:t>本标准是</w:t>
      </w:r>
      <w:r>
        <w:rPr>
          <w:rFonts w:ascii="仿宋" w:eastAsia="仿宋" w:hAnsi="仿宋" w:hint="eastAsia"/>
          <w:kern w:val="0"/>
          <w:sz w:val="32"/>
          <w:szCs w:val="32"/>
        </w:rPr>
        <w:t>经广西壮族</w:t>
      </w:r>
      <w:r>
        <w:rPr>
          <w:rFonts w:ascii="仿宋" w:eastAsia="仿宋" w:hAnsi="仿宋"/>
          <w:kern w:val="0"/>
          <w:sz w:val="32"/>
          <w:szCs w:val="32"/>
        </w:rPr>
        <w:t>自治区市场监督管理局《关于下达</w:t>
      </w:r>
      <w:r>
        <w:rPr>
          <w:rFonts w:ascii="仿宋" w:eastAsia="仿宋" w:hAnsi="仿宋" w:hint="eastAsia"/>
          <w:kern w:val="0"/>
          <w:sz w:val="32"/>
          <w:szCs w:val="32"/>
        </w:rPr>
        <w:t>2022</w:t>
      </w:r>
      <w:r>
        <w:rPr>
          <w:rFonts w:ascii="仿宋" w:eastAsia="仿宋" w:hAnsi="仿宋"/>
          <w:kern w:val="0"/>
          <w:sz w:val="32"/>
          <w:szCs w:val="32"/>
        </w:rPr>
        <w:t>年广西地方标准制修订项目计划的通知》（桂市监函﹝20</w:t>
      </w:r>
      <w:r>
        <w:rPr>
          <w:rFonts w:ascii="仿宋" w:eastAsia="仿宋" w:hAnsi="仿宋" w:hint="eastAsia"/>
          <w:kern w:val="0"/>
          <w:sz w:val="32"/>
          <w:szCs w:val="32"/>
        </w:rPr>
        <w:t>22</w:t>
      </w:r>
      <w:r>
        <w:rPr>
          <w:rFonts w:ascii="仿宋" w:eastAsia="仿宋" w:hAnsi="仿宋"/>
          <w:kern w:val="0"/>
          <w:sz w:val="32"/>
          <w:szCs w:val="32"/>
        </w:rPr>
        <w:t>﹞</w:t>
      </w:r>
      <w:r>
        <w:rPr>
          <w:rFonts w:ascii="仿宋" w:eastAsia="仿宋" w:hAnsi="仿宋" w:hint="eastAsia"/>
          <w:kern w:val="0"/>
          <w:sz w:val="32"/>
          <w:szCs w:val="32"/>
        </w:rPr>
        <w:t>1903</w:t>
      </w:r>
      <w:r>
        <w:rPr>
          <w:rFonts w:ascii="仿宋" w:eastAsia="仿宋" w:hAnsi="仿宋"/>
          <w:kern w:val="0"/>
          <w:sz w:val="32"/>
          <w:szCs w:val="32"/>
        </w:rPr>
        <w:t>号）</w:t>
      </w:r>
      <w:r>
        <w:rPr>
          <w:rFonts w:ascii="仿宋" w:eastAsia="仿宋" w:hAnsi="仿宋" w:hint="eastAsia"/>
          <w:kern w:val="0"/>
          <w:sz w:val="32"/>
          <w:szCs w:val="32"/>
        </w:rPr>
        <w:t>批准下达</w:t>
      </w:r>
      <w:r>
        <w:rPr>
          <w:rFonts w:ascii="仿宋" w:eastAsia="仿宋" w:hAnsi="仿宋"/>
          <w:kern w:val="0"/>
          <w:sz w:val="32"/>
          <w:szCs w:val="32"/>
        </w:rPr>
        <w:t>的项目，由广西壮族自治区林业局提出，广西壮族自治区林业科学研究院起草。</w:t>
      </w:r>
      <w:r>
        <w:rPr>
          <w:rFonts w:ascii="仿宋" w:eastAsia="仿宋" w:hAnsi="仿宋" w:hint="eastAsia"/>
          <w:kern w:val="0"/>
          <w:sz w:val="32"/>
          <w:szCs w:val="32"/>
        </w:rPr>
        <w:t>项目</w:t>
      </w:r>
      <w:r>
        <w:rPr>
          <w:rFonts w:ascii="仿宋" w:eastAsia="仿宋" w:hAnsi="仿宋"/>
          <w:kern w:val="0"/>
          <w:sz w:val="32"/>
          <w:szCs w:val="32"/>
        </w:rPr>
        <w:t>编号：</w:t>
      </w:r>
      <w:r>
        <w:rPr>
          <w:rFonts w:ascii="仿宋" w:eastAsia="仿宋" w:hAnsi="仿宋" w:hint="eastAsia"/>
          <w:color w:val="000000"/>
          <w:sz w:val="32"/>
          <w:szCs w:val="32"/>
        </w:rPr>
        <w:t>2022-1021</w:t>
      </w:r>
      <w:r>
        <w:rPr>
          <w:rFonts w:ascii="仿宋" w:eastAsia="仿宋" w:hAnsi="仿宋"/>
          <w:kern w:val="0"/>
          <w:sz w:val="32"/>
          <w:szCs w:val="32"/>
        </w:rPr>
        <w:t>，起止年限：20</w:t>
      </w:r>
      <w:r>
        <w:rPr>
          <w:rFonts w:ascii="仿宋" w:eastAsia="仿宋" w:hAnsi="仿宋" w:hint="eastAsia"/>
          <w:kern w:val="0"/>
          <w:sz w:val="32"/>
          <w:szCs w:val="32"/>
        </w:rPr>
        <w:t>22</w:t>
      </w:r>
      <w:r>
        <w:rPr>
          <w:rFonts w:ascii="仿宋" w:eastAsia="仿宋" w:hAnsi="仿宋"/>
          <w:kern w:val="0"/>
          <w:sz w:val="32"/>
          <w:szCs w:val="32"/>
        </w:rPr>
        <w:t>年9月～20</w:t>
      </w:r>
      <w:r>
        <w:rPr>
          <w:rFonts w:ascii="仿宋" w:eastAsia="仿宋" w:hAnsi="仿宋" w:hint="eastAsia"/>
          <w:kern w:val="0"/>
          <w:sz w:val="32"/>
          <w:szCs w:val="32"/>
        </w:rPr>
        <w:t>23</w:t>
      </w:r>
      <w:r>
        <w:rPr>
          <w:rFonts w:ascii="仿宋" w:eastAsia="仿宋" w:hAnsi="仿宋"/>
          <w:kern w:val="0"/>
          <w:sz w:val="32"/>
          <w:szCs w:val="32"/>
        </w:rPr>
        <w:t>年12月。</w:t>
      </w: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2、研究背景</w:t>
      </w: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（1）现状</w:t>
      </w:r>
    </w:p>
    <w:p>
      <w:pPr>
        <w:widowControl/>
        <w:autoSpaceDE w:val="0"/>
        <w:autoSpaceDN w:val="0"/>
        <w:spacing w:line="520" w:lineRule="exact"/>
        <w:ind w:firstLine="640" w:firstLineChars="200"/>
        <w:rPr>
          <w:rFonts w:ascii="仿宋" w:eastAsia="仿宋" w:hAnsi="仿宋"/>
          <w:sz w:val="32"/>
          <w:szCs w:val="32"/>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r>
        <w:rPr>
          <w:rFonts w:ascii="仿宋" w:eastAsia="仿宋" w:hAnsi="仿宋"/>
          <w:kern w:val="0"/>
          <w:sz w:val="32"/>
          <w:szCs w:val="32"/>
        </w:rPr>
        <w:t>国外，针对桉树中大径材的培育主要进行了树种选择和培育技术研究。在树种选择上，不同国家或地区选择的树种各异，如澳大利亚中部亚热带地区适宜种植的桉树树种主要有巨桉（</w:t>
      </w:r>
      <w:r>
        <w:rPr>
          <w:rFonts w:ascii="仿宋" w:eastAsia="仿宋" w:hAnsi="仿宋"/>
          <w:i/>
          <w:kern w:val="0"/>
          <w:sz w:val="32"/>
          <w:szCs w:val="32"/>
        </w:rPr>
        <w:t>E.grandis</w:t>
      </w:r>
      <w:r>
        <w:rPr>
          <w:rFonts w:ascii="仿宋" w:eastAsia="仿宋" w:hAnsi="仿宋"/>
          <w:kern w:val="0"/>
          <w:sz w:val="32"/>
          <w:szCs w:val="32"/>
        </w:rPr>
        <w:t>）、弹丸桉（</w:t>
      </w:r>
      <w:r>
        <w:rPr>
          <w:rFonts w:ascii="仿宋" w:eastAsia="仿宋" w:hAnsi="仿宋"/>
          <w:i/>
          <w:kern w:val="0"/>
          <w:sz w:val="32"/>
          <w:szCs w:val="32"/>
        </w:rPr>
        <w:t>E.pilularis</w:t>
      </w:r>
      <w:r>
        <w:rPr>
          <w:rFonts w:ascii="仿宋" w:eastAsia="仿宋" w:hAnsi="仿宋"/>
          <w:kern w:val="0"/>
          <w:sz w:val="32"/>
          <w:szCs w:val="32"/>
        </w:rPr>
        <w:t>）和斑皮桉（</w:t>
      </w:r>
      <w:r>
        <w:rPr>
          <w:rFonts w:ascii="仿宋" w:eastAsia="仿宋" w:hAnsi="仿宋"/>
          <w:i/>
          <w:kern w:val="0"/>
          <w:sz w:val="32"/>
          <w:szCs w:val="32"/>
        </w:rPr>
        <w:t>E.maculata</w:t>
      </w:r>
      <w:r>
        <w:rPr>
          <w:rFonts w:ascii="仿宋" w:eastAsia="仿宋" w:hAnsi="仿宋"/>
          <w:kern w:val="0"/>
          <w:sz w:val="32"/>
          <w:szCs w:val="32"/>
        </w:rPr>
        <w:t>），南部冷凉地区适宜的树种主要有亮果桉（</w:t>
      </w:r>
      <w:r>
        <w:rPr>
          <w:rFonts w:ascii="仿宋" w:eastAsia="仿宋" w:hAnsi="仿宋"/>
          <w:i/>
          <w:kern w:val="0"/>
          <w:sz w:val="32"/>
          <w:szCs w:val="32"/>
        </w:rPr>
        <w:t>E.nitens</w:t>
      </w:r>
      <w:r>
        <w:rPr>
          <w:rFonts w:ascii="仿宋" w:eastAsia="仿宋" w:hAnsi="仿宋"/>
          <w:kern w:val="0"/>
          <w:sz w:val="32"/>
          <w:szCs w:val="32"/>
        </w:rPr>
        <w:t>）、王桉（</w:t>
      </w:r>
      <w:r>
        <w:rPr>
          <w:rFonts w:ascii="仿宋" w:eastAsia="仿宋" w:hAnsi="仿宋"/>
          <w:i/>
          <w:kern w:val="0"/>
          <w:sz w:val="32"/>
          <w:szCs w:val="32"/>
        </w:rPr>
        <w:t>E.regnans</w:t>
      </w:r>
      <w:r>
        <w:rPr>
          <w:rFonts w:ascii="仿宋" w:eastAsia="仿宋" w:hAnsi="仿宋"/>
          <w:kern w:val="0"/>
          <w:sz w:val="32"/>
          <w:szCs w:val="32"/>
        </w:rPr>
        <w:t>）、蓝桉（</w:t>
      </w:r>
      <w:r>
        <w:rPr>
          <w:rFonts w:ascii="仿宋" w:eastAsia="仿宋" w:hAnsi="仿宋"/>
          <w:i/>
          <w:kern w:val="0"/>
          <w:sz w:val="32"/>
          <w:szCs w:val="32"/>
        </w:rPr>
        <w:t>E.globulus</w:t>
      </w:r>
      <w:r>
        <w:rPr>
          <w:rFonts w:ascii="仿宋" w:eastAsia="仿宋" w:hAnsi="仿宋"/>
          <w:kern w:val="0"/>
          <w:sz w:val="32"/>
          <w:szCs w:val="32"/>
        </w:rPr>
        <w:t>），而在南非则主要以巨桉、亮果桉为中大径材培育对象，虽然不同国家或地区培育桉树中大径材选择的树种不同，但都是基于选择生长量大的树种。在培育措施方面，澳大利亚对蓝桉和巨桉进行了造林密度、修枝和间伐试验，即在4年生时进行第1次间伐并修枝，8年生时进行第2次间伐，间伐材可用作纤维材，同时保留经过修枝的优树，11年生时胸径最大的已达50 cm。在南非，培育巨桉大径材的初值密度为2.5 m×3.0 m，培育过程中进行6次疏伐，最终培育出轮伐期为30年，保留密度100 株·hm</w:t>
      </w:r>
      <w:r>
        <w:rPr>
          <w:rFonts w:ascii="仿宋" w:eastAsia="仿宋" w:hAnsi="仿宋"/>
          <w:kern w:val="0"/>
          <w:sz w:val="32"/>
          <w:szCs w:val="32"/>
          <w:vertAlign w:val="superscript"/>
        </w:rPr>
        <w:t>-2</w:t>
      </w:r>
      <w:r>
        <w:rPr>
          <w:rFonts w:ascii="仿宋" w:eastAsia="仿宋" w:hAnsi="仿宋"/>
          <w:kern w:val="0"/>
          <w:sz w:val="32"/>
          <w:szCs w:val="32"/>
        </w:rPr>
        <w:t>的单株林木胸径可达到60 cm左右，而培育轮伐期为20</w:t>
      </w:r>
      <w:bookmarkStart w:id="0" w:name="OLE_LINK1"/>
      <w:r>
        <w:rPr>
          <w:rFonts w:ascii="仿宋" w:eastAsia="仿宋" w:hAnsi="仿宋"/>
          <w:kern w:val="0"/>
          <w:sz w:val="32"/>
          <w:szCs w:val="32"/>
        </w:rPr>
        <w:t>年～</w:t>
      </w:r>
      <w:bookmarkEnd w:id="0"/>
    </w:p>
    <w:p>
      <w:pPr>
        <w:widowControl/>
        <w:autoSpaceDE w:val="0"/>
        <w:autoSpaceDN w:val="0"/>
        <w:spacing w:line="520" w:lineRule="exact"/>
        <w:ind w:firstLine="640" w:firstLineChars="200"/>
        <w:rPr>
          <w:rFonts w:ascii="仿宋" w:eastAsia="仿宋" w:hAnsi="仿宋"/>
          <w:sz w:val="32"/>
          <w:szCs w:val="32"/>
        </w:rPr>
      </w:pPr>
      <w:r>
        <w:rPr>
          <w:rFonts w:ascii="仿宋" w:eastAsia="仿宋" w:hAnsi="仿宋"/>
          <w:kern w:val="0"/>
          <w:sz w:val="32"/>
          <w:szCs w:val="32"/>
        </w:rPr>
        <w:t>25年的亮果桉大径材，其适宜的最终保留密度为200</w:t>
      </w:r>
      <w:r>
        <w:rPr>
          <w:rFonts w:ascii="仿宋" w:eastAsia="仿宋" w:hAnsi="仿宋"/>
          <w:kern w:val="0"/>
          <w:sz w:val="32"/>
          <w:szCs w:val="32"/>
        </w:rPr>
        <w:t xml:space="preserve"> 株·hm</w:t>
      </w:r>
      <w:r>
        <w:rPr>
          <w:rFonts w:ascii="仿宋" w:eastAsia="仿宋" w:hAnsi="仿宋"/>
          <w:kern w:val="0"/>
          <w:sz w:val="32"/>
          <w:szCs w:val="32"/>
          <w:vertAlign w:val="superscript"/>
        </w:rPr>
        <w:t>-2</w:t>
      </w:r>
      <w:r>
        <w:rPr>
          <w:rFonts w:ascii="仿宋" w:eastAsia="仿宋" w:hAnsi="仿宋"/>
          <w:kern w:val="0"/>
          <w:sz w:val="32"/>
          <w:szCs w:val="32"/>
        </w:rPr>
        <w:t>～300 株·hm</w:t>
      </w:r>
      <w:r>
        <w:rPr>
          <w:rFonts w:ascii="仿宋" w:eastAsia="仿宋" w:hAnsi="仿宋"/>
          <w:kern w:val="0"/>
          <w:sz w:val="32"/>
          <w:szCs w:val="32"/>
          <w:vertAlign w:val="superscript"/>
        </w:rPr>
        <w:t>-2</w:t>
      </w:r>
      <w:r>
        <w:rPr>
          <w:rFonts w:ascii="仿宋" w:eastAsia="仿宋" w:hAnsi="仿宋"/>
          <w:kern w:val="0"/>
          <w:sz w:val="32"/>
          <w:szCs w:val="32"/>
        </w:rPr>
        <w:t>。在巴西，虽然培育桉树中大径原木的人工林还处于初级阶段，但基于桉树人工林经营的经验和技术，已提出桉树人工林大径级原木的培育模式，即初植密度为1100 株·hm</w:t>
      </w:r>
      <w:r>
        <w:rPr>
          <w:rFonts w:ascii="仿宋" w:eastAsia="仿宋" w:hAnsi="仿宋"/>
          <w:kern w:val="0"/>
          <w:sz w:val="32"/>
          <w:szCs w:val="32"/>
          <w:vertAlign w:val="superscript"/>
        </w:rPr>
        <w:t>-2</w:t>
      </w:r>
      <w:r>
        <w:rPr>
          <w:rFonts w:ascii="仿宋" w:eastAsia="仿宋" w:hAnsi="仿宋"/>
          <w:kern w:val="0"/>
          <w:sz w:val="32"/>
          <w:szCs w:val="32"/>
        </w:rPr>
        <w:t>，株行距为3 m×3 m，生长至3年生时修去树干5 m以下所有枝条，生长至4年生时修去树干7 m～8 m以下所有枝条，生长至6年生时间伐60 %林木，种植密度降至440 株·hm</w:t>
      </w:r>
      <w:r>
        <w:rPr>
          <w:rFonts w:ascii="仿宋" w:eastAsia="仿宋" w:hAnsi="仿宋"/>
          <w:kern w:val="0"/>
          <w:sz w:val="32"/>
          <w:szCs w:val="32"/>
          <w:vertAlign w:val="superscript"/>
        </w:rPr>
        <w:t>-2</w:t>
      </w:r>
      <w:r>
        <w:rPr>
          <w:rFonts w:ascii="仿宋" w:eastAsia="仿宋" w:hAnsi="仿宋"/>
          <w:kern w:val="0"/>
          <w:sz w:val="32"/>
          <w:szCs w:val="32"/>
        </w:rPr>
        <w:t>，生长至9年～10年生时，再次间伐50%林木，使林分密度降至220 株·hm</w:t>
      </w:r>
      <w:r>
        <w:rPr>
          <w:rFonts w:ascii="仿宋" w:eastAsia="仿宋" w:hAnsi="仿宋"/>
          <w:kern w:val="0"/>
          <w:sz w:val="32"/>
          <w:szCs w:val="32"/>
          <w:vertAlign w:val="superscript"/>
        </w:rPr>
        <w:t>-2</w:t>
      </w:r>
      <w:r>
        <w:rPr>
          <w:rFonts w:ascii="仿宋" w:eastAsia="仿宋" w:hAnsi="仿宋"/>
          <w:kern w:val="0"/>
          <w:sz w:val="32"/>
          <w:szCs w:val="32"/>
        </w:rPr>
        <w:t>，到15年～16年生时进行皆伐。</w:t>
      </w:r>
      <w:r>
        <w:rPr>
          <w:rFonts w:ascii="仿宋" w:eastAsia="仿宋" w:hAnsi="仿宋"/>
          <w:sz w:val="32"/>
          <w:szCs w:val="32"/>
        </w:rPr>
        <w:t xml:space="preserve"> </w:t>
      </w: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（2）存在问题</w:t>
      </w:r>
    </w:p>
    <w:p>
      <w:pPr>
        <w:pStyle w:val="a0"/>
        <w:spacing w:line="520" w:lineRule="exact"/>
        <w:ind w:firstLine="640"/>
        <w:rPr>
          <w:rFonts w:ascii="仿宋" w:eastAsia="仿宋" w:hAnsi="仿宋"/>
          <w:sz w:val="32"/>
          <w:szCs w:val="32"/>
        </w:rPr>
      </w:pPr>
      <w:r>
        <w:rPr>
          <w:rFonts w:ascii="仿宋" w:eastAsia="仿宋" w:hAnsi="仿宋"/>
          <w:sz w:val="32"/>
          <w:szCs w:val="32"/>
        </w:rPr>
        <w:t>从人工林的加工利用来看，人工林木材产品的质量也不理想，中小径材、低等材等大大降低其市场价值。森林培育过程中，单纯追求树木的生长速率和生产量，忽略了木材的形成和质量，是低质材充斥市场的主要原因，而木材质量恰恰是影响木材加工利用的关键因素，也是影响木材产品市场价格和林业生产经济效益最关键的因素之一。随着桉树产业的发展，对桉树木材质量的要求更高，而桉树的死节是严重影响木材质量的因素之一，控制和减少死结的产生对提高桉树木材质量有显著作用。</w:t>
      </w: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（3）小结</w:t>
      </w:r>
    </w:p>
    <w:p>
      <w:pPr>
        <w:autoSpaceDE w:val="0"/>
        <w:autoSpaceDN w:val="0"/>
        <w:adjustRightInd w:val="0"/>
        <w:spacing w:line="520" w:lineRule="exact"/>
        <w:ind w:firstLine="640" w:firstLineChars="200"/>
        <w:rPr>
          <w:rFonts w:ascii="仿宋" w:eastAsia="仿宋" w:hAnsi="仿宋"/>
          <w:sz w:val="32"/>
          <w:szCs w:val="32"/>
        </w:rPr>
        <w:sectPr>
          <w:footerReference w:type="default" r:id="rId8"/>
          <w:type w:val="nextPage"/>
          <w:pgSz w:w="11906" w:h="16838"/>
          <w:pgMar w:top="1440" w:right="1800" w:bottom="1440" w:left="1800" w:header="851" w:footer="992" w:gutter="0"/>
          <w:pgNumType w:start="4"/>
          <w:cols w:num="1" w:space="425"/>
          <w:titlePg w:val="0"/>
          <w:docGrid w:type="lines" w:linePitch="312" w:charSpace="0"/>
        </w:sectPr>
      </w:pPr>
    </w:p>
    <w:p>
      <w:pPr>
        <w:autoSpaceDE w:val="0"/>
        <w:autoSpaceDN w:val="0"/>
        <w:adjustRightInd w:val="0"/>
        <w:spacing w:line="520" w:lineRule="exact"/>
        <w:ind w:firstLine="640" w:firstLineChars="200"/>
        <w:rPr>
          <w:rFonts w:ascii="仿宋" w:eastAsia="仿宋" w:hAnsi="仿宋"/>
          <w:sz w:val="32"/>
          <w:szCs w:val="32"/>
        </w:rPr>
      </w:pPr>
      <w:r>
        <w:rPr>
          <w:rFonts w:ascii="仿宋" w:eastAsia="仿宋" w:hAnsi="仿宋"/>
          <w:sz w:val="32"/>
          <w:szCs w:val="32"/>
        </w:rPr>
        <w:t>人工修枝是一项有效的目标培育技术，已被接受和采用。桉树人工林栽培1～2年即可达到郁闷，林分郁闭后，树冠下层的阳光条件变差，下层枝变为消耗枝，并逐渐干枯脱落，在树干上形成死节、空洞，严重影响木材的品质。如修去一些竞争枝和密集枝，既能改善林分内通风和光照条件、减少水分蒸腾和降低养分消耗、促进生长、防止病虫害发生，又能减少死节和空洞等木材缺陷的形成，对培育高干、优质桉树无节材具有重要意义。</w:t>
      </w: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3、可行性分析</w:t>
      </w:r>
    </w:p>
    <w:p>
      <w:pPr>
        <w:spacing w:line="520" w:lineRule="exact"/>
        <w:ind w:firstLine="640" w:firstLineChars="200"/>
        <w:outlineLvl w:val="0"/>
        <w:rPr>
          <w:rFonts w:ascii="仿宋" w:eastAsia="仿宋" w:hAnsi="仿宋"/>
          <w:sz w:val="32"/>
          <w:szCs w:val="32"/>
        </w:rPr>
        <w:sectPr>
          <w:footerReference w:type="default" r:id="rId9"/>
          <w:type w:val="nextPage"/>
          <w:pgSz w:w="11906" w:h="16838"/>
          <w:pgMar w:top="1440" w:right="1800" w:bottom="1440" w:left="1800" w:header="851" w:footer="992" w:gutter="0"/>
          <w:pgNumType w:start="5"/>
          <w:cols w:num="1" w:space="425"/>
          <w:titlePg w:val="0"/>
          <w:docGrid w:type="lines" w:linePitch="312" w:charSpace="0"/>
        </w:sectPr>
      </w:pPr>
    </w:p>
    <w:p>
      <w:pPr>
        <w:spacing w:line="520" w:lineRule="exact"/>
        <w:ind w:firstLine="640" w:firstLineChars="200"/>
        <w:outlineLvl w:val="0"/>
        <w:rPr>
          <w:rFonts w:ascii="仿宋" w:eastAsia="仿宋" w:hAnsi="仿宋"/>
          <w:sz w:val="32"/>
          <w:szCs w:val="32"/>
        </w:rPr>
      </w:pPr>
      <w:r>
        <w:rPr>
          <w:rFonts w:ascii="仿宋" w:eastAsia="仿宋" w:hAnsi="仿宋"/>
          <w:sz w:val="32"/>
          <w:szCs w:val="32"/>
        </w:rPr>
        <w:t>课题组于2011年3月在广西国有高峰林场六里分场对尾巨桉无性系进行修枝试验，结果表明修枝强度对胸径、树高和单株材积均无显著影响，综合考虑尾巨桉的水分利用效率、生长量最大化和可获得无节材长度3个因素，认为先后2次实施重度修枝-重度修枝是最好的修枝方式（任世奇等，2013）。在2013年伐倒样木进行旋切单板质量评价，重度修枝能增加单板单位面积活节和降低单板单位面积死节，提高单板质量等级，重度修枝是综合尾巨桉生长量和单板质量等级前提下的定向培育无节材的最适宜修枝强度（任世奇等，2015）。课题组2015年在广西国有六万林场进行修枝对大花序桉木材基本密度的影响，结果表明修枝对木材密度影响差异不显著，但表现为随修枝强度增加，木材密度逐渐降低；在径向位置的木材基本密度，从髓心处向外部逐渐增大，表现为修枝对后期形成的木质部密度有增加作用（任世奇等，2017）。课题组2020年在广西国有高峰林场六里分场对尾巨桉无性系人工修枝材与自然整枝材胶合板性能比较，结果表明修枝材与自然整枝材的胶合板性能相比，含水率提高5.37%，胶合强度提高17.24%，顺纹静曲强度提高11.64%，横纹静曲强度提高16.78%，顺纹弹性模量提高12.43%，横纹弹性模量提高10.72%，甲醛释放量降低13.33%（卢翠香等，2021）。课题组成员任世奇实施的广西林科院基本科研业务费“桉树修枝技术与优质无节材形成机理相关性研究”已于2013年结题，取得丰硕的成果。利用课题组的修枝方案，在广西国有七坡林场的10万多亩尾巨桉无性系进行了修枝，取得良好的经济效益和社会效益。课题组目前在研相关项目有“桉树无节材智能修枝系统研发与示范”、“桉树无节材培育技术推广示范”等。课题组在桉树修枝方面开展了较深入的研究，发表多篇高水平科技论文，积累了丰富的经验，为本标准的编制打下了坚实的实践基础和充实的理论基础。</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（二）制定标准的意义</w:t>
      </w:r>
    </w:p>
    <w:p>
      <w:pPr>
        <w:autoSpaceDE w:val="0"/>
        <w:autoSpaceDN w:val="0"/>
        <w:adjustRightInd w:val="0"/>
        <w:spacing w:line="520" w:lineRule="exact"/>
        <w:ind w:firstLine="640" w:firstLineChars="200"/>
        <w:rPr>
          <w:rFonts w:ascii="仿宋" w:eastAsia="仿宋" w:hAnsi="仿宋"/>
          <w:sz w:val="32"/>
          <w:szCs w:val="32"/>
        </w:rPr>
      </w:pPr>
      <w:r>
        <w:rPr>
          <w:rFonts w:ascii="仿宋" w:eastAsia="仿宋" w:hAnsi="仿宋"/>
          <w:sz w:val="32"/>
          <w:szCs w:val="32"/>
        </w:rPr>
        <w:t>木材是全球性需求快速增长的重要的工业原材料。当前工业用材林培育国际发展趋势已从单一追求速生丰产，转化为对优质木材需要。据报道，林木的弯曲、多节是影响木材产量和质量的主要因子。修枝作为一项基础性营林措施，可以有效的改善林木的木材缺陷状况、干形和木材性质，有效提高木材质量，进而培育出高干、无节的优良原木。在新西兰、日本、澳大利亚、巴西等林业发达国家已取得成功经验，并形成了各具特色的人工林抚育配套措施。我国的人工林经营粗放，优质木材的抚育技术落后发达国家。随着近年来对人工林经营的重视和大力扶持，我国的人工林资源逐年增加。</w:t>
      </w:r>
    </w:p>
    <w:p>
      <w:pPr>
        <w:autoSpaceDE w:val="0"/>
        <w:autoSpaceDN w:val="0"/>
        <w:adjustRightInd w:val="0"/>
        <w:spacing w:line="520" w:lineRule="exact"/>
        <w:ind w:firstLine="640" w:firstLineChars="200"/>
        <w:rPr>
          <w:rFonts w:ascii="仿宋" w:eastAsia="仿宋" w:hAnsi="仿宋"/>
          <w:sz w:val="32"/>
          <w:szCs w:val="32"/>
        </w:rPr>
        <w:sectPr>
          <w:footerReference w:type="default" r:id="rId10"/>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sz w:val="32"/>
          <w:szCs w:val="32"/>
        </w:rPr>
        <w:t>桉树（</w:t>
      </w:r>
      <w:r>
        <w:rPr>
          <w:rFonts w:ascii="仿宋" w:eastAsia="仿宋" w:hAnsi="仿宋"/>
          <w:i/>
          <w:sz w:val="32"/>
          <w:szCs w:val="32"/>
        </w:rPr>
        <w:t>Eucalyptus</w:t>
      </w:r>
      <w:r>
        <w:rPr>
          <w:rFonts w:ascii="仿宋" w:eastAsia="仿宋" w:hAnsi="仿宋"/>
          <w:sz w:val="32"/>
          <w:szCs w:val="32"/>
        </w:rPr>
        <w:t>）具有生长快，轮伐期短，木材产量高、材性优良等特点，可作为人造板、造纸、建筑、家具等用材，已成为我国华南地区最主要的造林树种，是缓解木材资源严重不足的优良树种</w:t>
      </w:r>
      <w:r>
        <w:rPr>
          <w:rFonts w:ascii="仿宋" w:eastAsia="仿宋" w:hAnsi="仿宋"/>
          <w:color w:val="000000"/>
          <w:sz w:val="32"/>
          <w:szCs w:val="32"/>
        </w:rPr>
        <w:t>。据统计，2020年广西桉树人工林面积达4449万亩，木材蓄积量21134.9 万m</w:t>
      </w:r>
      <w:r>
        <w:rPr>
          <w:rFonts w:ascii="仿宋" w:eastAsia="仿宋" w:hAnsi="仿宋"/>
          <w:color w:val="000000"/>
          <w:sz w:val="32"/>
          <w:szCs w:val="32"/>
          <w:vertAlign w:val="superscript"/>
        </w:rPr>
        <w:t>3</w:t>
      </w:r>
      <w:r>
        <w:rPr>
          <w:rFonts w:ascii="仿宋" w:eastAsia="仿宋" w:hAnsi="仿宋"/>
          <w:color w:val="000000"/>
          <w:sz w:val="32"/>
          <w:szCs w:val="32"/>
        </w:rPr>
        <w:t>，居全国首位。</w:t>
      </w:r>
    </w:p>
    <w:p>
      <w:pPr>
        <w:autoSpaceDE w:val="0"/>
        <w:autoSpaceDN w:val="0"/>
        <w:adjustRightInd w:val="0"/>
        <w:spacing w:line="520" w:lineRule="exact"/>
        <w:ind w:firstLine="640" w:firstLineChars="200"/>
        <w:rPr>
          <w:rFonts w:ascii="仿宋" w:eastAsia="仿宋" w:hAnsi="仿宋"/>
          <w:sz w:val="32"/>
          <w:szCs w:val="32"/>
        </w:rPr>
      </w:pPr>
      <w:r>
        <w:rPr>
          <w:rFonts w:ascii="仿宋" w:eastAsia="仿宋" w:hAnsi="仿宋"/>
          <w:sz w:val="32"/>
          <w:szCs w:val="32"/>
        </w:rPr>
        <w:t>但森林资源质量不高，中幼龄林比例大。从人工林的加工利用来看，人工林木材产品的质量也不理想，中小径材、低等材等大大降低其市场价值。森林培育过程中，单纯追求树木的生长速率和生产量，忽略了木材的形成和质量，是低质材充斥市场的主要原因，而木材质量恰恰是影响木材加工利用的关键因素，也是影响木材产品市场价格和林业生产经济效益最关键的因素之一。随着桉树产业的发展，对桉树木材质量的要求更高，而桉树的死节是严重影响木材质量的因素之一，控制和减少死结的产生对提高桉树木材质量有显著作用。人工修枝是一项有效的目标培育技术，已被接受和采用。桉树人工林栽培1～2年即可达到郁闷，林分郁闭后，树冠下层的阳光条件变差，下层枝变为消耗枝，并逐渐干枯脱落，在树干上形成死节、空洞，严重影响木材的品质。如修去一些竞争枝和密集枝，既能改善林分内通风和光照条件、减少水分蒸腾和降低养分消耗、促进生长、防止病虫害发生，又能减少死节和空洞等木材缺陷的形成，对培育高干、优质桉树无节材具有重要意义。</w:t>
      </w:r>
    </w:p>
    <w:p>
      <w:pPr>
        <w:spacing w:line="520" w:lineRule="exact"/>
        <w:ind w:firstLine="640" w:firstLineChars="200"/>
        <w:rPr>
          <w:rFonts w:ascii="黑体" w:eastAsia="黑体" w:hAnsi="黑体"/>
          <w:sz w:val="32"/>
          <w:szCs w:val="32"/>
        </w:rPr>
      </w:pPr>
      <w:r>
        <w:rPr>
          <w:rFonts w:ascii="黑体" w:eastAsia="黑体" w:hAnsi="黑体" w:hint="eastAsia"/>
          <w:sz w:val="32"/>
          <w:szCs w:val="32"/>
        </w:rPr>
        <w:t>三、主要起草过程</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（一）成立标准编制工作组</w:t>
      </w:r>
    </w:p>
    <w:p>
      <w:pPr>
        <w:spacing w:line="520" w:lineRule="exact"/>
        <w:ind w:firstLine="640" w:firstLineChars="200"/>
        <w:rPr>
          <w:rFonts w:ascii="仿宋" w:eastAsia="仿宋" w:hAnsi="仿宋"/>
          <w:sz w:val="32"/>
          <w:szCs w:val="32"/>
        </w:rPr>
        <w:sectPr>
          <w:footerReference w:type="default" r:id="rId1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hint="eastAsia"/>
          <w:sz w:val="32"/>
          <w:szCs w:val="32"/>
        </w:rPr>
        <w:t>广西地方标准《桉树无节材分等方法》项目任务下达后，广西壮族自治区林业科学研究院起草单位的人员共同成立了编制工作小组，制订了编制工作方案，并就标准研制进行了任务分工。卢翠香</w:t>
      </w:r>
      <w:r>
        <w:rPr>
          <w:rFonts w:ascii="仿宋" w:eastAsia="仿宋" w:hAnsi="仿宋"/>
          <w:sz w:val="32"/>
          <w:szCs w:val="32"/>
        </w:rPr>
        <w:t>作为本标准</w:t>
      </w:r>
      <w:r>
        <w:rPr>
          <w:rFonts w:ascii="仿宋" w:eastAsia="仿宋" w:hAnsi="仿宋" w:hint="eastAsia"/>
          <w:sz w:val="32"/>
          <w:szCs w:val="32"/>
        </w:rPr>
        <w:t>的</w:t>
      </w:r>
      <w:r>
        <w:rPr>
          <w:rFonts w:ascii="仿宋" w:eastAsia="仿宋" w:hAnsi="仿宋"/>
          <w:sz w:val="32"/>
          <w:szCs w:val="32"/>
        </w:rPr>
        <w:t>主持人，负责</w:t>
      </w:r>
      <w:r>
        <w:rPr>
          <w:rFonts w:ascii="仿宋" w:eastAsia="仿宋" w:hAnsi="仿宋" w:hint="eastAsia"/>
          <w:sz w:val="32"/>
          <w:szCs w:val="32"/>
        </w:rPr>
        <w:t>标准</w:t>
      </w:r>
      <w:r>
        <w:rPr>
          <w:rFonts w:ascii="仿宋" w:eastAsia="仿宋" w:hAnsi="仿宋"/>
          <w:sz w:val="32"/>
          <w:szCs w:val="32"/>
        </w:rPr>
        <w:t>申报、合同</w:t>
      </w:r>
      <w:r>
        <w:rPr>
          <w:rFonts w:ascii="仿宋" w:eastAsia="仿宋" w:hAnsi="仿宋" w:hint="eastAsia"/>
          <w:sz w:val="32"/>
          <w:szCs w:val="32"/>
        </w:rPr>
        <w:t>拟定</w:t>
      </w:r>
      <w:r>
        <w:rPr>
          <w:rFonts w:ascii="仿宋" w:eastAsia="仿宋" w:hAnsi="仿宋"/>
          <w:sz w:val="32"/>
          <w:szCs w:val="32"/>
        </w:rPr>
        <w:t>、标准起草、征求意见</w:t>
      </w:r>
      <w:r>
        <w:rPr>
          <w:rFonts w:ascii="仿宋" w:eastAsia="仿宋" w:hAnsi="仿宋" w:hint="eastAsia"/>
          <w:sz w:val="32"/>
          <w:szCs w:val="32"/>
        </w:rPr>
        <w:t>等相关</w:t>
      </w:r>
      <w:r>
        <w:rPr>
          <w:rFonts w:ascii="仿宋" w:eastAsia="仿宋" w:hAnsi="仿宋"/>
          <w:sz w:val="32"/>
          <w:szCs w:val="32"/>
        </w:rPr>
        <w:t>工作。</w:t>
      </w:r>
    </w:p>
    <w:p>
      <w:pPr>
        <w:spacing w:line="520" w:lineRule="exact"/>
        <w:ind w:firstLine="640" w:firstLineChars="200"/>
        <w:rPr>
          <w:rFonts w:ascii="仿宋" w:eastAsia="仿宋" w:hAnsi="仿宋"/>
          <w:sz w:val="32"/>
          <w:szCs w:val="32"/>
        </w:rPr>
      </w:pPr>
      <w:r>
        <w:rPr>
          <w:rFonts w:ascii="仿宋" w:eastAsia="仿宋" w:hAnsi="仿宋" w:hint="eastAsia"/>
          <w:sz w:val="32"/>
          <w:szCs w:val="32"/>
        </w:rPr>
        <w:t>陈健波、任世奇作为团队专家负责指导本标准的编写和修订。刘媛、邓紫宇、郭东强、唐庆兰、李昌荣、陈健波、陈升侃、伍琪、李桂兰、韦振道、朱慧作为团队成员，负责对编写的标准提出修改建议。</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（二）资料收集与实地调研</w:t>
      </w:r>
    </w:p>
    <w:p>
      <w:pPr>
        <w:spacing w:line="520" w:lineRule="exact"/>
        <w:ind w:firstLine="640" w:firstLineChars="200"/>
        <w:rPr>
          <w:rFonts w:ascii="仿宋" w:eastAsia="仿宋" w:hAnsi="仿宋"/>
          <w:sz w:val="32"/>
          <w:szCs w:val="32"/>
        </w:rPr>
      </w:pPr>
      <w:r>
        <w:rPr>
          <w:rFonts w:ascii="仿宋" w:eastAsia="仿宋" w:hAnsi="仿宋" w:hint="eastAsia"/>
          <w:sz w:val="32"/>
          <w:szCs w:val="32"/>
        </w:rPr>
        <w:t>标准编制工作组根据任务分工进行了资料收集和调查研究分析工作。一是收集我院在</w:t>
      </w:r>
      <w:r>
        <w:rPr>
          <w:rFonts w:ascii="仿宋" w:eastAsia="仿宋" w:hAnsi="仿宋" w:hint="eastAsia"/>
          <w:kern w:val="0"/>
          <w:sz w:val="32"/>
          <w:szCs w:val="32"/>
        </w:rPr>
        <w:t>项目《桉树修枝技术与优质无节材形成机理相关性研究（林科201205号）》、2016年获得的广西科技进步三等奖《桉树优良遗传选择与无节材培育》及发表在《北京林业大学学报》和《生态学杂志》上的科技论文，以及相关的技术标准、专利，同时基于广西国有七坡林场的规模化培育桉树无节材的实践成效</w:t>
      </w:r>
      <w:r>
        <w:rPr>
          <w:rFonts w:ascii="仿宋" w:eastAsia="仿宋" w:hAnsi="仿宋" w:hint="eastAsia"/>
          <w:sz w:val="32"/>
          <w:szCs w:val="32"/>
        </w:rPr>
        <w:t>研究方面的成果资料及相关数据信息。二是组织各有关单位进行座谈和讨论，邀请有关专家共同对标准的主要框架内容进行研讨交流。三是到较具有代表性的</w:t>
      </w:r>
      <w:r>
        <w:rPr>
          <w:rFonts w:ascii="仿宋" w:eastAsia="仿宋" w:hAnsi="仿宋"/>
          <w:sz w:val="32"/>
          <w:szCs w:val="32"/>
        </w:rPr>
        <w:t>广西国旭春天人造板有限公司</w:t>
      </w:r>
      <w:r>
        <w:rPr>
          <w:rFonts w:ascii="仿宋" w:eastAsia="仿宋" w:hAnsi="仿宋" w:hint="eastAsia"/>
          <w:sz w:val="32"/>
          <w:szCs w:val="32"/>
        </w:rPr>
        <w:t>、</w:t>
      </w:r>
      <w:r>
        <w:rPr>
          <w:rFonts w:ascii="仿宋" w:eastAsia="仿宋" w:hAnsi="仿宋"/>
          <w:sz w:val="32"/>
          <w:szCs w:val="32"/>
        </w:rPr>
        <w:t>南宁市创锦胶合板有限责任公司</w:t>
      </w:r>
      <w:r>
        <w:rPr>
          <w:rFonts w:ascii="仿宋" w:eastAsia="仿宋" w:hAnsi="仿宋" w:hint="eastAsia"/>
          <w:sz w:val="32"/>
          <w:szCs w:val="32"/>
        </w:rPr>
        <w:t>、</w:t>
      </w:r>
      <w:r>
        <w:rPr>
          <w:rFonts w:ascii="仿宋" w:eastAsia="仿宋" w:hAnsi="仿宋"/>
          <w:sz w:val="32"/>
          <w:szCs w:val="32"/>
        </w:rPr>
        <w:t>广西容县楷茂木业有限公司</w:t>
      </w:r>
      <w:r>
        <w:rPr>
          <w:rFonts w:ascii="仿宋" w:eastAsia="仿宋" w:hAnsi="仿宋" w:hint="eastAsia"/>
          <w:sz w:val="32"/>
          <w:szCs w:val="32"/>
        </w:rPr>
        <w:t>、</w:t>
      </w:r>
      <w:r>
        <w:rPr>
          <w:rFonts w:ascii="仿宋" w:eastAsia="仿宋" w:hAnsi="仿宋"/>
          <w:sz w:val="32"/>
          <w:szCs w:val="32"/>
        </w:rPr>
        <w:t>广西</w:t>
      </w:r>
      <w:r>
        <w:rPr>
          <w:rFonts w:ascii="仿宋" w:eastAsia="仿宋" w:hAnsi="仿宋"/>
          <w:iCs/>
          <w:sz w:val="32"/>
          <w:szCs w:val="32"/>
        </w:rPr>
        <w:t>祥盛</w:t>
      </w:r>
      <w:r>
        <w:rPr>
          <w:rFonts w:ascii="仿宋" w:eastAsia="仿宋" w:hAnsi="仿宋"/>
          <w:sz w:val="32"/>
          <w:szCs w:val="32"/>
        </w:rPr>
        <w:t>家居材料科技股份有限公司</w:t>
      </w:r>
      <w:r>
        <w:rPr>
          <w:rFonts w:ascii="仿宋" w:eastAsia="仿宋" w:hAnsi="仿宋" w:hint="eastAsia"/>
          <w:sz w:val="32"/>
          <w:szCs w:val="32"/>
        </w:rPr>
        <w:t>、</w:t>
      </w:r>
      <w:r>
        <w:rPr>
          <w:rFonts w:ascii="仿宋" w:eastAsia="仿宋" w:hAnsi="仿宋"/>
          <w:sz w:val="32"/>
          <w:szCs w:val="32"/>
        </w:rPr>
        <w:t>广西万林林产业有限责任公司</w:t>
      </w:r>
      <w:r>
        <w:rPr>
          <w:rFonts w:ascii="仿宋" w:eastAsia="仿宋" w:hAnsi="仿宋" w:hint="eastAsia"/>
          <w:sz w:val="32"/>
          <w:szCs w:val="32"/>
        </w:rPr>
        <w:t>、广西森之远生物科技有限公司、容县润达骤具有限公司等企业进行调研，包括到广西大学、广西财经学院、</w:t>
      </w:r>
      <w:r>
        <w:rPr>
          <w:rFonts w:ascii="仿宋" w:eastAsia="仿宋" w:hAnsi="仿宋"/>
          <w:sz w:val="32"/>
          <w:szCs w:val="32"/>
        </w:rPr>
        <w:t>广西国有派阳山林场</w:t>
      </w:r>
      <w:r>
        <w:rPr>
          <w:rFonts w:ascii="仿宋" w:eastAsia="仿宋" w:hAnsi="仿宋" w:hint="eastAsia"/>
          <w:sz w:val="32"/>
          <w:szCs w:val="32"/>
        </w:rPr>
        <w:t>、</w:t>
      </w:r>
      <w:r>
        <w:rPr>
          <w:rFonts w:ascii="仿宋" w:eastAsia="仿宋" w:hAnsi="仿宋"/>
          <w:sz w:val="32"/>
          <w:szCs w:val="32"/>
        </w:rPr>
        <w:t>广西国有七坡林场</w:t>
      </w:r>
      <w:r>
        <w:rPr>
          <w:rFonts w:ascii="仿宋" w:eastAsia="仿宋" w:hAnsi="仿宋" w:hint="eastAsia"/>
          <w:sz w:val="32"/>
          <w:szCs w:val="32"/>
        </w:rPr>
        <w:t>、</w:t>
      </w:r>
      <w:r>
        <w:rPr>
          <w:rFonts w:ascii="仿宋" w:eastAsia="仿宋" w:hAnsi="仿宋"/>
          <w:sz w:val="32"/>
          <w:szCs w:val="32"/>
        </w:rPr>
        <w:t>中国热带农业科学院橡胶研究所</w:t>
      </w:r>
      <w:r>
        <w:rPr>
          <w:rFonts w:ascii="仿宋" w:eastAsia="仿宋" w:hAnsi="仿宋" w:hint="eastAsia"/>
          <w:sz w:val="32"/>
          <w:szCs w:val="32"/>
        </w:rPr>
        <w:t>、</w:t>
      </w:r>
      <w:r>
        <w:rPr>
          <w:rFonts w:ascii="仿宋" w:eastAsia="仿宋" w:hAnsi="仿宋"/>
          <w:sz w:val="32"/>
          <w:szCs w:val="32"/>
        </w:rPr>
        <w:t>广西西大检测有限公司</w:t>
      </w:r>
      <w:r>
        <w:rPr>
          <w:rFonts w:ascii="仿宋" w:eastAsia="仿宋" w:hAnsi="仿宋" w:hint="eastAsia"/>
          <w:sz w:val="32"/>
          <w:szCs w:val="32"/>
        </w:rPr>
        <w:t>、</w:t>
      </w:r>
      <w:r>
        <w:rPr>
          <w:rFonts w:ascii="仿宋" w:eastAsia="仿宋" w:hAnsi="仿宋"/>
          <w:sz w:val="32"/>
          <w:szCs w:val="32"/>
        </w:rPr>
        <w:t>宿迁学院</w:t>
      </w:r>
      <w:r>
        <w:rPr>
          <w:rFonts w:ascii="仿宋" w:eastAsia="仿宋" w:hAnsi="仿宋" w:hint="eastAsia"/>
          <w:sz w:val="32"/>
          <w:szCs w:val="32"/>
        </w:rPr>
        <w:t>等调研和交流，收集相关资料。通过收集资料、征求专家意见和实地调研，确定了标准文本的框架与主要内容。</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（三）完成征求意见稿</w:t>
      </w:r>
    </w:p>
    <w:p>
      <w:pPr>
        <w:pStyle w:val="a0"/>
        <w:spacing w:line="520" w:lineRule="exact"/>
        <w:ind w:firstLine="640"/>
        <w:rPr>
          <w:rFonts w:ascii="仿宋_GB2312" w:eastAsia="仿宋_GB2312" w:hAnsi="仿宋"/>
          <w:sz w:val="32"/>
          <w:szCs w:val="32"/>
        </w:rPr>
        <w:sectPr>
          <w:footerReference w:type="default" r:id="rId12"/>
          <w:type w:val="nextPage"/>
          <w:pgSz w:w="11906" w:h="16838"/>
          <w:pgMar w:top="1440" w:right="1800" w:bottom="1440" w:left="1800" w:header="851" w:footer="992" w:gutter="0"/>
          <w:pgNumType w:start="8"/>
          <w:cols w:num="1" w:space="425"/>
          <w:titlePg w:val="0"/>
          <w:docGrid w:type="lines" w:linePitch="312" w:charSpace="0"/>
        </w:sectPr>
      </w:pP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在对收集的文献资料和实地调研结果进行研究的基础之上，标准编制工作组起草了工作组讨论稿，为了保证标准文本中涉及内容的专业性、准确性，经过反复讨论与调研、验证、修改，最终形成了征求意见稿。</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（四）完成预审稿</w:t>
      </w: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2023年4月至2023年6月，通过邮件、邮寄、在自治区标准化主管部门官网挂网等形式，开展全社会广泛征求意见工作。征求意见单位主要为与本标准相关的政府部门、生产企业、高校、科研院所以及相关协会、合作社等单位及从事相关研究的专家，截至2023年6月12日，共收到包括</w:t>
      </w:r>
      <w:r>
        <w:rPr>
          <w:rFonts w:ascii="仿宋" w:eastAsia="仿宋" w:hAnsi="仿宋" w:cs="宋体" w:hint="eastAsia"/>
          <w:sz w:val="24"/>
          <w:lang w:val="zh-CN"/>
        </w:rPr>
        <w:t>广西大学</w:t>
      </w:r>
      <w:r>
        <w:rPr>
          <w:rFonts w:ascii="仿宋_GB2312" w:eastAsia="仿宋_GB2312" w:hAnsi="仿宋" w:hint="eastAsia"/>
          <w:sz w:val="32"/>
          <w:szCs w:val="32"/>
        </w:rPr>
        <w:t>等15家单位15位专家的反馈意见，其中1位专家反馈无意见，14位专家共提出了53条宝贵意见。标准编制工作组以会议的形式将反馈的意见进行汇总分析和讨论，最终确定采纳意见41条，未采纳意见12条，并对标准文本进行修改，形成预审稿。</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（五）完成送审稿</w:t>
      </w:r>
    </w:p>
    <w:p>
      <w:pPr>
        <w:pStyle w:val="a0"/>
        <w:spacing w:line="520" w:lineRule="exact"/>
        <w:ind w:firstLine="640"/>
        <w:rPr>
          <w:rFonts w:ascii="仿宋_GB2312" w:eastAsia="仿宋_GB2312" w:hAnsi="仿宋"/>
          <w:sz w:val="32"/>
          <w:szCs w:val="32"/>
        </w:rPr>
      </w:pPr>
      <w:r>
        <w:rPr>
          <w:rFonts w:ascii="仿宋_GB2312" w:eastAsia="仿宋_GB2312" w:hAnsi="仿宋" w:hint="eastAsia"/>
          <w:sz w:val="32"/>
          <w:szCs w:val="32"/>
        </w:rPr>
        <w:t>2023年6月8日，自治区林业局在南宁组织专家对预审稿进行预审，评审专家听取了起草单位对标准起草情况的介绍，对标准逐条逐款进行认真审定并提出修改意见，标准编制工作组根据评审专家的意见对标准预审稿内容进行了修改和补充完善，形成了本标准的送审稿。</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（六）完成报批稿</w:t>
      </w:r>
    </w:p>
    <w:p>
      <w:pPr>
        <w:pStyle w:val="a0"/>
        <w:spacing w:line="520" w:lineRule="exact"/>
        <w:ind w:firstLine="640"/>
        <w:rPr>
          <w:rFonts w:ascii="仿宋_GB2312" w:eastAsia="仿宋_GB2312" w:hAnsi="仿宋"/>
          <w:sz w:val="32"/>
          <w:szCs w:val="32"/>
        </w:rPr>
        <w:sectPr>
          <w:footerReference w:type="default" r:id="rId13"/>
          <w:type w:val="nextPage"/>
          <w:pgSz w:w="11906" w:h="16838"/>
          <w:pgMar w:top="1440" w:right="1800" w:bottom="1440" w:left="1800" w:header="851" w:footer="992" w:gutter="0"/>
          <w:pgNumType w:start="9"/>
          <w:cols w:num="1" w:space="425"/>
          <w:titlePg w:val="0"/>
          <w:docGrid w:type="lines" w:linePitch="312" w:charSpace="0"/>
        </w:sectPr>
      </w:pPr>
      <w:r>
        <w:rPr>
          <w:rFonts w:ascii="仿宋_GB2312" w:eastAsia="仿宋_GB2312" w:hAnsi="仿宋" w:hint="eastAsia"/>
          <w:sz w:val="32"/>
          <w:szCs w:val="32"/>
        </w:rPr>
        <w:t>XXXX年XX月XX日，自治区市场监管局在南宁组织专家对送审稿进行审定，评审专家听取了起草单位对标准起草情况的介绍，对标准逐条逐款进行认真审定并提出修改意见，标准编制工作组根据评审专家的意见对标准送审稿内容进行了修改和补充完善，形成了本标准的报批稿。</w:t>
      </w:r>
    </w:p>
    <w:p>
      <w:pPr>
        <w:spacing w:line="520" w:lineRule="exact"/>
        <w:ind w:firstLine="640" w:firstLineChars="200"/>
        <w:rPr>
          <w:rFonts w:ascii="黑体" w:eastAsia="黑体" w:hAnsi="黑体"/>
          <w:sz w:val="32"/>
          <w:szCs w:val="32"/>
        </w:rPr>
      </w:pPr>
      <w:r>
        <w:rPr>
          <w:rFonts w:ascii="仿宋" w:eastAsia="仿宋" w:hAnsi="仿宋" w:cs="仿宋" w:hint="eastAsia"/>
          <w:b/>
          <w:bCs/>
          <w:color w:val="000000"/>
          <w:sz w:val="32"/>
          <w:szCs w:val="32"/>
        </w:rPr>
        <w:t>四、制定标准的原则和依据，与现行法律、法规的关系，与有关国家标准、行业标准的协调情况</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（一）制定标准的原则</w:t>
      </w:r>
    </w:p>
    <w:p>
      <w:pPr>
        <w:spacing w:line="520" w:lineRule="exact"/>
        <w:ind w:firstLine="640" w:firstLineChars="200"/>
        <w:rPr>
          <w:rFonts w:ascii="仿宋" w:eastAsia="仿宋" w:hAnsi="仿宋"/>
          <w:b/>
          <w:bCs/>
          <w:sz w:val="32"/>
          <w:szCs w:val="32"/>
        </w:rPr>
      </w:pPr>
      <w:r>
        <w:rPr>
          <w:rFonts w:ascii="仿宋" w:eastAsia="仿宋" w:hAnsi="仿宋" w:hint="eastAsia"/>
          <w:b/>
          <w:bCs/>
          <w:sz w:val="32"/>
          <w:szCs w:val="32"/>
        </w:rPr>
        <w:t>1、标准的实用性和推广性</w:t>
      </w:r>
    </w:p>
    <w:p>
      <w:pPr>
        <w:pStyle w:val="a0"/>
        <w:spacing w:line="520" w:lineRule="exact"/>
        <w:ind w:firstLine="640"/>
        <w:rPr>
          <w:rFonts w:ascii="仿宋" w:eastAsia="仿宋" w:hAnsi="仿宋"/>
          <w:sz w:val="32"/>
          <w:szCs w:val="32"/>
        </w:rPr>
      </w:pPr>
      <w:r>
        <w:rPr>
          <w:rFonts w:ascii="仿宋" w:eastAsia="仿宋" w:hAnsi="仿宋" w:hint="eastAsia"/>
          <w:sz w:val="32"/>
          <w:szCs w:val="32"/>
        </w:rPr>
        <w:t>课题组运用项目成果</w:t>
      </w:r>
      <w:r>
        <w:rPr>
          <w:rFonts w:ascii="仿宋" w:eastAsia="仿宋" w:hAnsi="仿宋"/>
          <w:sz w:val="32"/>
          <w:szCs w:val="32"/>
        </w:rPr>
        <w:t>，在广西国有七坡林场的10万多亩尾巨桉无性系进行了修枝，取得良好的经济效益和社会效益</w:t>
      </w:r>
      <w:r>
        <w:rPr>
          <w:rFonts w:ascii="仿宋" w:eastAsia="仿宋" w:hAnsi="仿宋" w:hint="eastAsia"/>
          <w:sz w:val="32"/>
          <w:szCs w:val="32"/>
        </w:rPr>
        <w:t>，为本标准的编制打下了坚实的实践基础和运用基础。</w:t>
      </w:r>
    </w:p>
    <w:p>
      <w:pPr>
        <w:spacing w:line="520" w:lineRule="exact"/>
        <w:ind w:firstLine="640" w:firstLineChars="200"/>
        <w:rPr>
          <w:rFonts w:ascii="仿宋" w:eastAsia="仿宋" w:hAnsi="仿宋"/>
          <w:b/>
          <w:bCs/>
          <w:sz w:val="32"/>
          <w:szCs w:val="32"/>
        </w:rPr>
      </w:pPr>
      <w:r>
        <w:rPr>
          <w:rFonts w:ascii="仿宋" w:eastAsia="仿宋" w:hAnsi="仿宋" w:hint="eastAsia"/>
          <w:b/>
          <w:bCs/>
          <w:sz w:val="32"/>
          <w:szCs w:val="32"/>
        </w:rPr>
        <w:t>2、标准的专业性和科学性</w:t>
      </w:r>
    </w:p>
    <w:p>
      <w:pPr>
        <w:spacing w:line="520" w:lineRule="exact"/>
        <w:ind w:firstLine="640" w:firstLineChars="200"/>
        <w:outlineLvl w:val="0"/>
        <w:rPr>
          <w:rFonts w:ascii="仿宋" w:eastAsia="仿宋" w:hAnsi="仿宋"/>
          <w:sz w:val="32"/>
          <w:szCs w:val="32"/>
        </w:rPr>
      </w:pPr>
      <w:r>
        <w:rPr>
          <w:rFonts w:ascii="仿宋" w:eastAsia="仿宋" w:hAnsi="仿宋"/>
          <w:sz w:val="32"/>
          <w:szCs w:val="32"/>
        </w:rPr>
        <w:t>课题组</w:t>
      </w:r>
      <w:r>
        <w:rPr>
          <w:rFonts w:ascii="仿宋" w:eastAsia="仿宋" w:hAnsi="仿宋" w:hint="eastAsia"/>
          <w:sz w:val="32"/>
          <w:szCs w:val="32"/>
        </w:rPr>
        <w:t>研究</w:t>
      </w:r>
      <w:r>
        <w:rPr>
          <w:rFonts w:ascii="仿宋" w:eastAsia="仿宋" w:hAnsi="仿宋"/>
          <w:sz w:val="32"/>
          <w:szCs w:val="32"/>
        </w:rPr>
        <w:t>相关项目有“桉树无节材智能修枝系统研发与示范”、“桉树无节材培育技术推广示范”等。课题组在桉树修枝方面开展了较深入的研究，发表多篇高水平科技论文，积累了丰富的经验，为本标准的编制打下了坚实的实践基础和充实的理论基础。</w:t>
      </w:r>
    </w:p>
    <w:p>
      <w:pPr>
        <w:spacing w:line="520" w:lineRule="exact"/>
        <w:ind w:firstLine="640" w:firstLineChars="200"/>
        <w:rPr>
          <w:rFonts w:ascii="楷体_GB2312" w:eastAsia="楷体_GB2312" w:hAnsi="仿宋"/>
          <w:b/>
          <w:bCs/>
          <w:sz w:val="32"/>
          <w:szCs w:val="32"/>
        </w:rPr>
      </w:pPr>
      <w:r>
        <w:rPr>
          <w:rFonts w:ascii="楷体_GB2312" w:eastAsia="楷体_GB2312" w:hAnsi="仿宋" w:hint="eastAsia"/>
          <w:b/>
          <w:bCs/>
          <w:sz w:val="32"/>
          <w:szCs w:val="32"/>
        </w:rPr>
        <w:t>（二）制定标准的依据</w:t>
      </w:r>
    </w:p>
    <w:p>
      <w:pPr>
        <w:spacing w:line="520" w:lineRule="exact"/>
        <w:ind w:firstLine="640" w:firstLineChars="20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引用相关法律法规和国家、行业标准</w:t>
      </w:r>
    </w:p>
    <w:p>
      <w:pPr>
        <w:spacing w:line="520" w:lineRule="exact"/>
        <w:ind w:firstLine="640" w:firstLineChars="200"/>
        <w:rPr>
          <w:rFonts w:ascii="仿宋" w:eastAsia="仿宋" w:hAnsi="仿宋"/>
          <w:sz w:val="32"/>
          <w:szCs w:val="32"/>
        </w:rPr>
      </w:pPr>
      <w:r>
        <w:rPr>
          <w:rFonts w:ascii="仿宋" w:eastAsia="仿宋" w:hAnsi="仿宋" w:hint="eastAsia"/>
          <w:sz w:val="32"/>
          <w:szCs w:val="32"/>
        </w:rPr>
        <w:t>本标准根据GB/T 1.1—20</w:t>
      </w:r>
      <w:r>
        <w:rPr>
          <w:rFonts w:ascii="仿宋" w:eastAsia="仿宋" w:hAnsi="仿宋"/>
          <w:sz w:val="32"/>
          <w:szCs w:val="32"/>
        </w:rPr>
        <w:t>20</w:t>
      </w:r>
      <w:r>
        <w:rPr>
          <w:rFonts w:ascii="仿宋" w:eastAsia="仿宋" w:hAnsi="仿宋" w:hint="eastAsia"/>
          <w:sz w:val="32"/>
          <w:szCs w:val="32"/>
        </w:rPr>
        <w:t>《标准化工作导则 第1部分：标准化文件的结构和起草规则》规定的格式编写，内容和要求参考了相关法律法规，引用了现行有效的国家标准、行业标准及广西地方标准。具体引用标准如下：</w:t>
      </w:r>
    </w:p>
    <w:p>
      <w:pPr>
        <w:pStyle w:val="a1"/>
        <w:spacing w:line="520" w:lineRule="exact"/>
        <w:ind w:firstLine="624" w:firstLineChars="195"/>
        <w:rPr>
          <w:rFonts w:ascii="仿宋" w:eastAsia="仿宋" w:hAnsi="仿宋" w:cstheme="minorBidi"/>
          <w:kern w:val="2"/>
          <w:sz w:val="32"/>
          <w:szCs w:val="32"/>
        </w:rPr>
      </w:pPr>
      <w:r>
        <w:rPr>
          <w:rFonts w:ascii="仿宋" w:eastAsia="仿宋" w:hAnsi="仿宋" w:cstheme="minorBidi"/>
          <w:kern w:val="2"/>
          <w:sz w:val="32"/>
          <w:szCs w:val="32"/>
        </w:rPr>
        <w:t>GB/T 14</w:t>
      </w:r>
      <w:r>
        <w:rPr>
          <w:rFonts w:ascii="仿宋" w:eastAsia="仿宋" w:hAnsi="仿宋" w:cstheme="minorBidi" w:hint="eastAsia"/>
          <w:kern w:val="2"/>
          <w:sz w:val="32"/>
          <w:szCs w:val="32"/>
        </w:rPr>
        <w:t>4  原木检验</w:t>
      </w:r>
    </w:p>
    <w:p>
      <w:pPr>
        <w:pStyle w:val="a1"/>
        <w:spacing w:line="520" w:lineRule="exact"/>
        <w:ind w:firstLine="640"/>
        <w:rPr>
          <w:rFonts w:ascii="仿宋" w:eastAsia="仿宋" w:hAnsi="仿宋" w:cstheme="minorBidi"/>
          <w:kern w:val="2"/>
          <w:sz w:val="32"/>
          <w:szCs w:val="32"/>
        </w:rPr>
      </w:pPr>
      <w:r>
        <w:rPr>
          <w:rFonts w:ascii="仿宋" w:eastAsia="仿宋" w:hAnsi="仿宋" w:cstheme="minorBidi" w:hint="eastAsia"/>
          <w:kern w:val="2"/>
          <w:sz w:val="32"/>
          <w:szCs w:val="32"/>
        </w:rPr>
        <w:t>GB/T 155  原木缺陷</w:t>
      </w:r>
    </w:p>
    <w:p>
      <w:pPr>
        <w:pStyle w:val="a1"/>
        <w:spacing w:line="520" w:lineRule="exact"/>
        <w:ind w:firstLine="624" w:firstLineChars="195"/>
        <w:rPr>
          <w:rFonts w:ascii="仿宋" w:eastAsia="仿宋" w:hAnsi="仿宋" w:cstheme="minorBidi"/>
          <w:kern w:val="2"/>
          <w:sz w:val="32"/>
          <w:szCs w:val="32"/>
        </w:rPr>
      </w:pPr>
      <w:r>
        <w:rPr>
          <w:rFonts w:ascii="仿宋" w:eastAsia="仿宋" w:hAnsi="仿宋" w:cstheme="minorBidi"/>
          <w:kern w:val="2"/>
          <w:sz w:val="32"/>
          <w:szCs w:val="32"/>
        </w:rPr>
        <w:t xml:space="preserve">GB/T </w:t>
      </w:r>
      <w:r>
        <w:rPr>
          <w:rFonts w:ascii="仿宋" w:eastAsia="仿宋" w:hAnsi="仿宋" w:cstheme="minorBidi" w:hint="eastAsia"/>
          <w:kern w:val="2"/>
          <w:sz w:val="32"/>
          <w:szCs w:val="32"/>
        </w:rPr>
        <w:t>4814  原木材积表</w:t>
      </w:r>
    </w:p>
    <w:p>
      <w:pPr>
        <w:pStyle w:val="a1"/>
        <w:spacing w:line="520" w:lineRule="exact"/>
        <w:ind w:firstLine="640"/>
        <w:rPr>
          <w:rFonts w:ascii="仿宋" w:eastAsia="仿宋" w:hAnsi="仿宋" w:cstheme="minorBidi"/>
          <w:kern w:val="2"/>
          <w:sz w:val="32"/>
          <w:szCs w:val="32"/>
        </w:rPr>
      </w:pPr>
      <w:r>
        <w:rPr>
          <w:rFonts w:ascii="仿宋" w:eastAsia="仿宋" w:hAnsi="仿宋" w:cstheme="minorBidi" w:hint="eastAsia"/>
          <w:kern w:val="2"/>
          <w:sz w:val="32"/>
          <w:szCs w:val="32"/>
        </w:rPr>
        <w:t>GB/T 15787  原木检验术语</w:t>
      </w:r>
      <w:r>
        <w:rPr>
          <w:rFonts w:ascii="仿宋" w:eastAsia="仿宋" w:hAnsi="仿宋" w:cstheme="minorBidi"/>
          <w:kern w:val="2"/>
          <w:sz w:val="32"/>
          <w:szCs w:val="32"/>
        </w:rPr>
        <w:br/>
      </w:r>
      <w:r>
        <w:rPr>
          <w:rFonts w:ascii="仿宋" w:eastAsia="仿宋" w:hAnsi="仿宋" w:cstheme="minorBidi"/>
          <w:kern w:val="2"/>
          <w:sz w:val="32"/>
          <w:szCs w:val="32"/>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https://d.book118.com/186102110111010041</w:t>
        </w:r>
      </w:hyperlink>
    </w:p>
    <w:p>
      <w:pPr>
        <w:pStyle w:val="a1"/>
        <w:spacing w:line="520" w:lineRule="exact"/>
        <w:ind w:firstLine="640"/>
        <w:rPr>
          <w:rFonts w:ascii="仿宋" w:eastAsia="仿宋" w:hAnsi="仿宋" w:cstheme="minorBidi"/>
          <w:kern w:val="2"/>
          <w:sz w:val="32"/>
          <w:szCs w:val="32"/>
        </w:rPr>
      </w:pPr>
    </w:p>
    <w:sectPr>
      <w:footerReference w:type="default" r:id="rId15"/>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0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3705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3954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067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7024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4564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5750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1004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0012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6995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F4E4B"/>
    <w:rsid w:val="FDDF0CB9"/>
    <w:rsid w:val="00026F03"/>
    <w:rsid w:val="0004510F"/>
    <w:rsid w:val="0006678A"/>
    <w:rsid w:val="000C3BFA"/>
    <w:rsid w:val="00162FCD"/>
    <w:rsid w:val="001A4CC3"/>
    <w:rsid w:val="001E33DC"/>
    <w:rsid w:val="0022784D"/>
    <w:rsid w:val="00257D1E"/>
    <w:rsid w:val="003243E3"/>
    <w:rsid w:val="00343BA0"/>
    <w:rsid w:val="00351872"/>
    <w:rsid w:val="003609D4"/>
    <w:rsid w:val="00395E39"/>
    <w:rsid w:val="005B4485"/>
    <w:rsid w:val="00695E0C"/>
    <w:rsid w:val="006C2E68"/>
    <w:rsid w:val="006D6D97"/>
    <w:rsid w:val="008270C4"/>
    <w:rsid w:val="00977CCB"/>
    <w:rsid w:val="009F1882"/>
    <w:rsid w:val="00BC52AA"/>
    <w:rsid w:val="00C07FE4"/>
    <w:rsid w:val="00CB0600"/>
    <w:rsid w:val="00CD54AA"/>
    <w:rsid w:val="00D00246"/>
    <w:rsid w:val="00D77DC3"/>
    <w:rsid w:val="00DC2919"/>
    <w:rsid w:val="00E2607A"/>
    <w:rsid w:val="00E4760B"/>
    <w:rsid w:val="053F4E4B"/>
    <w:rsid w:val="226C1E33"/>
    <w:rsid w:val="2D183CEA"/>
    <w:rsid w:val="2DCD1D03"/>
    <w:rsid w:val="3E4F2D1E"/>
    <w:rsid w:val="7E4168EA"/>
  </w:rsids>
  <w:docVars>
    <w:docVar w:name="commondata" w:val="eyJoZGlkIjoiOWNiNGU2MGMxNDU2NTEyYTkyMDUzZjEzOTAwNDRiZ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2"/>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BodyText2">
    <w:name w:val="BodyText2"/>
    <w:basedOn w:val="Normal"/>
    <w:qFormat/>
    <w:pPr>
      <w:spacing w:after="120" w:line="480" w:lineRule="auto"/>
      <w:textAlignment w:val="baseline"/>
    </w:pPr>
    <w:rPr>
      <w:sz w:val="32"/>
      <w:szCs w:val="32"/>
    </w:rPr>
  </w:style>
  <w:style w:type="paragraph" w:styleId="BalloonText">
    <w:name w:val="Balloon Text"/>
    <w:basedOn w:val="Normal"/>
    <w:link w:val="Char"/>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itle">
    <w:name w:val="Title"/>
    <w:basedOn w:val="Normal"/>
    <w:next w:val="Normal"/>
    <w:uiPriority w:val="10"/>
    <w:qFormat/>
    <w:pPr>
      <w:spacing w:before="240" w:after="60"/>
      <w:jc w:val="center"/>
      <w:outlineLvl w:val="0"/>
    </w:pPr>
    <w:rPr>
      <w:rFonts w:asciiTheme="majorHAnsi" w:eastAsiaTheme="majorEastAsia" w:hAnsiTheme="majorHAnsi" w:cstheme="majorBidi"/>
      <w:b/>
      <w:bCs/>
      <w:sz w:val="32"/>
      <w:szCs w:val="32"/>
    </w:rPr>
  </w:style>
  <w:style w:type="character" w:styleId="PageNumber">
    <w:name w:val="page number"/>
    <w:qFormat/>
    <w:rPr>
      <w:rFonts w:cs="Times New Roman"/>
    </w:rPr>
  </w:style>
  <w:style w:type="character" w:styleId="Emphasis">
    <w:name w:val="Emphasis"/>
    <w:basedOn w:val="DefaultParagraphFont"/>
    <w:uiPriority w:val="20"/>
    <w:qFormat/>
    <w:rPr>
      <w:i/>
      <w:iCs/>
    </w:rPr>
  </w:style>
  <w:style w:type="paragraph" w:customStyle="1" w:styleId="a">
    <w:name w:val="封面标准名称"/>
    <w:qFormat/>
    <w:pPr>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0">
    <w:name w:val="段"/>
    <w:qFormat/>
    <w:pPr>
      <w:tabs>
        <w:tab w:val="center" w:pos="4201"/>
        <w:tab w:val="right" w:leader="dot" w:pos="9298"/>
      </w:tabs>
      <w:autoSpaceDE w:val="0"/>
      <w:autoSpaceDN w:val="0"/>
      <w:ind w:firstLine="420" w:firstLineChars="200"/>
      <w:jc w:val="both"/>
    </w:pPr>
    <w:rPr>
      <w:rFonts w:ascii="宋体" w:eastAsia="宋体" w:hAnsi="Times New Roman" w:cs="Times New Roman"/>
      <w:sz w:val="21"/>
      <w:lang w:val="en-US" w:eastAsia="zh-CN" w:bidi="ar-SA"/>
    </w:rPr>
  </w:style>
  <w:style w:type="character" w:customStyle="1" w:styleId="Char">
    <w:name w:val="批注框文本 Char"/>
    <w:basedOn w:val="DefaultParagraphFont"/>
    <w:link w:val="BalloonText"/>
    <w:qFormat/>
    <w:rPr>
      <w:rFonts w:asciiTheme="minorHAnsi" w:eastAsiaTheme="minorEastAsia" w:hAnsiTheme="minorHAnsi" w:cstheme="minorBidi"/>
      <w:kern w:val="2"/>
      <w:sz w:val="18"/>
      <w:szCs w:val="18"/>
    </w:rPr>
  </w:style>
  <w:style w:type="paragraph" w:customStyle="1" w:styleId="a1">
    <w:name w:val="标准文件_段"/>
    <w:link w:val="Char0"/>
    <w:qFormat/>
    <w:pPr>
      <w:autoSpaceDE w:val="0"/>
      <w:autoSpaceDN w:val="0"/>
      <w:ind w:firstLine="200" w:firstLineChars="200"/>
      <w:jc w:val="both"/>
    </w:pPr>
    <w:rPr>
      <w:rFonts w:ascii="宋体" w:eastAsia="宋体" w:hAnsi="Times New Roman" w:cs="Times New Roman"/>
      <w:sz w:val="21"/>
      <w:lang w:val="en-US" w:eastAsia="zh-CN" w:bidi="ar-SA"/>
    </w:rPr>
  </w:style>
  <w:style w:type="character" w:customStyle="1" w:styleId="Char0">
    <w:name w:val="标准文件_段 Char"/>
    <w:link w:val="a1"/>
    <w:qFormat/>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186102110111010041"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1205</Words>
  <Characters>6869</Characters>
  <Application>Microsoft Office Word</Application>
  <DocSecurity>0</DocSecurity>
  <Lines>57</Lines>
  <Paragraphs>16</Paragraphs>
  <ScaleCrop>false</ScaleCrop>
  <Company>admin</Company>
  <LinksUpToDate>false</LinksUpToDate>
  <CharactersWithSpaces>8058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科技管理办公室</dc:creator>
  <cp:lastModifiedBy>朱俊荣</cp:lastModifiedBy>
  <cp:revision>45</cp:revision>
  <dcterms:created xsi:type="dcterms:W3CDTF">2023-06-14T10:05:00Z</dcterms:created>
  <dcterms:modified xsi:type="dcterms:W3CDTF">2023-10-20T14:49:30Z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315288DC38F8416D81C22FA07EFE9BB1_13</vt:lpwstr>
  </property>
  <property fmtid="{D5CDD505-2E9C-101B-9397-08002B2CF9AE}" pid="3" name="KSOProductBuildVer">
    <vt:lpwstr>2052-11.8.2.10290</vt:lpwstr>
  </property>
</Properties>
</file>