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45" w:line="187" w:lineRule="auto"/>
        <w:ind w:left="2034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260336</wp:posOffset>
            </wp:positionH>
            <wp:positionV relativeFrom="page">
              <wp:posOffset>1701793</wp:posOffset>
            </wp:positionV>
            <wp:extent cx="4343434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4343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260336</wp:posOffset>
            </wp:positionH>
            <wp:positionV relativeFrom="page">
              <wp:posOffset>5676910</wp:posOffset>
            </wp:positionV>
            <wp:extent cx="4343434" cy="637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43434" cy="6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25"/>
        </w:rPr>
        <w:t>天津市工程建设标准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3" w:line="444" w:lineRule="exact"/>
        <w:rPr>
          <w:rFonts w:ascii="Times New Roman" w:eastAsia="Times New Roman" w:hAnsi="Times New Roman" w:cs="Times New Roman"/>
          <w:sz w:val="63"/>
          <w:szCs w:val="63"/>
        </w:rPr>
      </w:pPr>
      <w:r>
        <w:rPr>
          <w:rFonts w:ascii="Times New Roman" w:eastAsia="Times New Roman" w:hAnsi="Times New Roman" w:cs="Times New Roman"/>
          <w:b/>
          <w:bCs/>
          <w:spacing w:val="-3"/>
          <w:position w:val="-8"/>
          <w:sz w:val="63"/>
          <w:szCs w:val="63"/>
        </w:rPr>
        <w:t>DB</w:t>
      </w:r>
    </w:p>
    <w:p>
      <w:pPr>
        <w:spacing w:line="444" w:lineRule="exact"/>
        <w:rPr>
          <w:rFonts w:ascii="Times New Roman" w:eastAsia="Times New Roman" w:hAnsi="Times New Roman" w:cs="Times New Roman"/>
          <w:sz w:val="63"/>
          <w:szCs w:val="63"/>
        </w:rPr>
        <w:sectPr>
          <w:pgSz w:w="7830" w:h="11530"/>
          <w:pgMar w:top="861" w:right="579" w:bottom="0" w:left="409" w:header="0" w:footer="0" w:gutter="0"/>
          <w:cols w:num="2" w:space="708" w:equalWidth="0">
            <w:col w:w="5730" w:space="100"/>
            <w:col w:w="1011" w:space="0"/>
          </w:cols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91" w:line="218" w:lineRule="auto"/>
        <w:ind w:left="4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1"/>
          <w:sz w:val="28"/>
          <w:szCs w:val="28"/>
        </w:rPr>
        <w:t>DB/T29-157-2006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          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         </w:t>
      </w:r>
      <w:r>
        <w:rPr>
          <w:rFonts w:ascii="SimSun" w:eastAsia="SimSun" w:hAnsi="SimSun" w:cs="SimSun"/>
          <w:b/>
          <w:bCs/>
          <w:spacing w:val="-2"/>
          <w:sz w:val="28"/>
          <w:szCs w:val="28"/>
        </w:rPr>
        <w:t>J10681-2006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34" w:line="226" w:lineRule="auto"/>
        <w:ind w:left="2190" w:right="1315" w:hanging="850"/>
        <w:outlineLvl w:val="0"/>
        <w:rPr>
          <w:sz w:val="41"/>
          <w:szCs w:val="41"/>
        </w:rPr>
      </w:pPr>
      <w:r>
        <w:rPr>
          <w:spacing w:val="8"/>
          <w:sz w:val="41"/>
          <w:szCs w:val="41"/>
        </w:rPr>
        <w:t>公路沥青路面裂缝密封</w:t>
      </w:r>
      <w:r>
        <w:rPr>
          <w:spacing w:val="3"/>
          <w:sz w:val="41"/>
          <w:szCs w:val="41"/>
        </w:rPr>
        <w:t xml:space="preserve"> </w:t>
      </w:r>
      <w:r>
        <w:rPr>
          <w:spacing w:val="2"/>
          <w:sz w:val="41"/>
          <w:szCs w:val="41"/>
        </w:rPr>
        <w:t>施工技术规程</w:t>
      </w:r>
    </w:p>
    <w:p>
      <w:pPr>
        <w:spacing w:before="101" w:line="198" w:lineRule="auto"/>
        <w:ind w:left="127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spacing w:val="-11"/>
          <w:sz w:val="28"/>
          <w:szCs w:val="28"/>
        </w:rPr>
        <w:t>Technical Specifications for Cracks</w:t>
      </w:r>
    </w:p>
    <w:p>
      <w:pPr>
        <w:spacing w:before="140" w:line="198" w:lineRule="auto"/>
        <w:ind w:left="27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spacing w:val="-12"/>
          <w:sz w:val="28"/>
          <w:szCs w:val="28"/>
        </w:rPr>
        <w:t>Sealant Construction of Highway Asphalt</w:t>
      </w:r>
      <w:r>
        <w:rPr>
          <w:rFonts w:ascii="Arial" w:eastAsia="Arial" w:hAnsi="Arial" w:cs="Arial"/>
          <w:b/>
          <w:bCs/>
          <w:spacing w:val="2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28"/>
          <w:szCs w:val="28"/>
        </w:rPr>
        <w:t>Pavement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1654"/>
      </w:pPr>
      <w:r>
        <w:rPr>
          <w:b/>
          <w:bCs/>
          <w:spacing w:val="9"/>
        </w:rPr>
        <w:t>2</w:t>
      </w:r>
      <w:r>
        <w:rPr>
          <w:spacing w:val="9"/>
        </w:rPr>
        <w:t xml:space="preserve"> </w:t>
      </w:r>
      <w:r>
        <w:rPr>
          <w:b/>
          <w:bCs/>
          <w:spacing w:val="9"/>
        </w:rPr>
        <w:t>0</w:t>
      </w:r>
      <w:r>
        <w:rPr>
          <w:spacing w:val="9"/>
        </w:rPr>
        <w:t xml:space="preserve"> </w:t>
      </w:r>
      <w:r>
        <w:rPr>
          <w:b/>
          <w:bCs/>
          <w:spacing w:val="9"/>
        </w:rPr>
        <w:t>1</w:t>
      </w:r>
      <w:r>
        <w:rPr>
          <w:spacing w:val="9"/>
        </w:rPr>
        <w:t xml:space="preserve"> </w:t>
      </w:r>
      <w:r>
        <w:rPr>
          <w:b/>
          <w:bCs/>
          <w:spacing w:val="9"/>
        </w:rPr>
        <w:t>8</w:t>
      </w:r>
      <w:r>
        <w:rPr>
          <w:spacing w:val="9"/>
        </w:rPr>
        <w:t xml:space="preserve"> </w:t>
      </w:r>
      <w:r>
        <w:rPr>
          <w:b/>
          <w:bCs/>
          <w:spacing w:val="9"/>
        </w:rPr>
        <w:t>年</w:t>
      </w:r>
      <w:r>
        <w:rPr>
          <w:spacing w:val="31"/>
        </w:rPr>
        <w:t xml:space="preserve"> </w:t>
      </w:r>
      <w:r>
        <w:rPr>
          <w:b/>
          <w:bCs/>
          <w:spacing w:val="9"/>
        </w:rPr>
        <w:t>1</w:t>
      </w:r>
      <w:r>
        <w:rPr>
          <w:spacing w:val="25"/>
        </w:rPr>
        <w:t xml:space="preserve"> </w:t>
      </w:r>
      <w:r>
        <w:rPr>
          <w:b/>
          <w:bCs/>
          <w:spacing w:val="9"/>
        </w:rPr>
        <w:t>1</w:t>
      </w:r>
      <w:r>
        <w:rPr>
          <w:spacing w:val="-29"/>
        </w:rPr>
        <w:t xml:space="preserve"> </w:t>
      </w:r>
      <w:r>
        <w:rPr>
          <w:b/>
          <w:bCs/>
          <w:spacing w:val="9"/>
        </w:rPr>
        <w:t>月确认继续有效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  <w:sectPr>
          <w:type w:val="continuous"/>
          <w:pgSz w:w="7830" w:h="11530"/>
          <w:pgMar w:top="861" w:right="579" w:bottom="0" w:left="409" w:header="0" w:footer="0" w:gutter="0"/>
          <w:pgNumType w:start="2"/>
          <w:cols w:num="1" w:space="708" w:equalWidth="0">
            <w:col w:w="6841" w:space="0"/>
          </w:cols>
        </w:sectPr>
      </w:pPr>
    </w:p>
    <w:p>
      <w:pPr>
        <w:pStyle w:val="BodyText"/>
        <w:spacing w:before="91" w:line="233" w:lineRule="auto"/>
        <w:ind w:left="243"/>
      </w:pPr>
      <w:r>
        <w:rPr>
          <w:b/>
          <w:bCs/>
          <w:spacing w:val="-6"/>
        </w:rPr>
        <w:t>2005-12-31</w:t>
      </w:r>
      <w:r>
        <w:rPr>
          <w:spacing w:val="112"/>
        </w:rPr>
        <w:t xml:space="preserve"> </w:t>
      </w:r>
      <w:r>
        <w:rPr>
          <w:b/>
          <w:bCs/>
          <w:spacing w:val="-6"/>
        </w:rPr>
        <w:t>发布</w:t>
      </w:r>
      <w:r>
        <w:rPr>
          <w:spacing w:val="3"/>
        </w:rPr>
        <w:t xml:space="preserve">              </w:t>
      </w:r>
      <w:r>
        <w:rPr>
          <w:b/>
          <w:bCs/>
          <w:spacing w:val="-6"/>
        </w:rPr>
        <w:t>2006-02-01</w:t>
      </w:r>
      <w:r>
        <w:rPr>
          <w:spacing w:val="129"/>
        </w:rPr>
        <w:t xml:space="preserve"> </w:t>
      </w:r>
      <w:r>
        <w:rPr>
          <w:b/>
          <w:bCs/>
          <w:spacing w:val="-6"/>
        </w:rPr>
        <w:t>实施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91" w:line="187" w:lineRule="auto"/>
        <w:ind w:left="1864"/>
      </w:pPr>
      <w:r>
        <w:rPr>
          <w:b/>
          <w:bCs/>
          <w:spacing w:val="27"/>
        </w:rPr>
        <w:t>天津市建设管理委员会</w:t>
      </w:r>
    </w:p>
    <w:p>
      <w:pPr>
        <w:spacing w:line="187" w:lineRule="auto"/>
        <w:sectPr>
          <w:type w:val="nextPage"/>
          <w:pgSz w:w="7830" w:h="11530"/>
          <w:pgMar w:top="861" w:right="579" w:bottom="0" w:left="409" w:header="0" w:footer="0" w:gutter="0"/>
          <w:pgNumType w:start="3"/>
          <w:cols w:num="1" w:space="708" w:equalWidth="0">
            <w:col w:w="6841" w:space="0"/>
          </w:cols>
          <w:titlePg w:val="0"/>
        </w:sectPr>
      </w:pP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91" w:line="222" w:lineRule="auto"/>
        <w:ind w:left="1482"/>
      </w:pPr>
      <w:r>
        <w:rPr>
          <w:b/>
          <w:bCs/>
          <w:spacing w:val="-4"/>
        </w:rPr>
        <w:t>天津市工程建设标准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14" w:line="231" w:lineRule="auto"/>
        <w:ind w:left="1673" w:right="970" w:hanging="73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10"/>
          <w:sz w:val="35"/>
          <w:szCs w:val="35"/>
        </w:rPr>
        <w:t>公路沥青路面裂缝密封</w:t>
      </w:r>
      <w:r>
        <w:rPr>
          <w:rFonts w:ascii="SimSun" w:eastAsia="SimSun" w:hAnsi="SimSun" w:cs="SimSun"/>
          <w:spacing w:val="5"/>
          <w:sz w:val="35"/>
          <w:szCs w:val="35"/>
        </w:rPr>
        <w:t xml:space="preserve"> </w:t>
      </w:r>
      <w:r>
        <w:rPr>
          <w:rFonts w:ascii="SimSun" w:eastAsia="SimSun" w:hAnsi="SimSun" w:cs="SimSun"/>
          <w:b/>
          <w:bCs/>
          <w:spacing w:val="13"/>
          <w:sz w:val="35"/>
          <w:szCs w:val="35"/>
        </w:rPr>
        <w:t>施工技术规程</w:t>
      </w:r>
    </w:p>
    <w:p>
      <w:pPr>
        <w:spacing w:before="279" w:line="198" w:lineRule="auto"/>
        <w:ind w:left="1019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/>
          <w:bCs/>
          <w:spacing w:val="-7"/>
          <w:sz w:val="21"/>
          <w:szCs w:val="21"/>
        </w:rPr>
        <w:t>Technical Specifications for Cracks</w:t>
      </w:r>
    </w:p>
    <w:p>
      <w:pPr>
        <w:spacing w:before="126" w:line="189" w:lineRule="auto"/>
        <w:ind w:left="36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>Sealant</w:t>
      </w:r>
      <w:r>
        <w:rPr>
          <w:rFonts w:ascii="Times New Roman" w:eastAsia="Times New Roman" w:hAnsi="Times New Roman" w:cs="Times New Roman"/>
          <w:b/>
          <w:bCs/>
          <w:spacing w:val="6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>Construction</w:t>
      </w:r>
      <w:r>
        <w:rPr>
          <w:rFonts w:ascii="Times New Roman" w:eastAsia="Times New Roman" w:hAnsi="Times New Roman" w:cs="Times New Roman"/>
          <w:b/>
          <w:bCs/>
          <w:spacing w:val="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b/>
          <w:bCs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>Highway</w:t>
      </w:r>
      <w:r>
        <w:rPr>
          <w:rFonts w:ascii="Times New Roman" w:eastAsia="Times New Roman" w:hAnsi="Times New Roman" w:cs="Times New Roman"/>
          <w:b/>
          <w:bCs/>
          <w:spacing w:val="3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>Asphalt</w:t>
      </w:r>
      <w:r>
        <w:rPr>
          <w:rFonts w:ascii="Times New Roman" w:eastAsia="Times New Roman" w:hAnsi="Times New Roman" w:cs="Times New Roman"/>
          <w:b/>
          <w:bCs/>
          <w:spacing w:val="3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>Pavement</w:t>
      </w:r>
    </w:p>
    <w:p>
      <w:pPr>
        <w:pStyle w:val="BodyText"/>
        <w:spacing w:before="326" w:line="221" w:lineRule="auto"/>
        <w:ind w:left="1024"/>
        <w:rPr>
          <w:sz w:val="35"/>
          <w:szCs w:val="35"/>
        </w:rPr>
      </w:pPr>
      <w:r>
        <w:rPr>
          <w:b/>
          <w:bCs/>
          <w:spacing w:val="-26"/>
          <w:sz w:val="35"/>
          <w:szCs w:val="35"/>
        </w:rPr>
        <w:t>2</w:t>
      </w:r>
      <w:r>
        <w:rPr>
          <w:spacing w:val="-53"/>
          <w:sz w:val="35"/>
          <w:szCs w:val="35"/>
        </w:rPr>
        <w:t xml:space="preserve"> </w:t>
      </w:r>
      <w:r>
        <w:rPr>
          <w:b/>
          <w:bCs/>
          <w:spacing w:val="-26"/>
          <w:sz w:val="35"/>
          <w:szCs w:val="35"/>
        </w:rPr>
        <w:t>0</w:t>
      </w:r>
      <w:r>
        <w:rPr>
          <w:spacing w:val="-33"/>
          <w:sz w:val="35"/>
          <w:szCs w:val="35"/>
        </w:rPr>
        <w:t xml:space="preserve"> </w:t>
      </w:r>
      <w:r>
        <w:rPr>
          <w:b/>
          <w:bCs/>
          <w:spacing w:val="-26"/>
          <w:sz w:val="35"/>
          <w:szCs w:val="35"/>
        </w:rPr>
        <w:t>1</w:t>
      </w:r>
      <w:r>
        <w:rPr>
          <w:spacing w:val="-56"/>
          <w:sz w:val="35"/>
          <w:szCs w:val="35"/>
        </w:rPr>
        <w:t xml:space="preserve"> </w:t>
      </w:r>
      <w:r>
        <w:rPr>
          <w:b/>
          <w:bCs/>
          <w:spacing w:val="-26"/>
          <w:sz w:val="35"/>
          <w:szCs w:val="35"/>
        </w:rPr>
        <w:t>8</w:t>
      </w:r>
      <w:r>
        <w:rPr>
          <w:spacing w:val="-49"/>
          <w:sz w:val="35"/>
          <w:szCs w:val="35"/>
        </w:rPr>
        <w:t xml:space="preserve"> </w:t>
      </w:r>
      <w:r>
        <w:rPr>
          <w:b/>
          <w:bCs/>
          <w:spacing w:val="-26"/>
          <w:sz w:val="35"/>
          <w:szCs w:val="35"/>
        </w:rPr>
        <w:t>年</w:t>
      </w:r>
      <w:r>
        <w:rPr>
          <w:spacing w:val="-33"/>
          <w:sz w:val="35"/>
          <w:szCs w:val="35"/>
        </w:rPr>
        <w:t xml:space="preserve"> </w:t>
      </w:r>
      <w:r>
        <w:rPr>
          <w:b/>
          <w:bCs/>
          <w:spacing w:val="-26"/>
          <w:sz w:val="35"/>
          <w:szCs w:val="35"/>
        </w:rPr>
        <w:t>1</w:t>
      </w:r>
      <w:r>
        <w:rPr>
          <w:spacing w:val="-34"/>
          <w:sz w:val="35"/>
          <w:szCs w:val="35"/>
        </w:rPr>
        <w:t xml:space="preserve"> </w:t>
      </w:r>
      <w:r>
        <w:rPr>
          <w:b/>
          <w:bCs/>
          <w:spacing w:val="-26"/>
          <w:sz w:val="35"/>
          <w:szCs w:val="35"/>
        </w:rPr>
        <w:t>1</w:t>
      </w:r>
      <w:r>
        <w:rPr>
          <w:spacing w:val="-66"/>
          <w:sz w:val="35"/>
          <w:szCs w:val="35"/>
        </w:rPr>
        <w:t xml:space="preserve"> </w:t>
      </w:r>
      <w:r>
        <w:rPr>
          <w:b/>
          <w:bCs/>
          <w:spacing w:val="-26"/>
          <w:sz w:val="35"/>
          <w:szCs w:val="35"/>
        </w:rPr>
        <w:t>月确认继续有效</w:t>
      </w:r>
    </w:p>
    <w:p>
      <w:pPr>
        <w:spacing w:before="86" w:line="345" w:lineRule="exact"/>
        <w:ind w:left="167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3"/>
          <w:position w:val="10"/>
          <w:sz w:val="21"/>
          <w:szCs w:val="21"/>
        </w:rPr>
        <w:t>DB/T29-157-2006</w:t>
      </w:r>
    </w:p>
    <w:p>
      <w:pPr>
        <w:spacing w:line="183" w:lineRule="auto"/>
        <w:ind w:left="167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6"/>
          <w:sz w:val="21"/>
          <w:szCs w:val="21"/>
        </w:rPr>
        <w:t>J</w:t>
      </w:r>
      <w:r>
        <w:rPr>
          <w:rFonts w:ascii="SimSun" w:eastAsia="SimSun" w:hAnsi="SimSun" w:cs="SimSun"/>
          <w:spacing w:val="20"/>
          <w:sz w:val="21"/>
          <w:szCs w:val="21"/>
        </w:rPr>
        <w:t xml:space="preserve">  </w:t>
      </w:r>
      <w:r>
        <w:rPr>
          <w:rFonts w:ascii="SimSun" w:eastAsia="SimSun" w:hAnsi="SimSun" w:cs="SimSun"/>
          <w:b/>
          <w:bCs/>
          <w:spacing w:val="-6"/>
          <w:sz w:val="21"/>
          <w:szCs w:val="21"/>
        </w:rPr>
        <w:t>10681-2006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69" w:line="219" w:lineRule="auto"/>
        <w:ind w:left="10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2"/>
          <w:sz w:val="21"/>
          <w:szCs w:val="21"/>
        </w:rPr>
        <w:t>主编单位：天津市公路管理局</w:t>
      </w:r>
    </w:p>
    <w:p>
      <w:pPr>
        <w:spacing w:before="60" w:line="311" w:lineRule="exact"/>
        <w:ind w:left="10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1"/>
          <w:position w:val="7"/>
          <w:sz w:val="21"/>
          <w:szCs w:val="21"/>
        </w:rPr>
        <w:t>批准部门：天津市建设管理委员会</w:t>
      </w:r>
    </w:p>
    <w:p>
      <w:pPr>
        <w:spacing w:line="219" w:lineRule="auto"/>
        <w:ind w:left="10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21"/>
          <w:sz w:val="21"/>
          <w:szCs w:val="21"/>
        </w:rPr>
        <w:t>实施日期：2006年2月1日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  <w:sectPr>
          <w:pgSz w:w="7940" w:h="11510"/>
          <w:pgMar w:top="978" w:right="1191" w:bottom="0" w:left="1191" w:header="0" w:footer="0" w:gutter="0"/>
          <w:pgNumType w:start="4"/>
          <w:cols w:space="708"/>
        </w:sectPr>
      </w:pPr>
    </w:p>
    <w:p>
      <w:pPr>
        <w:pStyle w:val="BodyText"/>
        <w:spacing w:before="69" w:line="223" w:lineRule="auto"/>
        <w:ind w:left="1671"/>
        <w:rPr>
          <w:sz w:val="21"/>
          <w:szCs w:val="21"/>
        </w:rPr>
      </w:pPr>
      <w:r>
        <w:rPr>
          <w:b/>
          <w:bCs/>
          <w:spacing w:val="-5"/>
          <w:sz w:val="21"/>
          <w:szCs w:val="21"/>
        </w:rPr>
        <w:t>2006</w:t>
      </w:r>
      <w:r>
        <w:rPr>
          <w:spacing w:val="34"/>
          <w:sz w:val="21"/>
          <w:szCs w:val="21"/>
        </w:rPr>
        <w:t xml:space="preserve">  </w:t>
      </w:r>
      <w:r>
        <w:rPr>
          <w:b/>
          <w:bCs/>
          <w:spacing w:val="-5"/>
          <w:sz w:val="21"/>
          <w:szCs w:val="21"/>
        </w:rPr>
        <w:t>天</w:t>
      </w:r>
      <w:r>
        <w:rPr>
          <w:spacing w:val="42"/>
          <w:sz w:val="21"/>
          <w:szCs w:val="21"/>
        </w:rPr>
        <w:t xml:space="preserve"> </w:t>
      </w:r>
      <w:r>
        <w:rPr>
          <w:b/>
          <w:bCs/>
          <w:spacing w:val="-5"/>
          <w:sz w:val="21"/>
          <w:szCs w:val="21"/>
        </w:rPr>
        <w:t>津</w:t>
      </w:r>
    </w:p>
    <w:p>
      <w:pPr>
        <w:spacing w:line="223" w:lineRule="auto"/>
        <w:rPr>
          <w:sz w:val="21"/>
          <w:szCs w:val="21"/>
        </w:rPr>
        <w:sectPr>
          <w:type w:val="nextPage"/>
          <w:pgSz w:w="7940" w:h="11510"/>
          <w:pgMar w:top="978" w:right="1191" w:bottom="0" w:left="1191" w:header="0" w:footer="0" w:gutter="0"/>
          <w:pgNumType w:start="5"/>
          <w:cols w:space="708"/>
          <w:titlePg w:val="0"/>
        </w:sectPr>
      </w:pPr>
    </w:p>
    <w:p>
      <w:pPr>
        <w:spacing w:before="100" w:line="219" w:lineRule="auto"/>
        <w:ind w:left="366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b/>
          <w:bCs/>
          <w:spacing w:val="-43"/>
          <w:w w:val="93"/>
          <w:sz w:val="51"/>
          <w:szCs w:val="51"/>
        </w:rPr>
        <w:t>天津市建设管理委员会文件</w:t>
      </w:r>
    </w:p>
    <w:p>
      <w:pPr>
        <w:spacing w:line="278" w:lineRule="auto"/>
        <w:rPr>
          <w:rFonts w:ascii="Arial"/>
          <w:sz w:val="21"/>
        </w:rPr>
      </w:pPr>
    </w:p>
    <w:p>
      <w:pPr>
        <w:spacing w:before="72" w:line="222" w:lineRule="auto"/>
        <w:ind w:left="1989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4"/>
          <w:sz w:val="22"/>
          <w:szCs w:val="22"/>
        </w:rPr>
        <w:t>建科教[2005]1458号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78" w:line="222" w:lineRule="auto"/>
        <w:ind w:left="434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27"/>
          <w:sz w:val="24"/>
          <w:szCs w:val="24"/>
        </w:rPr>
        <w:t>签发人：滕绍华</w:t>
      </w:r>
    </w:p>
    <w:p>
      <w:pPr>
        <w:spacing w:before="323" w:line="228" w:lineRule="auto"/>
        <w:ind w:left="1543" w:right="792" w:hanging="749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27"/>
          <w:w w:val="97"/>
          <w:sz w:val="32"/>
          <w:szCs w:val="32"/>
        </w:rPr>
        <w:t>关于颁布《公路沥青路面裂缝密封</w:t>
      </w:r>
      <w:r>
        <w:rPr>
          <w:rFonts w:ascii="SimSun" w:eastAsia="SimSun" w:hAnsi="SimSun" w:cs="SimSun"/>
          <w:spacing w:val="20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32"/>
          <w:w w:val="98"/>
          <w:sz w:val="32"/>
          <w:szCs w:val="32"/>
        </w:rPr>
        <w:t>施工技术规程》的通知</w:t>
      </w:r>
    </w:p>
    <w:p>
      <w:pPr>
        <w:spacing w:before="167" w:line="221" w:lineRule="auto"/>
        <w:ind w:left="120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17"/>
          <w:sz w:val="22"/>
          <w:szCs w:val="22"/>
        </w:rPr>
        <w:t>各有关单位：</w:t>
      </w:r>
    </w:p>
    <w:p>
      <w:pPr>
        <w:spacing w:before="137" w:line="218" w:lineRule="auto"/>
        <w:ind w:left="120" w:right="104" w:firstLine="389"/>
        <w:jc w:val="both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18"/>
          <w:sz w:val="22"/>
          <w:szCs w:val="22"/>
        </w:rPr>
        <w:t>为规范沥青路面裂缝密封施工技术，延长道路使用寿命，天</w:t>
      </w:r>
      <w:r>
        <w:rPr>
          <w:rFonts w:ascii="FangSong" w:eastAsia="FangSong" w:hAnsi="FangSong" w:cs="FangSong"/>
          <w:spacing w:val="1"/>
          <w:sz w:val="22"/>
          <w:szCs w:val="22"/>
        </w:rPr>
        <w:t xml:space="preserve"> </w:t>
      </w:r>
      <w:r>
        <w:rPr>
          <w:rFonts w:ascii="FangSong" w:eastAsia="FangSong" w:hAnsi="FangSong" w:cs="FangSong"/>
          <w:spacing w:val="-2"/>
          <w:sz w:val="22"/>
          <w:szCs w:val="22"/>
        </w:rPr>
        <w:t>津市公路管理局依据《关于下达2004年天津市工程建设标准</w:t>
      </w:r>
      <w:r>
        <w:rPr>
          <w:rFonts w:ascii="FangSong" w:eastAsia="FangSong" w:hAnsi="FangSong" w:cs="FangSong"/>
          <w:spacing w:val="18"/>
          <w:sz w:val="22"/>
          <w:szCs w:val="22"/>
        </w:rPr>
        <w:t xml:space="preserve"> </w:t>
      </w:r>
      <w:r>
        <w:rPr>
          <w:rFonts w:ascii="FangSong" w:eastAsia="FangSong" w:hAnsi="FangSong" w:cs="FangSong"/>
          <w:spacing w:val="-17"/>
          <w:sz w:val="22"/>
          <w:szCs w:val="22"/>
        </w:rPr>
        <w:t>编制计划的通知》要求，编写了《公路沥青路面裂缝密封施工技</w:t>
      </w:r>
      <w:r>
        <w:rPr>
          <w:rFonts w:ascii="FangSong" w:eastAsia="FangSong" w:hAnsi="FangSong" w:cs="FangSong"/>
          <w:sz w:val="22"/>
          <w:szCs w:val="22"/>
        </w:rPr>
        <w:t xml:space="preserve"> </w:t>
      </w:r>
      <w:r>
        <w:rPr>
          <w:rFonts w:ascii="FangSong" w:eastAsia="FangSong" w:hAnsi="FangSong" w:cs="FangSong"/>
          <w:spacing w:val="-24"/>
          <w:sz w:val="22"/>
          <w:szCs w:val="22"/>
        </w:rPr>
        <w:t>术规程》。经我委组织专家审定委员会审定，现批准《公路沥</w:t>
      </w:r>
      <w:r>
        <w:rPr>
          <w:rFonts w:ascii="FangSong" w:eastAsia="FangSong" w:hAnsi="FangSong" w:cs="FangSong"/>
          <w:spacing w:val="-25"/>
          <w:sz w:val="22"/>
          <w:szCs w:val="22"/>
        </w:rPr>
        <w:t>青路</w:t>
      </w:r>
      <w:r>
        <w:rPr>
          <w:rFonts w:ascii="FangSong" w:eastAsia="FangSong" w:hAnsi="FangSong" w:cs="FangSong"/>
          <w:sz w:val="22"/>
          <w:szCs w:val="22"/>
        </w:rPr>
        <w:t xml:space="preserve"> </w:t>
      </w:r>
      <w:r>
        <w:rPr>
          <w:rFonts w:ascii="FangSong" w:eastAsia="FangSong" w:hAnsi="FangSong" w:cs="FangSong"/>
          <w:spacing w:val="-9"/>
          <w:sz w:val="22"/>
          <w:szCs w:val="22"/>
        </w:rPr>
        <w:t>面裂缝密封施工技术规程》(DB/T29-157-2006)</w:t>
      </w:r>
      <w:r>
        <w:rPr>
          <w:rFonts w:ascii="FangSong" w:eastAsia="FangSong" w:hAnsi="FangSong" w:cs="FangSong"/>
          <w:spacing w:val="16"/>
          <w:sz w:val="22"/>
          <w:szCs w:val="22"/>
        </w:rPr>
        <w:t xml:space="preserve">   </w:t>
      </w:r>
      <w:r>
        <w:rPr>
          <w:rFonts w:ascii="FangSong" w:eastAsia="FangSong" w:hAnsi="FangSong" w:cs="FangSong"/>
          <w:spacing w:val="-9"/>
          <w:sz w:val="22"/>
          <w:szCs w:val="22"/>
        </w:rPr>
        <w:t>为我市地方</w:t>
      </w:r>
      <w:r>
        <w:rPr>
          <w:rFonts w:ascii="FangSong" w:eastAsia="FangSong" w:hAnsi="FangSong" w:cs="FangSong"/>
          <w:spacing w:val="1"/>
          <w:sz w:val="22"/>
          <w:szCs w:val="22"/>
        </w:rPr>
        <w:t xml:space="preserve"> </w:t>
      </w:r>
      <w:r>
        <w:rPr>
          <w:rFonts w:ascii="FangSong" w:eastAsia="FangSong" w:hAnsi="FangSong" w:cs="FangSong"/>
          <w:spacing w:val="7"/>
          <w:sz w:val="22"/>
          <w:szCs w:val="22"/>
        </w:rPr>
        <w:t>工程建设标准。自2006年2月1日起在我市施行。</w:t>
      </w:r>
    </w:p>
    <w:p>
      <w:pPr>
        <w:spacing w:before="51" w:line="221" w:lineRule="auto"/>
        <w:ind w:left="510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10"/>
          <w:sz w:val="22"/>
          <w:szCs w:val="22"/>
        </w:rPr>
        <w:t>各相关单位要认真执行本规程，施行过程中如有不明之处</w:t>
      </w:r>
    </w:p>
    <w:p>
      <w:pPr>
        <w:spacing w:before="35" w:line="293" w:lineRule="exact"/>
        <w:ind w:left="120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14"/>
          <w:position w:val="4"/>
          <w:sz w:val="22"/>
          <w:szCs w:val="22"/>
        </w:rPr>
        <w:t>及修改意见请及时反馈给天津市公路管理局。</w:t>
      </w:r>
    </w:p>
    <w:p>
      <w:pPr>
        <w:spacing w:line="222" w:lineRule="auto"/>
        <w:ind w:left="510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14"/>
          <w:sz w:val="22"/>
          <w:szCs w:val="22"/>
        </w:rPr>
        <w:t>本规程由天津市公路管理局负责解释。</w:t>
      </w:r>
    </w:p>
    <w:p>
      <w:pPr>
        <w:spacing w:before="26" w:line="291" w:lineRule="exact"/>
        <w:ind w:left="510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13"/>
          <w:position w:val="4"/>
          <w:sz w:val="22"/>
          <w:szCs w:val="22"/>
        </w:rPr>
        <w:t>本规程由天津市建设管理委员会负责管理。</w:t>
      </w:r>
    </w:p>
    <w:p>
      <w:pPr>
        <w:spacing w:before="1" w:line="223" w:lineRule="auto"/>
        <w:ind w:left="510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16"/>
          <w:sz w:val="22"/>
          <w:szCs w:val="22"/>
        </w:rPr>
        <w:t>特此通知</w:t>
      </w:r>
    </w:p>
    <w:p>
      <w:pPr>
        <w:spacing w:before="312" w:line="222" w:lineRule="auto"/>
        <w:ind w:left="3530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13"/>
          <w:sz w:val="22"/>
          <w:szCs w:val="22"/>
        </w:rPr>
        <w:t>二〇</w:t>
      </w:r>
      <w:r>
        <w:rPr>
          <w:rFonts w:ascii="SimSun" w:eastAsia="SimSun" w:hAnsi="SimSun" w:cs="SimSun"/>
          <w:spacing w:val="-13"/>
          <w:sz w:val="22"/>
          <w:szCs w:val="22"/>
        </w:rPr>
        <w:t xml:space="preserve">O </w:t>
      </w:r>
      <w:r>
        <w:rPr>
          <w:rFonts w:ascii="FangSong" w:eastAsia="FangSong" w:hAnsi="FangSong" w:cs="FangSong"/>
          <w:spacing w:val="-13"/>
          <w:sz w:val="22"/>
          <w:szCs w:val="22"/>
        </w:rPr>
        <w:t>五年十二月三十日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  <w:sectPr>
          <w:pgSz w:w="8150" w:h="11650"/>
          <w:pgMar w:top="959" w:right="1080" w:bottom="0" w:left="1159" w:header="0" w:footer="0" w:gutter="0"/>
          <w:pgNumType w:start="6"/>
          <w:cols w:space="708"/>
        </w:sect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72" w:line="228" w:lineRule="auto"/>
        <w:ind w:left="23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b/>
          <w:bCs/>
          <w:spacing w:val="-13"/>
          <w:sz w:val="22"/>
          <w:szCs w:val="22"/>
        </w:rPr>
        <w:t>主题词：</w:t>
      </w:r>
      <w:r>
        <w:rPr>
          <w:rFonts w:ascii="FangSong" w:eastAsia="FangSong" w:hAnsi="FangSong" w:cs="FangSong"/>
          <w:spacing w:val="104"/>
          <w:sz w:val="22"/>
          <w:szCs w:val="22"/>
        </w:rPr>
        <w:t xml:space="preserve"> </w:t>
      </w:r>
      <w:r>
        <w:rPr>
          <w:rFonts w:ascii="FangSong" w:eastAsia="FangSong" w:hAnsi="FangSong" w:cs="FangSong"/>
          <w:spacing w:val="-13"/>
          <w:sz w:val="22"/>
          <w:szCs w:val="22"/>
        </w:rPr>
        <w:t>城乡建设</w:t>
      </w:r>
      <w:r>
        <w:rPr>
          <w:rFonts w:ascii="FangSong" w:eastAsia="FangSong" w:hAnsi="FangSong" w:cs="FangSong"/>
          <w:spacing w:val="24"/>
          <w:sz w:val="22"/>
          <w:szCs w:val="22"/>
        </w:rPr>
        <w:t xml:space="preserve">  </w:t>
      </w:r>
      <w:r>
        <w:rPr>
          <w:rFonts w:ascii="FangSong" w:eastAsia="FangSong" w:hAnsi="FangSong" w:cs="FangSong"/>
          <w:spacing w:val="-13"/>
          <w:sz w:val="22"/>
          <w:szCs w:val="22"/>
        </w:rPr>
        <w:t>公路△</w:t>
      </w:r>
      <w:r>
        <w:rPr>
          <w:rFonts w:ascii="FangSong" w:eastAsia="FangSong" w:hAnsi="FangSong" w:cs="FangSong"/>
          <w:spacing w:val="29"/>
          <w:sz w:val="22"/>
          <w:szCs w:val="22"/>
        </w:rPr>
        <w:t xml:space="preserve">  </w:t>
      </w:r>
      <w:r>
        <w:rPr>
          <w:rFonts w:ascii="FangSong" w:eastAsia="FangSong" w:hAnsi="FangSong" w:cs="FangSong"/>
          <w:spacing w:val="-13"/>
          <w:sz w:val="22"/>
          <w:szCs w:val="22"/>
        </w:rPr>
        <w:t>施工△</w:t>
      </w:r>
      <w:r>
        <w:rPr>
          <w:rFonts w:ascii="FangSong" w:eastAsia="FangSong" w:hAnsi="FangSong" w:cs="FangSong"/>
          <w:spacing w:val="22"/>
          <w:sz w:val="22"/>
          <w:szCs w:val="22"/>
        </w:rPr>
        <w:t xml:space="preserve">  </w:t>
      </w:r>
      <w:r>
        <w:rPr>
          <w:rFonts w:ascii="FangSong" w:eastAsia="FangSong" w:hAnsi="FangSong" w:cs="FangSong"/>
          <w:spacing w:val="-13"/>
          <w:sz w:val="22"/>
          <w:szCs w:val="22"/>
        </w:rPr>
        <w:t>技术</w:t>
      </w:r>
      <w:r>
        <w:rPr>
          <w:rFonts w:ascii="FangSong" w:eastAsia="FangSong" w:hAnsi="FangSong" w:cs="FangSong"/>
          <w:spacing w:val="33"/>
          <w:sz w:val="22"/>
          <w:szCs w:val="22"/>
        </w:rPr>
        <w:t xml:space="preserve">  </w:t>
      </w:r>
      <w:r>
        <w:rPr>
          <w:rFonts w:ascii="FangSong" w:eastAsia="FangSong" w:hAnsi="FangSong" w:cs="FangSong"/>
          <w:spacing w:val="-13"/>
          <w:sz w:val="22"/>
          <w:szCs w:val="22"/>
        </w:rPr>
        <w:t>通知</w:t>
      </w:r>
    </w:p>
    <w:p>
      <w:pPr>
        <w:spacing w:line="30" w:lineRule="exact"/>
      </w:pPr>
      <w:r>
        <w:drawing>
          <wp:inline distT="0" distB="0" distL="0" distR="0">
            <wp:extent cx="3752832" cy="1901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52832" cy="19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" w:line="221" w:lineRule="auto"/>
        <w:jc w:val="right"/>
        <w:rPr>
          <w:rFonts w:ascii="SimSun" w:eastAsia="SimSun" w:hAnsi="SimSun" w:cs="SimSun"/>
          <w:sz w:val="22"/>
          <w:szCs w:val="22"/>
        </w:rPr>
      </w:pPr>
      <w:r>
        <w:rPr>
          <w:rFonts w:ascii="FangSong" w:eastAsia="FangSong" w:hAnsi="FangSong" w:cs="FangSong"/>
          <w:spacing w:val="3"/>
          <w:position w:val="1"/>
          <w:sz w:val="22"/>
          <w:szCs w:val="22"/>
          <w:u w:val="single" w:color="auto"/>
        </w:rPr>
        <w:t>天津市建设管理委员会办公室</w:t>
      </w:r>
      <w:r>
        <w:rPr>
          <w:rFonts w:ascii="FangSong" w:eastAsia="FangSong" w:hAnsi="FangSong" w:cs="FangSong"/>
          <w:spacing w:val="16"/>
          <w:position w:val="1"/>
          <w:sz w:val="22"/>
          <w:szCs w:val="22"/>
          <w:u w:val="single" w:color="auto"/>
        </w:rPr>
        <w:t xml:space="preserve">    </w:t>
      </w:r>
      <w:r>
        <w:rPr>
          <w:rFonts w:ascii="KaiTi" w:eastAsia="KaiTi" w:hAnsi="KaiTi" w:cs="KaiTi"/>
          <w:spacing w:val="3"/>
          <w:position w:val="2"/>
          <w:sz w:val="22"/>
          <w:szCs w:val="22"/>
          <w:u w:val="single" w:color="auto"/>
        </w:rPr>
        <w:t>2005年12</w:t>
      </w:r>
      <w:r>
        <w:rPr>
          <w:rFonts w:ascii="FangSong" w:eastAsia="FangSong" w:hAnsi="FangSong" w:cs="FangSong"/>
          <w:spacing w:val="3"/>
          <w:position w:val="2"/>
          <w:sz w:val="22"/>
          <w:szCs w:val="22"/>
          <w:u w:val="single" w:color="auto"/>
        </w:rPr>
        <w:t>月31日</w:t>
      </w:r>
      <w:r>
        <w:rPr>
          <w:rFonts w:ascii="FangSong" w:eastAsia="FangSong" w:hAnsi="FangSong" w:cs="FangSong"/>
          <w:spacing w:val="3"/>
          <w:position w:val="2"/>
          <w:sz w:val="22"/>
          <w:szCs w:val="22"/>
          <w:u w:val="single" w:color="auto"/>
        </w:rPr>
        <w:t xml:space="preserve">    </w:t>
      </w:r>
      <w:r>
        <w:rPr>
          <w:rFonts w:ascii="SimSun" w:eastAsia="SimSun" w:hAnsi="SimSun" w:cs="SimSun"/>
          <w:spacing w:val="3"/>
          <w:sz w:val="22"/>
          <w:szCs w:val="22"/>
          <w:u w:val="single" w:color="auto"/>
        </w:rPr>
        <w:t>印发</w:t>
      </w:r>
    </w:p>
    <w:p>
      <w:pPr>
        <w:spacing w:line="221" w:lineRule="auto"/>
        <w:rPr>
          <w:rFonts w:ascii="SimSun" w:eastAsia="SimSun" w:hAnsi="SimSun" w:cs="SimSun"/>
          <w:sz w:val="22"/>
          <w:szCs w:val="22"/>
        </w:rPr>
        <w:sectPr>
          <w:type w:val="nextPage"/>
          <w:pgSz w:w="8150" w:h="11650"/>
          <w:pgMar w:top="959" w:right="1080" w:bottom="0" w:left="1159" w:header="0" w:footer="0" w:gutter="0"/>
          <w:pgNumType w:start="7"/>
          <w:cols w:space="708"/>
          <w:titlePg w:val="0"/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85" w:line="222" w:lineRule="auto"/>
        <w:ind w:left="2156"/>
        <w:rPr>
          <w:sz w:val="26"/>
          <w:szCs w:val="26"/>
        </w:rPr>
      </w:pPr>
      <w:r>
        <w:rPr>
          <w:b/>
          <w:bCs/>
          <w:spacing w:val="-8"/>
          <w:sz w:val="26"/>
          <w:szCs w:val="26"/>
        </w:rPr>
        <w:t>前</w:t>
      </w:r>
      <w:r>
        <w:rPr>
          <w:spacing w:val="12"/>
          <w:sz w:val="26"/>
          <w:szCs w:val="26"/>
        </w:rPr>
        <w:t xml:space="preserve">       </w:t>
      </w:r>
      <w:r>
        <w:rPr>
          <w:b/>
          <w:bCs/>
          <w:spacing w:val="-8"/>
          <w:sz w:val="26"/>
          <w:szCs w:val="26"/>
        </w:rPr>
        <w:t>言</w:t>
      </w:r>
    </w:p>
    <w:p>
      <w:pPr>
        <w:spacing w:before="216" w:line="283" w:lineRule="auto"/>
        <w:ind w:left="42" w:right="40" w:firstLine="419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随着我国经济建设和公路建设的飞速发展，道路交通量和轴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载的急剧增加，以及投入运营公路里程的增加，道路养</w:t>
      </w:r>
      <w:r>
        <w:rPr>
          <w:rFonts w:ascii="SimSun" w:eastAsia="SimSun" w:hAnsi="SimSun" w:cs="SimSun"/>
          <w:spacing w:val="4"/>
          <w:sz w:val="20"/>
          <w:szCs w:val="20"/>
        </w:rPr>
        <w:t>护的压力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也随之增大。由于各种早期破坏现象的不断发生，公路养护面临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着越来越严峻的挑战，使得养护水平和道路服务质量日益突出。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面对“安全、舒适、快速”的新要求和挑战，传统的公路养护方式难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以适应公路交通的发展，预防性养护技术措施日益受到重视。</w:t>
      </w:r>
    </w:p>
    <w:p>
      <w:pPr>
        <w:spacing w:before="78" w:line="281" w:lineRule="auto"/>
        <w:ind w:left="42" w:firstLine="419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目前我国道路结构多为半刚性结构型式，路面的开裂</w:t>
      </w:r>
      <w:r>
        <w:rPr>
          <w:rFonts w:ascii="SimSun" w:eastAsia="SimSun" w:hAnsi="SimSun" w:cs="SimSun"/>
          <w:spacing w:val="4"/>
          <w:sz w:val="20"/>
          <w:szCs w:val="20"/>
        </w:rPr>
        <w:t>问题尤</w:t>
      </w:r>
      <w:r>
        <w:rPr>
          <w:rFonts w:ascii="SimSun" w:eastAsia="SimSun" w:hAnsi="SimSun" w:cs="SimSun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5"/>
          <w:sz w:val="20"/>
          <w:szCs w:val="20"/>
        </w:rPr>
        <w:t>为突出。裂缝是公路路面各类破损中最常见、</w:t>
      </w:r>
      <w:r>
        <w:rPr>
          <w:rFonts w:ascii="SimSun" w:eastAsia="SimSun" w:hAnsi="SimSun" w:cs="SimSun"/>
          <w:spacing w:val="4"/>
          <w:sz w:val="20"/>
          <w:szCs w:val="20"/>
        </w:rPr>
        <w:t>最易发生和最早期</w:t>
      </w:r>
      <w:r>
        <w:rPr>
          <w:rFonts w:ascii="SimSun" w:eastAsia="SimSun" w:hAnsi="SimSun" w:cs="SimSun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产生的病害之一，它几乎伴随着公路的整个使用期，并随着路龄 </w:t>
      </w:r>
      <w:r>
        <w:rPr>
          <w:rFonts w:ascii="SimSun" w:eastAsia="SimSun" w:hAnsi="SimSun" w:cs="SimSun"/>
          <w:spacing w:val="12"/>
          <w:sz w:val="20"/>
          <w:szCs w:val="20"/>
        </w:rPr>
        <w:t>的增长而加重。路面出现裂缝不但影响路容美观和行车的舒适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1"/>
          <w:sz w:val="20"/>
          <w:szCs w:val="20"/>
        </w:rPr>
        <w:t>性，而且容易扩展造成结构性破坏，缩短道路的使用寿命。沥青混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凝土路面出现裂缝，如不及时进行密封修补，雨雪水及其他杂物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就会沿裂缝进入基层甚至侵入路基，导致路面承载</w:t>
      </w:r>
      <w:r>
        <w:rPr>
          <w:rFonts w:ascii="SimSun" w:eastAsia="SimSun" w:hAnsi="SimSun" w:cs="SimSun"/>
          <w:spacing w:val="4"/>
          <w:sz w:val="20"/>
          <w:szCs w:val="20"/>
        </w:rPr>
        <w:t>能力下降，加</w:t>
      </w:r>
      <w:r>
        <w:rPr>
          <w:rFonts w:ascii="SimSun" w:eastAsia="SimSun" w:hAnsi="SimSun" w:cs="SimSun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速路面局部或成片损坏。面对重载交通下沥青路面的快速养护，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公路裂缝密封已成为各种养护措施中最基本的措施之一，也是日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5"/>
          <w:sz w:val="20"/>
          <w:szCs w:val="20"/>
        </w:rPr>
        <w:t>常养护工作中的一项重要内容。裂缝密封是一种</w:t>
      </w:r>
      <w:r>
        <w:rPr>
          <w:rFonts w:ascii="SimSun" w:eastAsia="SimSun" w:hAnsi="SimSun" w:cs="SimSun"/>
          <w:spacing w:val="4"/>
          <w:sz w:val="20"/>
          <w:szCs w:val="20"/>
        </w:rPr>
        <w:t>经济有效的养护</w:t>
      </w:r>
      <w:r>
        <w:rPr>
          <w:rFonts w:ascii="SimSun" w:eastAsia="SimSun" w:hAnsi="SimSun" w:cs="SimSun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6"/>
          <w:sz w:val="20"/>
          <w:szCs w:val="20"/>
        </w:rPr>
        <w:t>方法，其带来的收益(延长道路使用寿命)大大超过实施密封的成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本。实践证明，及时密封裂缝可有效减缓道路状况的恶化，性能优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6"/>
          <w:sz w:val="20"/>
          <w:szCs w:val="20"/>
        </w:rPr>
        <w:t>越的密封胶和合理的施工工艺可更长久的改善路面状况，延长道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路的使用寿命。</w:t>
      </w:r>
    </w:p>
    <w:p>
      <w:pPr>
        <w:spacing w:before="152" w:line="269" w:lineRule="auto"/>
        <w:ind w:left="42" w:right="81" w:firstLine="419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为了统一标准，规范沥青路面裂缝密封的施工技术，确保沥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青路面裂缝密封的施工质量，延长道路的使用寿命，按照市建委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的统一安排，编制了《公路沥青路面裂缝密封施工技术规程》(以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7"/>
          <w:sz w:val="20"/>
          <w:szCs w:val="20"/>
        </w:rPr>
        <w:t>下简称《规程》)。</w:t>
      </w:r>
    </w:p>
    <w:p>
      <w:pPr>
        <w:spacing w:before="52" w:line="262" w:lineRule="auto"/>
        <w:ind w:left="42" w:right="88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本《规程》的编制是根据多年来天津市沥青路面裂缝密</w:t>
      </w:r>
      <w:r>
        <w:rPr>
          <w:rFonts w:ascii="SimSun" w:eastAsia="SimSun" w:hAnsi="SimSun" w:cs="SimSun"/>
          <w:spacing w:val="4"/>
          <w:sz w:val="20"/>
          <w:szCs w:val="20"/>
        </w:rPr>
        <w:t>封施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工的经验成果，并进行了大量专题试验研究，以交通部颁发的《公</w:t>
      </w:r>
    </w:p>
    <w:p>
      <w:pPr>
        <w:spacing w:line="262" w:lineRule="auto"/>
        <w:rPr>
          <w:rFonts w:ascii="SimSun" w:eastAsia="SimSun" w:hAnsi="SimSun" w:cs="SimSun"/>
          <w:sz w:val="20"/>
          <w:szCs w:val="20"/>
        </w:rPr>
        <w:sectPr>
          <w:pgSz w:w="8050" w:h="11580"/>
          <w:pgMar w:top="984" w:right="959" w:bottom="0" w:left="1207" w:header="0" w:footer="0" w:gutter="0"/>
          <w:pgNumType w:start="8"/>
          <w:cols w:space="708"/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65" w:line="360" w:lineRule="exac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position w:val="12"/>
          <w:sz w:val="20"/>
          <w:szCs w:val="20"/>
        </w:rPr>
        <w:t>路改性沥青路面施工技术规范》及《公路工程质</w:t>
      </w:r>
      <w:r>
        <w:rPr>
          <w:rFonts w:ascii="SimSun" w:eastAsia="SimSun" w:hAnsi="SimSun" w:cs="SimSun"/>
          <w:spacing w:val="2"/>
          <w:position w:val="12"/>
          <w:sz w:val="20"/>
          <w:szCs w:val="20"/>
        </w:rPr>
        <w:t>量检验评定标准》</w:t>
      </w:r>
    </w:p>
    <w:p>
      <w:pPr>
        <w:spacing w:line="218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为依据，引用了行业相关技术标准。</w:t>
      </w:r>
    </w:p>
    <w:p>
      <w:pPr>
        <w:spacing w:before="54" w:line="271" w:lineRule="auto"/>
        <w:ind w:right="129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0"/>
          <w:sz w:val="20"/>
          <w:szCs w:val="20"/>
        </w:rPr>
        <w:t>本《规程》主要内容包括：总则、术语符号、</w:t>
      </w:r>
      <w:r>
        <w:rPr>
          <w:rFonts w:ascii="SimSun" w:eastAsia="SimSun" w:hAnsi="SimSun" w:cs="SimSun"/>
          <w:spacing w:val="2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0"/>
          <w:sz w:val="20"/>
          <w:szCs w:val="20"/>
        </w:rPr>
        <w:t>一般规定、材料</w:t>
      </w:r>
      <w:r>
        <w:rPr>
          <w:rFonts w:ascii="SimSun" w:eastAsia="SimSun" w:hAnsi="SimSun" w:cs="SimSun"/>
          <w:spacing w:val="-21"/>
          <w:sz w:val="20"/>
          <w:szCs w:val="20"/>
        </w:rPr>
        <w:t>、施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工、质量检验评定标准、条文说明等。</w:t>
      </w:r>
    </w:p>
    <w:p>
      <w:pPr>
        <w:spacing w:before="40" w:line="262" w:lineRule="auto"/>
        <w:ind w:right="131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本《规程》管理权和解释权归天津市建设管理委员会，日常解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释工作由本《规程》主编单位负责。</w:t>
      </w:r>
    </w:p>
    <w:p>
      <w:pPr>
        <w:spacing w:before="61" w:line="272" w:lineRule="auto"/>
        <w:ind w:right="103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请各有关单位将执行本《规程》中所发现的问题和</w:t>
      </w:r>
      <w:r>
        <w:rPr>
          <w:rFonts w:ascii="SimSun" w:eastAsia="SimSun" w:hAnsi="SimSun" w:cs="SimSun"/>
          <w:spacing w:val="5"/>
          <w:sz w:val="20"/>
          <w:szCs w:val="20"/>
        </w:rPr>
        <w:t>意见函告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1"/>
          <w:sz w:val="20"/>
          <w:szCs w:val="20"/>
        </w:rPr>
        <w:t>天津市公路管理局(地址：天津市河东区东兴路218号邮政编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码：300170),以便下次修订时参考。</w:t>
      </w: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65" w:line="221" w:lineRule="auto"/>
        <w:ind w:left="422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1"/>
          <w:sz w:val="20"/>
          <w:szCs w:val="20"/>
        </w:rPr>
        <w:t>主编单位</w:t>
      </w:r>
      <w:r>
        <w:rPr>
          <w:rFonts w:ascii="SimSun" w:eastAsia="SimSun" w:hAnsi="SimSun" w:cs="SimSun"/>
          <w:b/>
          <w:bCs/>
          <w:spacing w:val="1"/>
          <w:sz w:val="20"/>
          <w:szCs w:val="20"/>
        </w:rPr>
        <w:t>：</w:t>
      </w:r>
      <w:r>
        <w:rPr>
          <w:rFonts w:ascii="SimSun" w:eastAsia="SimSun" w:hAnsi="SimSun" w:cs="SimSun"/>
          <w:spacing w:val="1"/>
          <w:sz w:val="20"/>
          <w:szCs w:val="20"/>
        </w:rPr>
        <w:t>天津市公路管理局</w:t>
      </w:r>
    </w:p>
    <w:p>
      <w:pPr>
        <w:pStyle w:val="BodyText"/>
        <w:spacing w:before="83" w:line="222" w:lineRule="auto"/>
        <w:ind w:left="422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-8"/>
          <w:sz w:val="20"/>
          <w:szCs w:val="20"/>
        </w:rPr>
        <w:t>主要起草人</w:t>
      </w:r>
      <w:r>
        <w:rPr>
          <w:rFonts w:ascii="SimSun" w:eastAsia="SimSun" w:hAnsi="SimSun" w:cs="SimSun"/>
          <w:b/>
          <w:bCs/>
          <w:spacing w:val="-8"/>
          <w:sz w:val="20"/>
          <w:szCs w:val="20"/>
        </w:rPr>
        <w:t>：</w:t>
      </w:r>
      <w:r>
        <w:rPr>
          <w:rFonts w:ascii="SimSun" w:eastAsia="SimSun" w:hAnsi="SimSun" w:cs="SimSun"/>
          <w:spacing w:val="-8"/>
          <w:sz w:val="20"/>
          <w:szCs w:val="20"/>
        </w:rPr>
        <w:t>王树行  张</w:t>
      </w:r>
      <w:r>
        <w:rPr>
          <w:rFonts w:ascii="SimSun" w:eastAsia="SimSun" w:hAnsi="SimSun" w:cs="SimSun"/>
          <w:spacing w:val="-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永 明</w:t>
      </w:r>
      <w:r>
        <w:rPr>
          <w:rFonts w:ascii="SimSun" w:eastAsia="SimSun" w:hAnsi="SimSun" w:cs="SimSun"/>
          <w:spacing w:val="-3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魏</w:t>
      </w:r>
      <w:r>
        <w:rPr>
          <w:rFonts w:ascii="SimSun" w:eastAsia="SimSun" w:hAnsi="SimSun" w:cs="SimSun"/>
          <w:spacing w:val="-3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玉 国</w:t>
      </w:r>
      <w:r>
        <w:rPr>
          <w:rFonts w:ascii="SimSun" w:eastAsia="SimSun" w:hAnsi="SimSun" w:cs="SimSun"/>
          <w:spacing w:val="-2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汪</w:t>
      </w:r>
      <w:r>
        <w:rPr>
          <w:rFonts w:ascii="SimSun" w:eastAsia="SimSun" w:hAnsi="SimSun" w:cs="SimSun"/>
          <w:spacing w:val="-2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东</w:t>
      </w:r>
      <w:r>
        <w:rPr>
          <w:rFonts w:ascii="SimSun" w:eastAsia="SimSun" w:hAnsi="SimSun" w:cs="SimSun"/>
          <w:spacing w:val="-2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升</w:t>
      </w:r>
    </w:p>
    <w:p>
      <w:pPr>
        <w:spacing w:line="222" w:lineRule="auto"/>
        <w:rPr>
          <w:rFonts w:ascii="SimSun" w:eastAsia="SimSun" w:hAnsi="SimSun" w:cs="SimSun"/>
          <w:sz w:val="20"/>
          <w:szCs w:val="20"/>
        </w:rPr>
        <w:sectPr>
          <w:pgSz w:w="8080" w:h="11600"/>
          <w:pgMar w:top="985" w:right="1212" w:bottom="0" w:left="970" w:header="0" w:footer="0" w:gutter="0"/>
          <w:pgNumType w:start="9"/>
          <w:cols w:space="708"/>
        </w:sectPr>
      </w:pPr>
    </w:p>
    <w:p>
      <w:pPr>
        <w:spacing w:line="354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76271557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spacing w:before="68" w:line="221" w:lineRule="auto"/>
            <w:ind w:left="2576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5"/>
              <w:sz w:val="21"/>
              <w:szCs w:val="21"/>
            </w:rPr>
            <w:t>目</w:t>
          </w:r>
          <w:r>
            <w:rPr>
              <w:rFonts w:ascii="SimSun" w:eastAsia="SimSun" w:hAnsi="SimSun" w:cs="SimSun"/>
              <w:spacing w:val="39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5"/>
              <w:sz w:val="21"/>
              <w:szCs w:val="21"/>
            </w:rPr>
            <w:t>录</w:t>
          </w:r>
        </w:p>
        <w:p>
          <w:pPr>
            <w:tabs>
              <w:tab w:val="right" w:leader="dot" w:pos="5712"/>
            </w:tabs>
            <w:spacing w:before="42" w:line="212" w:lineRule="auto"/>
            <w:ind w:left="6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>1</w:t>
          </w: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z w:val="21"/>
              <w:szCs w:val="21"/>
            </w:rPr>
            <w:t>总则</w:t>
          </w:r>
          <w:r>
            <w:rPr>
              <w:rFonts w:ascii="SimSun" w:eastAsia="SimSun" w:hAnsi="SimSun" w:cs="SimSun"/>
              <w:spacing w:val="70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-6"/>
              <w:sz w:val="21"/>
              <w:szCs w:val="21"/>
            </w:rPr>
            <w:t>(</w:t>
          </w:r>
          <w:r>
            <w:rPr>
              <w:rFonts w:ascii="Times New Roman" w:eastAsia="Times New Roman" w:hAnsi="Times New Roman" w:cs="Times New Roman"/>
              <w:spacing w:val="-27"/>
              <w:sz w:val="21"/>
              <w:szCs w:val="21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1)</w:t>
            </w:r>
          </w:hyperlink>
        </w:p>
        <w:p>
          <w:pPr>
            <w:tabs>
              <w:tab w:val="right" w:leader="dot" w:pos="5712"/>
            </w:tabs>
            <w:spacing w:before="78" w:line="212" w:lineRule="auto"/>
            <w:ind w:left="6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9"/>
              <w:sz w:val="21"/>
              <w:szCs w:val="21"/>
            </w:rPr>
            <w:t>2</w:t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-19"/>
              <w:sz w:val="21"/>
              <w:szCs w:val="21"/>
            </w:rPr>
            <w:t>术语、符号</w:t>
          </w:r>
          <w:r>
            <w:rPr>
              <w:rFonts w:ascii="SimSun" w:eastAsia="SimSun" w:hAnsi="SimSun" w:cs="SimSun"/>
              <w:spacing w:val="2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98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(</w:t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2)</w:t>
            </w:r>
          </w:hyperlink>
        </w:p>
        <w:p>
          <w:pPr>
            <w:tabs>
              <w:tab w:val="right" w:leader="dot" w:pos="5732"/>
            </w:tabs>
            <w:spacing w:before="78" w:line="212" w:lineRule="auto"/>
            <w:ind w:left="346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 xml:space="preserve">2.1    </w:t>
          </w:r>
          <w:r>
            <w:rPr>
              <w:rFonts w:ascii="SimSun" w:eastAsia="SimSun" w:hAnsi="SimSun" w:cs="SimSun"/>
              <w:spacing w:val="1"/>
              <w:sz w:val="21"/>
              <w:szCs w:val="21"/>
            </w:rPr>
            <w:t>术语</w:t>
          </w:r>
          <w:r>
            <w:rPr>
              <w:rFonts w:ascii="SimSun" w:eastAsia="SimSun" w:hAnsi="SimSun" w:cs="SimSun"/>
              <w:spacing w:val="5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98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(</w:t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2)</w:t>
            </w:r>
          </w:hyperlink>
        </w:p>
        <w:p>
          <w:pPr>
            <w:tabs>
              <w:tab w:val="right" w:leader="dot" w:pos="5712"/>
            </w:tabs>
            <w:spacing w:before="71" w:line="212" w:lineRule="auto"/>
            <w:ind w:left="346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4"/>
              <w:sz w:val="21"/>
              <w:szCs w:val="21"/>
            </w:rPr>
            <w:t>2.2</w:t>
          </w:r>
          <w:r>
            <w:rPr>
              <w:rFonts w:ascii="Times New Roman" w:eastAsia="Times New Roman" w:hAnsi="Times New Roman" w:cs="Times New Roman"/>
              <w:b/>
              <w:bCs/>
              <w:spacing w:val="1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-4"/>
              <w:sz w:val="21"/>
              <w:szCs w:val="21"/>
            </w:rPr>
            <w:t>符号</w:t>
          </w:r>
          <w:r>
            <w:rPr>
              <w:rFonts w:ascii="SimSun" w:eastAsia="SimSun" w:hAnsi="SimSun" w:cs="SimSun"/>
              <w:spacing w:val="3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92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3"/>
              <w:sz w:val="21"/>
              <w:szCs w:val="21"/>
            </w:rPr>
            <w:t>(</w:t>
          </w:r>
          <w:hyperlink w:anchor="bookmark4" w:history="1"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1"/>
                <w:szCs w:val="21"/>
              </w:rPr>
              <w:t>2)</w:t>
            </w:r>
          </w:hyperlink>
        </w:p>
        <w:p>
          <w:pPr>
            <w:tabs>
              <w:tab w:val="right" w:leader="dot" w:pos="5712"/>
            </w:tabs>
            <w:spacing w:before="79" w:line="212" w:lineRule="auto"/>
            <w:ind w:left="6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"/>
              <w:sz w:val="21"/>
              <w:szCs w:val="21"/>
            </w:rPr>
            <w:t xml:space="preserve">3    </w:t>
          </w:r>
          <w:r>
            <w:rPr>
              <w:rFonts w:ascii="SimSun" w:eastAsia="SimSun" w:hAnsi="SimSun" w:cs="SimSun"/>
              <w:b/>
              <w:bCs/>
              <w:spacing w:val="-1"/>
              <w:sz w:val="21"/>
              <w:szCs w:val="21"/>
            </w:rPr>
            <w:t>一般规定</w:t>
          </w:r>
          <w:r>
            <w:rPr>
              <w:rFonts w:ascii="SimSun" w:eastAsia="SimSun" w:hAnsi="SimSun" w:cs="SimSun"/>
              <w:spacing w:val="39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93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3"/>
              <w:sz w:val="21"/>
              <w:szCs w:val="21"/>
            </w:rPr>
            <w:t>(</w:t>
          </w:r>
          <w:hyperlink w:anchor="bookmark5" w:history="1"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1"/>
                <w:szCs w:val="21"/>
              </w:rPr>
              <w:t>3)</w:t>
            </w:r>
          </w:hyperlink>
        </w:p>
        <w:p>
          <w:pPr>
            <w:tabs>
              <w:tab w:val="right" w:leader="dot" w:pos="5702"/>
            </w:tabs>
            <w:spacing w:before="69" w:line="212" w:lineRule="auto"/>
            <w:ind w:left="6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"/>
              <w:sz w:val="21"/>
              <w:szCs w:val="21"/>
            </w:rPr>
            <w:t>4</w:t>
          </w:r>
          <w:r>
            <w:rPr>
              <w:rFonts w:ascii="Times New Roman" w:eastAsia="Times New Roman" w:hAnsi="Times New Roman" w:cs="Times New Roman"/>
              <w:b/>
              <w:bCs/>
              <w:spacing w:val="3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-1"/>
              <w:sz w:val="21"/>
              <w:szCs w:val="21"/>
            </w:rPr>
            <w:t>材料</w:t>
          </w:r>
          <w:r>
            <w:rPr>
              <w:rFonts w:ascii="SimSun" w:eastAsia="SimSun" w:hAnsi="SimSun" w:cs="SimSun"/>
              <w:spacing w:val="4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93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3"/>
              <w:sz w:val="21"/>
              <w:szCs w:val="21"/>
            </w:rPr>
            <w:t>(</w:t>
          </w:r>
          <w:hyperlink w:anchor="bookmark6" w:history="1"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1"/>
                <w:szCs w:val="21"/>
              </w:rPr>
              <w:t>4)</w:t>
            </w:r>
          </w:hyperlink>
        </w:p>
        <w:p>
          <w:pPr>
            <w:tabs>
              <w:tab w:val="right" w:leader="dot" w:pos="5702"/>
            </w:tabs>
            <w:spacing w:before="59" w:line="212" w:lineRule="auto"/>
            <w:ind w:left="6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b/>
              <w:bCs/>
              <w:sz w:val="21"/>
              <w:szCs w:val="21"/>
            </w:rPr>
            <w:t xml:space="preserve">5    </w:t>
          </w:r>
          <w:r>
            <w:rPr>
              <w:rFonts w:ascii="SimSun" w:eastAsia="SimSun" w:hAnsi="SimSun" w:cs="SimSun"/>
              <w:b/>
              <w:bCs/>
              <w:sz w:val="21"/>
              <w:szCs w:val="21"/>
            </w:rPr>
            <w:t>施工</w:t>
          </w:r>
          <w:r>
            <w:rPr>
              <w:rFonts w:ascii="SimSun" w:eastAsia="SimSun" w:hAnsi="SimSun" w:cs="SimSun"/>
              <w:spacing w:val="4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93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3"/>
              <w:sz w:val="21"/>
              <w:szCs w:val="21"/>
            </w:rPr>
            <w:t>(</w:t>
          </w:r>
          <w:hyperlink w:anchor="bookmark7" w:history="1"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1"/>
                <w:szCs w:val="21"/>
              </w:rPr>
              <w:t>8)</w:t>
            </w:r>
          </w:hyperlink>
        </w:p>
        <w:p>
          <w:pPr>
            <w:tabs>
              <w:tab w:val="right" w:leader="dot" w:pos="5712"/>
            </w:tabs>
            <w:spacing w:before="69" w:line="212" w:lineRule="auto"/>
            <w:ind w:left="346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1"/>
              <w:sz w:val="21"/>
              <w:szCs w:val="21"/>
            </w:rPr>
            <w:t xml:space="preserve">5.1    </w:t>
          </w:r>
          <w:r>
            <w:rPr>
              <w:rFonts w:ascii="SimSun" w:eastAsia="SimSun" w:hAnsi="SimSun" w:cs="SimSun"/>
              <w:b/>
              <w:bCs/>
              <w:spacing w:val="1"/>
              <w:sz w:val="21"/>
              <w:szCs w:val="21"/>
            </w:rPr>
            <w:t>施工准备</w:t>
          </w:r>
          <w:r>
            <w:rPr>
              <w:rFonts w:ascii="SimSun" w:eastAsia="SimSun" w:hAnsi="SimSun" w:cs="SimSun"/>
              <w:spacing w:val="5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7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3"/>
              <w:sz w:val="21"/>
              <w:szCs w:val="21"/>
            </w:rPr>
            <w:t>(</w:t>
          </w:r>
          <w:hyperlink w:anchor="bookmark8" w:history="1"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1"/>
                <w:szCs w:val="21"/>
              </w:rPr>
              <w:t>8)</w:t>
            </w:r>
          </w:hyperlink>
        </w:p>
        <w:p>
          <w:pPr>
            <w:tabs>
              <w:tab w:val="right" w:leader="dot" w:pos="5712"/>
            </w:tabs>
            <w:spacing w:before="76" w:line="212" w:lineRule="auto"/>
            <w:ind w:left="346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>5.2</w:t>
          </w:r>
          <w:r>
            <w:rPr>
              <w:rFonts w:ascii="Times New Roman" w:eastAsia="Times New Roman" w:hAnsi="Times New Roman" w:cs="Times New Roman"/>
              <w:spacing w:val="18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施工工艺</w:t>
          </w:r>
          <w:r>
            <w:rPr>
              <w:rFonts w:ascii="SimSun" w:eastAsia="SimSun" w:hAnsi="SimSun" w:cs="SimSun"/>
              <w:spacing w:val="3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98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(</w:t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8)</w:t>
            </w:r>
          </w:hyperlink>
        </w:p>
        <w:p>
          <w:pPr>
            <w:tabs>
              <w:tab w:val="right" w:leader="dot" w:pos="5717"/>
            </w:tabs>
            <w:spacing w:before="79" w:line="212" w:lineRule="auto"/>
            <w:ind w:left="6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5"/>
              <w:sz w:val="21"/>
              <w:szCs w:val="21"/>
            </w:rPr>
            <w:t>6</w:t>
          </w:r>
          <w:r>
            <w:rPr>
              <w:rFonts w:ascii="Times New Roman" w:eastAsia="Times New Roman" w:hAnsi="Times New Roman" w:cs="Times New Roman"/>
              <w:spacing w:val="15"/>
              <w:w w:val="101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5"/>
              <w:sz w:val="21"/>
              <w:szCs w:val="21"/>
            </w:rPr>
            <w:t>质量检验评定标准</w:t>
          </w:r>
          <w:r>
            <w:rPr>
              <w:rFonts w:ascii="SimSun" w:eastAsia="SimSun" w:hAnsi="SimSun" w:cs="SimSun"/>
              <w:spacing w:val="39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1"/>
              <w:szCs w:val="21"/>
            </w:rPr>
            <w:t>(</w:t>
          </w:r>
          <w:r>
            <w:rPr>
              <w:rFonts w:ascii="Times New Roman" w:eastAsia="Times New Roman" w:hAnsi="Times New Roman" w:cs="Times New Roman"/>
              <w:spacing w:val="-28"/>
              <w:sz w:val="21"/>
              <w:szCs w:val="21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12)</w:t>
            </w:r>
          </w:hyperlink>
        </w:p>
        <w:p>
          <w:pPr>
            <w:tabs>
              <w:tab w:val="right" w:leader="dot" w:pos="5707"/>
            </w:tabs>
            <w:spacing w:before="79" w:line="212" w:lineRule="auto"/>
            <w:ind w:left="6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SimSun" w:eastAsia="SimSun" w:hAnsi="SimSun" w:cs="SimSun"/>
              <w:spacing w:val="9"/>
              <w:sz w:val="21"/>
              <w:szCs w:val="21"/>
            </w:rPr>
            <w:t>条文说明</w:t>
          </w:r>
          <w:r>
            <w:rPr>
              <w:rFonts w:ascii="SimSun" w:eastAsia="SimSun" w:hAnsi="SimSun" w:cs="SimSun"/>
              <w:spacing w:val="48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-5"/>
              <w:sz w:val="21"/>
              <w:szCs w:val="21"/>
            </w:rPr>
            <w:t>(</w:t>
          </w:r>
          <w:r>
            <w:rPr>
              <w:rFonts w:ascii="Times New Roman" w:eastAsia="Times New Roman" w:hAnsi="Times New Roman" w:cs="Times New Roman"/>
              <w:spacing w:val="-28"/>
              <w:sz w:val="21"/>
              <w:szCs w:val="21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15)</w:t>
            </w:r>
          </w:hyperlink>
        </w:p>
      </w:sdtContent>
    </w:sdt>
    <w:p>
      <w:pPr>
        <w:spacing w:line="212" w:lineRule="auto"/>
        <w:rPr>
          <w:rFonts w:ascii="Times New Roman" w:eastAsia="Times New Roman" w:hAnsi="Times New Roman" w:cs="Times New Roman"/>
          <w:sz w:val="21"/>
          <w:szCs w:val="21"/>
        </w:rPr>
        <w:sectPr>
          <w:pgSz w:w="8090" w:h="11610"/>
          <w:pgMar w:top="986" w:right="1143" w:bottom="0" w:left="1213" w:header="0" w:footer="0" w:gutter="0"/>
          <w:pgNumType w:start="10"/>
          <w:cols w:space="708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88" w:line="222" w:lineRule="auto"/>
        <w:ind w:left="2307"/>
        <w:rPr>
          <w:sz w:val="27"/>
          <w:szCs w:val="27"/>
        </w:rPr>
      </w:pPr>
      <w:r>
        <w:rPr>
          <w:b/>
          <w:bCs/>
          <w:spacing w:val="-17"/>
          <w:sz w:val="27"/>
          <w:szCs w:val="27"/>
        </w:rPr>
        <w:t>1</w:t>
      </w:r>
      <w:r>
        <w:rPr>
          <w:spacing w:val="10"/>
          <w:sz w:val="27"/>
          <w:szCs w:val="27"/>
        </w:rPr>
        <w:t xml:space="preserve">  </w:t>
      </w:r>
      <w:r>
        <w:rPr>
          <w:b/>
          <w:bCs/>
          <w:spacing w:val="-17"/>
          <w:sz w:val="27"/>
          <w:szCs w:val="27"/>
        </w:rPr>
        <w:t>总</w:t>
      </w:r>
      <w:r>
        <w:rPr>
          <w:spacing w:val="13"/>
          <w:sz w:val="27"/>
          <w:szCs w:val="27"/>
        </w:rPr>
        <w:t xml:space="preserve">  </w:t>
      </w:r>
      <w:r>
        <w:rPr>
          <w:b/>
          <w:bCs/>
          <w:spacing w:val="-17"/>
          <w:sz w:val="27"/>
          <w:szCs w:val="27"/>
        </w:rPr>
        <w:t>则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5" w:line="252" w:lineRule="auto"/>
        <w:ind w:left="23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3"/>
          <w:sz w:val="20"/>
          <w:szCs w:val="20"/>
        </w:rPr>
        <w:t>1.0.1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 为规范沥青路面裂缝密封施工技</w:t>
      </w:r>
      <w:r>
        <w:rPr>
          <w:rFonts w:ascii="SimSun" w:eastAsia="SimSun" w:hAnsi="SimSun" w:cs="SimSun"/>
          <w:spacing w:val="2"/>
          <w:sz w:val="20"/>
          <w:szCs w:val="20"/>
        </w:rPr>
        <w:t>术，延长道路使用寿命，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特制定本规程。</w:t>
      </w:r>
    </w:p>
    <w:p>
      <w:pPr>
        <w:spacing w:before="63" w:line="266" w:lineRule="auto"/>
        <w:ind w:left="23" w:right="41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pacing w:val="10"/>
          <w:sz w:val="20"/>
          <w:szCs w:val="20"/>
        </w:rPr>
        <w:t>1.0.2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10"/>
          <w:sz w:val="20"/>
          <w:szCs w:val="20"/>
        </w:rPr>
        <w:t>本规程适用的路面裂缝封缝材料有</w:t>
      </w:r>
      <w:r>
        <w:rPr>
          <w:rFonts w:ascii="SimSun" w:eastAsia="SimSun" w:hAnsi="SimSun" w:cs="SimSun"/>
          <w:spacing w:val="9"/>
          <w:sz w:val="20"/>
          <w:szCs w:val="20"/>
        </w:rPr>
        <w:t>高弹性密封胶、重交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通70#沥青、改性乳化沥青和普通乳化沥青。</w:t>
      </w:r>
    </w:p>
    <w:p>
      <w:pPr>
        <w:spacing w:before="82" w:line="258" w:lineRule="auto"/>
        <w:ind w:left="23" w:right="41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spacing w:val="11"/>
          <w:sz w:val="20"/>
          <w:szCs w:val="20"/>
        </w:rPr>
        <w:t xml:space="preserve">1.0.3   </w:t>
      </w:r>
      <w:r>
        <w:rPr>
          <w:rFonts w:ascii="SimSun" w:eastAsia="SimSun" w:hAnsi="SimSun" w:cs="SimSun"/>
          <w:spacing w:val="11"/>
          <w:sz w:val="20"/>
          <w:szCs w:val="20"/>
        </w:rPr>
        <w:t>本规程适用于公路沥青路面裂缝的密封</w:t>
      </w:r>
      <w:r>
        <w:rPr>
          <w:rFonts w:ascii="SimSun" w:eastAsia="SimSun" w:hAnsi="SimSun" w:cs="SimSun"/>
          <w:spacing w:val="10"/>
          <w:sz w:val="20"/>
          <w:szCs w:val="20"/>
        </w:rPr>
        <w:t>，城市道路裂缝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的密封可参照执行。</w:t>
      </w:r>
    </w:p>
    <w:p>
      <w:pPr>
        <w:spacing w:before="62" w:line="262" w:lineRule="auto"/>
        <w:ind w:left="23" w:right="41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spacing w:val="9"/>
          <w:sz w:val="20"/>
          <w:szCs w:val="20"/>
        </w:rPr>
        <w:t xml:space="preserve">1.0.5    </w:t>
      </w:r>
      <w:r>
        <w:rPr>
          <w:rFonts w:ascii="SimSun" w:eastAsia="SimSun" w:hAnsi="SimSun" w:cs="SimSun"/>
          <w:spacing w:val="9"/>
          <w:sz w:val="20"/>
          <w:szCs w:val="20"/>
        </w:rPr>
        <w:t>沥青路面封缝施工宜采用机械化作业，</w:t>
      </w:r>
      <w:r>
        <w:rPr>
          <w:rFonts w:ascii="SimSun" w:eastAsia="SimSun" w:hAnsi="SimSun" w:cs="SimSun"/>
          <w:spacing w:val="8"/>
          <w:sz w:val="20"/>
          <w:szCs w:val="20"/>
        </w:rPr>
        <w:t>并按照本规程规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定的操作程序进行施工作业。</w:t>
      </w:r>
    </w:p>
    <w:p>
      <w:pPr>
        <w:spacing w:before="61" w:line="257" w:lineRule="auto"/>
        <w:ind w:left="23" w:right="4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1.0.6</w:t>
      </w:r>
      <w:r>
        <w:rPr>
          <w:rFonts w:ascii="SimSun" w:eastAsia="SimSun" w:hAnsi="SimSun" w:cs="SimSun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9"/>
          <w:sz w:val="20"/>
          <w:szCs w:val="20"/>
        </w:rPr>
        <w:t>依靠科技进步，不断提高密封材料的高温稳定</w:t>
      </w:r>
      <w:r>
        <w:rPr>
          <w:rFonts w:ascii="SimSun" w:eastAsia="SimSun" w:hAnsi="SimSun" w:cs="SimSun"/>
          <w:spacing w:val="8"/>
          <w:sz w:val="20"/>
          <w:szCs w:val="20"/>
        </w:rPr>
        <w:t>性和粘附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性，提高密封材料的耐久性。</w:t>
      </w:r>
    </w:p>
    <w:p>
      <w:pPr>
        <w:spacing w:before="63" w:line="263" w:lineRule="auto"/>
        <w:ind w:left="23" w:right="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1.0.7</w:t>
      </w:r>
      <w:r>
        <w:rPr>
          <w:rFonts w:ascii="SimSun" w:eastAsia="SimSun" w:hAnsi="SimSun" w:cs="SimSun"/>
          <w:spacing w:val="12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路面裂缝封缝施工必须贯彻文明施工、安全生产和环境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保护的方针。</w:t>
      </w:r>
    </w:p>
    <w:p>
      <w:pPr>
        <w:spacing w:before="60" w:line="263" w:lineRule="auto"/>
        <w:ind w:left="23" w:right="3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1.0.8  路面裂缝的封缝施工，除应符合本规程外，尚应</w:t>
      </w:r>
      <w:r>
        <w:rPr>
          <w:rFonts w:ascii="SimSun" w:eastAsia="SimSun" w:hAnsi="SimSun" w:cs="SimSun"/>
          <w:spacing w:val="1"/>
          <w:sz w:val="20"/>
          <w:szCs w:val="20"/>
        </w:rPr>
        <w:t>符合国家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和行业现行有关标准的规定。</w:t>
      </w:r>
    </w:p>
    <w:p>
      <w:pPr>
        <w:spacing w:line="263" w:lineRule="auto"/>
        <w:rPr>
          <w:rFonts w:ascii="SimSun" w:eastAsia="SimSun" w:hAnsi="SimSun" w:cs="SimSun"/>
          <w:sz w:val="20"/>
          <w:szCs w:val="20"/>
        </w:rPr>
        <w:sectPr>
          <w:footerReference w:type="default" r:id="rId7"/>
          <w:pgSz w:w="8110" w:h="11620"/>
          <w:pgMar w:top="987" w:right="1070" w:bottom="807" w:left="1216" w:header="0" w:footer="698" w:gutter="0"/>
          <w:pgNumType w:start="11"/>
          <w:cols w:space="708"/>
        </w:sectPr>
      </w:pP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88" w:line="222" w:lineRule="auto"/>
        <w:ind w:left="2043"/>
        <w:outlineLvl w:val="0"/>
        <w:rPr>
          <w:sz w:val="27"/>
          <w:szCs w:val="27"/>
        </w:rPr>
      </w:pPr>
      <w:bookmarkStart w:id="0" w:name="bookmark7"/>
      <w:bookmarkEnd w:id="0"/>
      <w:bookmarkStart w:id="1" w:name="bookmark8"/>
      <w:bookmarkEnd w:id="1"/>
      <w:bookmarkStart w:id="2" w:name="bookmark9"/>
      <w:bookmarkEnd w:id="2"/>
      <w:r>
        <w:rPr>
          <w:b/>
          <w:bCs/>
          <w:spacing w:val="-18"/>
          <w:sz w:val="27"/>
          <w:szCs w:val="27"/>
        </w:rPr>
        <w:t>2</w:t>
      </w:r>
      <w:r>
        <w:rPr>
          <w:spacing w:val="21"/>
          <w:sz w:val="27"/>
          <w:szCs w:val="27"/>
        </w:rPr>
        <w:t xml:space="preserve">  </w:t>
      </w:r>
      <w:r>
        <w:rPr>
          <w:b/>
          <w:bCs/>
          <w:spacing w:val="-18"/>
          <w:sz w:val="27"/>
          <w:szCs w:val="27"/>
        </w:rPr>
        <w:t>术语、符号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65" w:line="222" w:lineRule="auto"/>
        <w:ind w:left="2332"/>
        <w:outlineLvl w:val="1"/>
        <w:rPr>
          <w:sz w:val="20"/>
          <w:szCs w:val="20"/>
        </w:rPr>
      </w:pPr>
      <w:r>
        <w:rPr>
          <w:b/>
          <w:bCs/>
          <w:spacing w:val="-5"/>
          <w:sz w:val="20"/>
          <w:szCs w:val="20"/>
        </w:rPr>
        <w:t>2.1</w:t>
      </w:r>
      <w:r>
        <w:rPr>
          <w:spacing w:val="96"/>
          <w:sz w:val="20"/>
          <w:szCs w:val="20"/>
        </w:rPr>
        <w:t xml:space="preserve"> </w:t>
      </w:r>
      <w:r>
        <w:rPr>
          <w:b/>
          <w:bCs/>
          <w:spacing w:val="-5"/>
          <w:sz w:val="20"/>
          <w:szCs w:val="20"/>
        </w:rPr>
        <w:t>术</w:t>
      </w:r>
      <w:r>
        <w:rPr>
          <w:spacing w:val="13"/>
          <w:sz w:val="20"/>
          <w:szCs w:val="20"/>
        </w:rPr>
        <w:t xml:space="preserve">  </w:t>
      </w:r>
      <w:r>
        <w:rPr>
          <w:b/>
          <w:bCs/>
          <w:spacing w:val="-5"/>
          <w:sz w:val="20"/>
          <w:szCs w:val="20"/>
        </w:rPr>
        <w:t>语</w:t>
      </w:r>
    </w:p>
    <w:p>
      <w:pPr>
        <w:spacing w:before="259" w:line="212" w:lineRule="auto"/>
        <w:ind w:left="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2"/>
          <w:sz w:val="20"/>
          <w:szCs w:val="20"/>
        </w:rPr>
        <w:t>2.1.1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2"/>
          <w:sz w:val="20"/>
          <w:szCs w:val="20"/>
        </w:rPr>
        <w:t>针入度</w:t>
      </w:r>
      <w:r>
        <w:rPr>
          <w:rFonts w:ascii="SimSun" w:eastAsia="SimSun" w:hAnsi="SimSun" w:cs="SimSun"/>
          <w:spacing w:val="-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penertration</w:t>
      </w:r>
    </w:p>
    <w:p>
      <w:pPr>
        <w:spacing w:before="82" w:line="262" w:lineRule="auto"/>
        <w:ind w:right="132" w:firstLine="4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在规定温度和时间内，附加一定质量的标准针垂直贯入沥青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试样的深度，以0.1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SimSun" w:eastAsia="SimSun" w:hAnsi="SimSun" w:cs="SimSun"/>
          <w:spacing w:val="-1"/>
          <w:sz w:val="20"/>
          <w:szCs w:val="20"/>
        </w:rPr>
        <w:t>表示。</w:t>
      </w:r>
    </w:p>
    <w:p>
      <w:pPr>
        <w:spacing w:before="59" w:line="212" w:lineRule="auto"/>
        <w:ind w:left="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3"/>
          <w:sz w:val="20"/>
          <w:szCs w:val="20"/>
        </w:rPr>
        <w:t>2.1.2</w:t>
      </w:r>
      <w:r>
        <w:rPr>
          <w:rFonts w:ascii="SimSun" w:eastAsia="SimSun" w:hAnsi="SimSun" w:cs="SimSun"/>
          <w:spacing w:val="-3"/>
          <w:sz w:val="20"/>
          <w:szCs w:val="20"/>
        </w:rPr>
        <w:t xml:space="preserve">  延度</w:t>
      </w:r>
      <w:r>
        <w:rPr>
          <w:rFonts w:ascii="SimSun" w:eastAsia="SimSun" w:hAnsi="SimSun" w:cs="SimSu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ductility</w:t>
      </w:r>
    </w:p>
    <w:p>
      <w:pPr>
        <w:spacing w:before="63" w:line="219" w:lineRule="auto"/>
        <w:ind w:left="4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规定形态的沥青试样，在规定温度下以一定速度受拉伸至断</w:t>
      </w:r>
    </w:p>
    <w:p>
      <w:pPr>
        <w:spacing w:before="124" w:line="220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开时的长度，以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cm</w:t>
      </w:r>
      <w:r>
        <w:rPr>
          <w:rFonts w:ascii="Times New Roman" w:eastAsia="Times New Roman" w:hAnsi="Times New Roman" w:cs="Times New Roman"/>
          <w:spacing w:val="20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表示。</w:t>
      </w:r>
    </w:p>
    <w:p>
      <w:pPr>
        <w:spacing w:before="68" w:line="212" w:lineRule="auto"/>
        <w:ind w:left="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b/>
          <w:bCs/>
          <w:spacing w:val="5"/>
          <w:sz w:val="20"/>
          <w:szCs w:val="20"/>
        </w:rPr>
        <w:t>2.1.3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 软化点(环球法)</w:t>
      </w:r>
      <w:r>
        <w:rPr>
          <w:rFonts w:ascii="Times New Roman" w:eastAsia="Times New Roman" w:hAnsi="Times New Roman" w:cs="Times New Roman"/>
          <w:sz w:val="20"/>
          <w:szCs w:val="20"/>
        </w:rPr>
        <w:t>softening</w:t>
      </w:r>
      <w:r>
        <w:rPr>
          <w:rFonts w:ascii="Times New Roman" w:eastAsia="Times New Roman" w:hAnsi="Times New Roman" w:cs="Times New Roman"/>
          <w:spacing w:val="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point</w:t>
      </w:r>
    </w:p>
    <w:p>
      <w:pPr>
        <w:spacing w:before="63" w:line="262" w:lineRule="auto"/>
        <w:ind w:right="119" w:firstLine="4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沥青试样在规定尺寸的金属环内，上置规定尺寸和质量的钢</w:t>
      </w:r>
      <w:r>
        <w:rPr>
          <w:rFonts w:ascii="SimSun" w:eastAsia="SimSun" w:hAnsi="SimSun" w:cs="SimSun"/>
          <w:spacing w:val="12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球，放于水或甘油中，以规定的速度加热，至</w:t>
      </w:r>
      <w:r>
        <w:rPr>
          <w:rFonts w:ascii="SimSun" w:eastAsia="SimSun" w:hAnsi="SimSun" w:cs="SimSun"/>
          <w:spacing w:val="-1"/>
          <w:sz w:val="20"/>
          <w:szCs w:val="20"/>
        </w:rPr>
        <w:t>钢球下沉达规定距离</w:t>
      </w:r>
    </w:p>
    <w:p>
      <w:pPr>
        <w:spacing w:before="94" w:line="220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7"/>
          <w:sz w:val="20"/>
          <w:szCs w:val="20"/>
        </w:rPr>
        <w:t>时的温度，以℃表示。</w:t>
      </w:r>
    </w:p>
    <w:p>
      <w:pPr>
        <w:spacing w:before="48" w:line="212" w:lineRule="auto"/>
        <w:ind w:left="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2.1.4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5"/>
          <w:sz w:val="20"/>
          <w:szCs w:val="20"/>
        </w:rPr>
        <w:t>闪</w:t>
      </w:r>
      <w:r>
        <w:rPr>
          <w:rFonts w:ascii="SimSun" w:eastAsia="SimSun" w:hAnsi="SimSun" w:cs="SimSun"/>
          <w:spacing w:val="-2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点</w:t>
      </w:r>
      <w:r>
        <w:rPr>
          <w:rFonts w:ascii="SimSun" w:eastAsia="SimSun" w:hAnsi="SimSun" w:cs="SimSun"/>
          <w:spacing w:val="-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flash</w:t>
      </w:r>
      <w:r>
        <w:rPr>
          <w:rFonts w:ascii="Times New Roman" w:eastAsia="Times New Roman" w:hAnsi="Times New Roman" w:cs="Times New Roman"/>
          <w:spacing w:val="28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point</w:t>
      </w:r>
    </w:p>
    <w:p>
      <w:pPr>
        <w:spacing w:before="73" w:line="276" w:lineRule="auto"/>
        <w:ind w:right="129" w:firstLine="439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3"/>
          <w:sz w:val="20"/>
          <w:szCs w:val="20"/>
        </w:rPr>
        <w:t>沥青试样在规定的盛样器内按规定的升温速度受热时所蒸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发的气体以规定的方法与试焰接触，初次发生一瞬即灭的火焰时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的试样温度，以℃表示。盛样器对粘稠沥青是克利夫兰开口杯，对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液体沥青是泰格开口杯。</w:t>
      </w:r>
    </w:p>
    <w:p>
      <w:pPr>
        <w:pStyle w:val="BodyText"/>
        <w:spacing w:before="240" w:line="222" w:lineRule="auto"/>
        <w:ind w:left="2362"/>
        <w:outlineLvl w:val="1"/>
        <w:rPr>
          <w:sz w:val="20"/>
          <w:szCs w:val="20"/>
        </w:rPr>
      </w:pPr>
      <w:r>
        <w:rPr>
          <w:b/>
          <w:bCs/>
          <w:spacing w:val="-5"/>
          <w:sz w:val="20"/>
          <w:szCs w:val="20"/>
        </w:rPr>
        <w:t>2.2</w:t>
      </w:r>
      <w:r>
        <w:rPr>
          <w:spacing w:val="3"/>
          <w:sz w:val="20"/>
          <w:szCs w:val="20"/>
        </w:rPr>
        <w:t xml:space="preserve">  </w:t>
      </w:r>
      <w:r>
        <w:rPr>
          <w:b/>
          <w:bCs/>
          <w:spacing w:val="-5"/>
          <w:sz w:val="20"/>
          <w:szCs w:val="20"/>
        </w:rPr>
        <w:t>符</w:t>
      </w:r>
      <w:r>
        <w:rPr>
          <w:spacing w:val="6"/>
          <w:sz w:val="20"/>
          <w:szCs w:val="20"/>
        </w:rPr>
        <w:t xml:space="preserve">  </w:t>
      </w:r>
      <w:r>
        <w:rPr>
          <w:b/>
          <w:bCs/>
          <w:spacing w:val="-5"/>
          <w:sz w:val="20"/>
          <w:szCs w:val="20"/>
        </w:rPr>
        <w:t>号</w:t>
      </w:r>
    </w:p>
    <w:tbl>
      <w:tblPr>
        <w:tblStyle w:val="TableNormal0"/>
        <w:tblW w:w="5780" w:type="dxa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43"/>
        <w:gridCol w:w="1447"/>
        <w:gridCol w:w="1437"/>
        <w:gridCol w:w="1453"/>
      </w:tblGrid>
      <w:tr>
        <w:tblPrEx>
          <w:tblW w:w="5780" w:type="dxa"/>
          <w:tblInd w:w="5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42"/>
        </w:trPr>
        <w:tc>
          <w:tcPr>
            <w:tcW w:w="1443" w:type="dxa"/>
            <w:vAlign w:val="top"/>
          </w:tcPr>
          <w:p>
            <w:pPr>
              <w:pStyle w:val="TableText"/>
              <w:spacing w:before="99" w:line="219" w:lineRule="auto"/>
              <w:ind w:left="487"/>
            </w:pPr>
            <w:r>
              <w:rPr>
                <w:b/>
                <w:bCs/>
                <w:spacing w:val="-6"/>
              </w:rPr>
              <w:t>编</w:t>
            </w:r>
            <w:r>
              <w:rPr>
                <w:spacing w:val="5"/>
              </w:rPr>
              <w:t xml:space="preserve">  </w:t>
            </w:r>
            <w:r>
              <w:rPr>
                <w:b/>
                <w:bCs/>
                <w:spacing w:val="-6"/>
              </w:rPr>
              <w:t>号</w:t>
            </w:r>
          </w:p>
        </w:tc>
        <w:tc>
          <w:tcPr>
            <w:tcW w:w="1447" w:type="dxa"/>
            <w:vAlign w:val="top"/>
          </w:tcPr>
          <w:p>
            <w:pPr>
              <w:pStyle w:val="TableText"/>
              <w:spacing w:before="101" w:line="219" w:lineRule="auto"/>
              <w:ind w:left="492"/>
            </w:pPr>
            <w:r>
              <w:rPr>
                <w:spacing w:val="-4"/>
              </w:rPr>
              <w:t>符</w:t>
            </w:r>
            <w:r>
              <w:rPr>
                <w:spacing w:val="4"/>
              </w:rPr>
              <w:t xml:space="preserve">  </w:t>
            </w:r>
            <w:r>
              <w:rPr>
                <w:spacing w:val="-4"/>
              </w:rPr>
              <w:t>号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spacing w:before="101" w:line="220" w:lineRule="auto"/>
              <w:ind w:left="485"/>
            </w:pPr>
            <w:r>
              <w:rPr>
                <w:spacing w:val="-5"/>
              </w:rPr>
              <w:t>意</w:t>
            </w:r>
            <w:r>
              <w:rPr>
                <w:spacing w:val="3"/>
              </w:rPr>
              <w:t xml:space="preserve">  </w:t>
            </w:r>
            <w:r>
              <w:rPr>
                <w:spacing w:val="-5"/>
              </w:rPr>
              <w:t>义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spacing w:before="101" w:line="220" w:lineRule="auto"/>
              <w:ind w:left="528"/>
            </w:pPr>
            <w:r>
              <w:rPr>
                <w:spacing w:val="-4"/>
              </w:rPr>
              <w:t>单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位</w:t>
            </w:r>
          </w:p>
        </w:tc>
      </w:tr>
      <w:tr>
        <w:tblPrEx>
          <w:tblW w:w="5780" w:type="dxa"/>
          <w:tblInd w:w="59" w:type="dxa"/>
          <w:tblLayout w:type="fixed"/>
        </w:tblPrEx>
        <w:trPr>
          <w:trHeight w:val="328"/>
        </w:trPr>
        <w:tc>
          <w:tcPr>
            <w:tcW w:w="1443" w:type="dxa"/>
            <w:vAlign w:val="top"/>
          </w:tcPr>
          <w:p>
            <w:pPr>
              <w:pStyle w:val="TableText"/>
              <w:spacing w:before="127" w:line="184" w:lineRule="auto"/>
              <w:ind w:left="524"/>
            </w:pPr>
            <w:r>
              <w:rPr>
                <w:spacing w:val="-2"/>
              </w:rPr>
              <w:t>2.2.1</w:t>
            </w:r>
          </w:p>
        </w:tc>
        <w:tc>
          <w:tcPr>
            <w:tcW w:w="1447" w:type="dxa"/>
            <w:vAlign w:val="top"/>
          </w:tcPr>
          <w:p>
            <w:pPr>
              <w:pStyle w:val="TableText"/>
              <w:spacing w:before="128" w:line="182" w:lineRule="auto"/>
              <w:ind w:left="671"/>
            </w:pPr>
            <w:r>
              <w:t>P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spacing w:before="89" w:line="220" w:lineRule="auto"/>
              <w:ind w:left="485"/>
            </w:pPr>
            <w:r>
              <w:rPr>
                <w:spacing w:val="-2"/>
              </w:rPr>
              <w:t>针入度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spacing w:before="127" w:line="184" w:lineRule="auto"/>
              <w:ind w:left="528"/>
            </w:pPr>
            <w:r>
              <w:rPr>
                <w:spacing w:val="-2"/>
              </w:rPr>
              <w:t>0.1mm</w:t>
            </w:r>
          </w:p>
        </w:tc>
      </w:tr>
      <w:tr>
        <w:tblPrEx>
          <w:tblW w:w="5780" w:type="dxa"/>
          <w:tblInd w:w="59" w:type="dxa"/>
          <w:tblLayout w:type="fixed"/>
        </w:tblPrEx>
        <w:trPr>
          <w:trHeight w:val="338"/>
        </w:trPr>
        <w:tc>
          <w:tcPr>
            <w:tcW w:w="1443" w:type="dxa"/>
            <w:vAlign w:val="top"/>
          </w:tcPr>
          <w:p>
            <w:pPr>
              <w:pStyle w:val="TableText"/>
              <w:spacing w:before="139" w:line="183" w:lineRule="auto"/>
              <w:ind w:left="524"/>
            </w:pPr>
            <w:r>
              <w:rPr>
                <w:spacing w:val="-2"/>
              </w:rPr>
              <w:t>2.2.2</w:t>
            </w:r>
          </w:p>
        </w:tc>
        <w:tc>
          <w:tcPr>
            <w:tcW w:w="1447" w:type="dxa"/>
            <w:vAlign w:val="top"/>
          </w:tcPr>
          <w:p>
            <w:pPr>
              <w:pStyle w:val="TableText"/>
              <w:spacing w:before="140" w:line="182" w:lineRule="auto"/>
              <w:ind w:left="671"/>
            </w:pPr>
            <w:r>
              <w:t>D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spacing w:before="101" w:line="220" w:lineRule="auto"/>
              <w:ind w:left="524"/>
            </w:pPr>
            <w:r>
              <w:rPr>
                <w:spacing w:val="-4"/>
              </w:rPr>
              <w:t>延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度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spacing w:before="173" w:line="115" w:lineRule="exact"/>
              <w:ind w:left="648"/>
            </w:pPr>
            <w:r>
              <w:rPr>
                <w:spacing w:val="-3"/>
              </w:rPr>
              <w:t>cm</w:t>
            </w:r>
          </w:p>
        </w:tc>
      </w:tr>
    </w:tbl>
    <w:p>
      <w:pPr>
        <w:sectPr>
          <w:footerReference w:type="default" r:id="rId8"/>
          <w:pgSz w:w="8190" w:h="11680"/>
          <w:pgMar w:top="992" w:right="1228" w:bottom="832" w:left="1050" w:header="0" w:footer="673" w:gutter="0"/>
          <w:pgNumType w:start="12"/>
          <w:cols w:space="708"/>
        </w:sectPr>
      </w:pPr>
    </w:p>
    <w:tbl>
      <w:tblPr>
        <w:tblStyle w:val="TableNormal1"/>
        <w:tblW w:w="5780" w:type="dxa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43"/>
        <w:gridCol w:w="1447"/>
        <w:gridCol w:w="1437"/>
        <w:gridCol w:w="1453"/>
      </w:tblGrid>
      <w:tr>
        <w:tblPrEx>
          <w:tblW w:w="5780" w:type="dxa"/>
          <w:tblInd w:w="5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28"/>
        </w:trPr>
        <w:tc>
          <w:tcPr>
            <w:tcW w:w="1443" w:type="dxa"/>
            <w:vAlign w:val="top"/>
          </w:tcPr>
          <w:p>
            <w:pPr>
              <w:pStyle w:val="TableText"/>
              <w:spacing w:before="131" w:line="183" w:lineRule="auto"/>
              <w:ind w:left="524"/>
            </w:pPr>
            <w:r>
              <w:rPr>
                <w:spacing w:val="-2"/>
              </w:rPr>
              <w:t>2.2.3</w:t>
            </w:r>
          </w:p>
        </w:tc>
        <w:tc>
          <w:tcPr>
            <w:tcW w:w="1447" w:type="dxa"/>
            <w:vAlign w:val="top"/>
          </w:tcPr>
          <w:p>
            <w:pPr>
              <w:pStyle w:val="TableText"/>
              <w:spacing w:before="131" w:line="183" w:lineRule="auto"/>
              <w:ind w:left="642"/>
            </w:pPr>
            <w:r>
              <w:rPr>
                <w:spacing w:val="-2"/>
              </w:rPr>
              <w:t>SP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spacing w:before="93" w:line="220" w:lineRule="auto"/>
              <w:ind w:left="485"/>
            </w:pPr>
            <w:r>
              <w:rPr>
                <w:spacing w:val="4"/>
              </w:rPr>
              <w:t>软化点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spacing w:before="108" w:line="237" w:lineRule="auto"/>
              <w:ind w:left="648"/>
            </w:pPr>
            <w:r>
              <w:t>℃</w:t>
            </w:r>
          </w:p>
        </w:tc>
      </w:tr>
      <w:tr>
        <w:tblPrEx>
          <w:tblW w:w="5780" w:type="dxa"/>
          <w:tblInd w:w="59" w:type="dxa"/>
          <w:tblLayout w:type="fixed"/>
        </w:tblPrEx>
        <w:trPr>
          <w:trHeight w:val="343"/>
        </w:trPr>
        <w:tc>
          <w:tcPr>
            <w:tcW w:w="1443" w:type="dxa"/>
            <w:vAlign w:val="top"/>
          </w:tcPr>
          <w:p>
            <w:pPr>
              <w:pStyle w:val="TableText"/>
              <w:spacing w:before="143" w:line="183" w:lineRule="auto"/>
              <w:ind w:left="524"/>
            </w:pPr>
            <w:r>
              <w:rPr>
                <w:spacing w:val="-2"/>
              </w:rPr>
              <w:t>2.2.4</w:t>
            </w:r>
          </w:p>
        </w:tc>
        <w:tc>
          <w:tcPr>
            <w:tcW w:w="1447" w:type="dxa"/>
            <w:vAlign w:val="top"/>
          </w:tcPr>
          <w:p>
            <w:pPr>
              <w:pStyle w:val="TableText"/>
              <w:spacing w:before="125" w:line="167" w:lineRule="exact"/>
              <w:ind w:left="651"/>
              <w:rPr>
                <w:sz w:val="12"/>
                <w:szCs w:val="12"/>
              </w:rPr>
            </w:pPr>
            <w:r>
              <w:rPr>
                <w:position w:val="1"/>
                <w:sz w:val="12"/>
                <w:szCs w:val="12"/>
              </w:rPr>
              <w:t>π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spacing w:before="105" w:line="219" w:lineRule="auto"/>
              <w:ind w:left="414"/>
            </w:pPr>
            <w:r>
              <w:rPr>
                <w:spacing w:val="-2"/>
              </w:rPr>
              <w:t>动力粘度</w:t>
            </w:r>
          </w:p>
        </w:tc>
        <w:tc>
          <w:tcPr>
            <w:tcW w:w="1453" w:type="dxa"/>
            <w:vAlign w:val="top"/>
          </w:tcPr>
          <w:p>
            <w:pPr>
              <w:pStyle w:val="TableText"/>
              <w:spacing w:before="120"/>
              <w:ind w:left="528"/>
            </w:pPr>
            <w:r>
              <w:rPr>
                <w:spacing w:val="-2"/>
              </w:rPr>
              <w:t>Pa</w:t>
            </w:r>
            <w:r>
              <w:rPr>
                <w:spacing w:val="6"/>
              </w:rPr>
              <w:t xml:space="preserve">  </w:t>
            </w:r>
            <w:r>
              <w:rPr>
                <w:spacing w:val="-2"/>
              </w:rPr>
              <w:t>s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9"/>
          <w:type w:val="nextPage"/>
          <w:pgSz w:w="8190" w:h="11680"/>
          <w:pgMar w:top="992" w:right="1228" w:bottom="832" w:left="1050" w:header="0" w:footer="673" w:gutter="0"/>
          <w:pgNumType w:start="13"/>
          <w:cols w:space="708"/>
          <w:titlePg w:val="0"/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85" w:line="221" w:lineRule="auto"/>
        <w:ind w:left="2133"/>
        <w:rPr>
          <w:sz w:val="26"/>
          <w:szCs w:val="26"/>
        </w:rPr>
      </w:pPr>
      <w:r>
        <w:rPr>
          <w:b/>
          <w:bCs/>
          <w:spacing w:val="8"/>
          <w:sz w:val="26"/>
          <w:szCs w:val="26"/>
        </w:rPr>
        <w:t>3</w:t>
      </w:r>
      <w:r>
        <w:rPr>
          <w:spacing w:val="26"/>
          <w:sz w:val="26"/>
          <w:szCs w:val="26"/>
        </w:rPr>
        <w:t xml:space="preserve">  </w:t>
      </w:r>
      <w:r>
        <w:rPr>
          <w:b/>
          <w:bCs/>
          <w:spacing w:val="8"/>
          <w:sz w:val="26"/>
          <w:szCs w:val="26"/>
        </w:rPr>
        <w:t>一般规定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50" w:lineRule="auto"/>
        <w:ind w:right="57" w:firstLine="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1"/>
          <w:sz w:val="21"/>
          <w:szCs w:val="21"/>
        </w:rPr>
        <w:t>3.0.1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 路面裂缝进行封缝施工前，应对路面状况进行详细的调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查，分析裂缝产生的原因，确定采用的材料和施工方案。</w:t>
      </w:r>
    </w:p>
    <w:p>
      <w:pPr>
        <w:spacing w:before="42" w:line="255" w:lineRule="auto"/>
        <w:ind w:right="62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Arial" w:eastAsia="Arial" w:hAnsi="Arial" w:cs="Arial"/>
          <w:spacing w:val="1"/>
          <w:sz w:val="21"/>
          <w:szCs w:val="21"/>
        </w:rPr>
        <w:t>3.0.2</w:t>
      </w:r>
      <w:r>
        <w:rPr>
          <w:rFonts w:ascii="Arial" w:eastAsia="Arial" w:hAnsi="Arial" w:cs="Arial"/>
          <w:spacing w:val="16"/>
          <w:w w:val="101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1"/>
          <w:sz w:val="21"/>
          <w:szCs w:val="21"/>
        </w:rPr>
        <w:t>为防止雨水和雪水通过裂缝下渗到基层，破坏路面的结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构，封缝宜早不宜迟，及时有效地阻止雨水的下渗，保证路面的强</w:t>
      </w:r>
      <w:r>
        <w:rPr>
          <w:rFonts w:ascii="SimSun" w:eastAsia="SimSun" w:hAnsi="SimSun" w:cs="SimSun"/>
          <w:spacing w:val="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度不受影响。</w:t>
      </w:r>
    </w:p>
    <w:p>
      <w:pPr>
        <w:spacing w:before="68" w:line="266" w:lineRule="auto"/>
        <w:ind w:right="57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Arial" w:eastAsia="Arial" w:hAnsi="Arial" w:cs="Arial"/>
          <w:spacing w:val="2"/>
          <w:sz w:val="21"/>
          <w:szCs w:val="21"/>
        </w:rPr>
        <w:t xml:space="preserve">3.0.3   </w:t>
      </w:r>
      <w:r>
        <w:rPr>
          <w:rFonts w:ascii="SimSun" w:eastAsia="SimSun" w:hAnsi="SimSun" w:cs="SimSun"/>
          <w:spacing w:val="2"/>
          <w:sz w:val="21"/>
          <w:szCs w:val="21"/>
        </w:rPr>
        <w:t>封缝施工应在冬季第一次降雪到来之前进行。施工的最</w:t>
      </w:r>
      <w:r>
        <w:rPr>
          <w:rFonts w:ascii="SimSun" w:eastAsia="SimSun" w:hAnsi="SimSun" w:cs="SimSun"/>
          <w:spacing w:val="13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低温度宜在5℃以上。若施工温度低于5℃,</w:t>
      </w:r>
      <w:r>
        <w:rPr>
          <w:rFonts w:ascii="SimSun" w:eastAsia="SimSun" w:hAnsi="SimSun" w:cs="SimSun"/>
          <w:spacing w:val="-1"/>
          <w:sz w:val="21"/>
          <w:szCs w:val="21"/>
        </w:rPr>
        <w:t>封缝施工应采取一些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必要的处理措施。对于采用封缝处理与封层、罩面等其它施工技</w:t>
      </w:r>
      <w:r>
        <w:rPr>
          <w:rFonts w:ascii="SimSun" w:eastAsia="SimSun" w:hAnsi="SimSun" w:cs="SimSun"/>
          <w:spacing w:val="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术相结合的处治措施，封缝时间不受上述限</w:t>
      </w:r>
      <w:r>
        <w:rPr>
          <w:rFonts w:ascii="SimSun" w:eastAsia="SimSun" w:hAnsi="SimSun" w:cs="SimSun"/>
          <w:spacing w:val="-8"/>
          <w:sz w:val="21"/>
          <w:szCs w:val="21"/>
        </w:rPr>
        <w:t>制。</w:t>
      </w:r>
    </w:p>
    <w:p>
      <w:pPr>
        <w:spacing w:before="70" w:line="254" w:lineRule="auto"/>
        <w:ind w:right="4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3.0.4</w:t>
      </w:r>
      <w:r>
        <w:rPr>
          <w:rFonts w:ascii="SimSun" w:eastAsia="SimSun" w:hAnsi="SimSun" w:cs="SimSun"/>
          <w:spacing w:val="8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采用高弹性密封胶封缝施工必须采用灌缝机</w:t>
      </w:r>
      <w:r>
        <w:rPr>
          <w:rFonts w:ascii="SimSun" w:eastAsia="SimSun" w:hAnsi="SimSun" w:cs="SimSun"/>
          <w:sz w:val="21"/>
          <w:szCs w:val="21"/>
        </w:rPr>
        <w:t xml:space="preserve">进行施工作 </w:t>
      </w:r>
      <w:r>
        <w:rPr>
          <w:rFonts w:ascii="SimSun" w:eastAsia="SimSun" w:hAnsi="SimSun" w:cs="SimSun"/>
          <w:spacing w:val="-12"/>
          <w:sz w:val="21"/>
          <w:szCs w:val="21"/>
        </w:rPr>
        <w:t>业，并应配备相应的动力设备、开槽机和清缝机等设备。</w:t>
      </w:r>
    </w:p>
    <w:p>
      <w:pPr>
        <w:spacing w:before="41" w:line="255" w:lineRule="auto"/>
        <w:ind w:right="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3.0.5  采用重交通70#沥青封缝施工宜采用专用施工机械，应</w:t>
      </w:r>
      <w:r>
        <w:rPr>
          <w:rFonts w:ascii="SimSun" w:eastAsia="SimSun" w:hAnsi="SimSun" w:cs="SimSun"/>
          <w:spacing w:val="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避免野外明火加热，污染环境。</w:t>
      </w:r>
    </w:p>
    <w:p>
      <w:pPr>
        <w:spacing w:before="50" w:line="255" w:lineRule="auto"/>
        <w:ind w:right="65" w:firstLine="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1"/>
          <w:sz w:val="21"/>
          <w:szCs w:val="21"/>
        </w:rPr>
        <w:t>3.0.6</w:t>
      </w:r>
      <w:r>
        <w:rPr>
          <w:rFonts w:ascii="SimSun" w:eastAsia="SimSun" w:hAnsi="SimSun" w:cs="SimSun"/>
          <w:spacing w:val="10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采用改性乳化沥青和普通乳化沥青封缝材料可用尖嘴壶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直接灌注施工。</w:t>
      </w:r>
    </w:p>
    <w:p>
      <w:pPr>
        <w:spacing w:before="40" w:line="254" w:lineRule="auto"/>
        <w:rPr>
          <w:rFonts w:ascii="SimSun" w:eastAsia="SimSun" w:hAnsi="SimSun" w:cs="SimSun"/>
          <w:sz w:val="21"/>
          <w:szCs w:val="21"/>
        </w:rPr>
      </w:pPr>
      <w:r>
        <w:rPr>
          <w:rFonts w:ascii="Arial" w:eastAsia="Arial" w:hAnsi="Arial" w:cs="Arial"/>
          <w:b/>
          <w:bCs/>
          <w:sz w:val="21"/>
          <w:szCs w:val="21"/>
        </w:rPr>
        <w:t xml:space="preserve">3.0.7  </w:t>
      </w:r>
      <w:r>
        <w:rPr>
          <w:rFonts w:ascii="SimSun" w:eastAsia="SimSun" w:hAnsi="SimSun" w:cs="SimSun"/>
          <w:sz w:val="21"/>
          <w:szCs w:val="21"/>
        </w:rPr>
        <w:t>禁止雨天或雨后立即进行施工作业</w:t>
      </w:r>
      <w:r>
        <w:rPr>
          <w:rFonts w:ascii="SimSun" w:eastAsia="SimSun" w:hAnsi="SimSun" w:cs="SimSun"/>
          <w:spacing w:val="-1"/>
          <w:sz w:val="21"/>
          <w:szCs w:val="21"/>
        </w:rPr>
        <w:t>，在其它天气施工时，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必须确保接缝处干燥，保证封缝材料与旧路面的粘结力良好。</w:t>
      </w:r>
    </w:p>
    <w:p>
      <w:pPr>
        <w:spacing w:before="43" w:line="259" w:lineRule="auto"/>
        <w:ind w:right="67" w:firstLine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z w:val="21"/>
          <w:szCs w:val="21"/>
        </w:rPr>
        <w:t>3.0.8</w:t>
      </w:r>
      <w:r>
        <w:rPr>
          <w:rFonts w:ascii="SimSun" w:eastAsia="SimSun" w:hAnsi="SimSun" w:cs="SimSun"/>
          <w:spacing w:val="72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 xml:space="preserve">封缝材料一般要求当天使用完毕，避免重复加热导致材 </w:t>
      </w:r>
      <w:r>
        <w:rPr>
          <w:rFonts w:ascii="SimSun" w:eastAsia="SimSun" w:hAnsi="SimSun" w:cs="SimSun"/>
          <w:spacing w:val="-6"/>
          <w:sz w:val="21"/>
          <w:szCs w:val="21"/>
        </w:rPr>
        <w:t>料性能下降。</w:t>
      </w:r>
    </w:p>
    <w:p>
      <w:pPr>
        <w:spacing w:before="59" w:line="261" w:lineRule="auto"/>
        <w:ind w:right="62" w:firstLine="2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7"/>
          <w:sz w:val="21"/>
          <w:szCs w:val="21"/>
        </w:rPr>
        <w:t>3.0.9</w:t>
      </w:r>
      <w:r>
        <w:rPr>
          <w:rFonts w:ascii="SimSun" w:eastAsia="SimSun" w:hAnsi="SimSun" w:cs="SimSun"/>
          <w:spacing w:val="7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在封缝施工中，要注意保持封缝材料温度适当，防止温度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过低，起不到应有的效果。同时，要控制温度过高，防止密封胶长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时间处于高温而导致老化。</w:t>
      </w:r>
    </w:p>
    <w:p>
      <w:pPr>
        <w:spacing w:line="261" w:lineRule="auto"/>
        <w:rPr>
          <w:rFonts w:ascii="SimSun" w:eastAsia="SimSun" w:hAnsi="SimSun" w:cs="SimSun"/>
          <w:sz w:val="21"/>
          <w:szCs w:val="21"/>
        </w:rPr>
        <w:sectPr>
          <w:footerReference w:type="default" r:id="rId10"/>
          <w:pgSz w:w="8110" w:h="11620"/>
          <w:pgMar w:top="987" w:right="1085" w:bottom="872" w:left="1200" w:header="0" w:footer="713" w:gutter="0"/>
          <w:pgNumType w:start="14"/>
          <w:cols w:space="708"/>
        </w:sectPr>
      </w:pP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88" w:line="222" w:lineRule="auto"/>
        <w:ind w:left="2233"/>
        <w:rPr>
          <w:sz w:val="27"/>
          <w:szCs w:val="27"/>
        </w:rPr>
      </w:pPr>
      <w:r>
        <w:rPr>
          <w:b/>
          <w:bCs/>
          <w:spacing w:val="-8"/>
          <w:sz w:val="27"/>
          <w:szCs w:val="27"/>
        </w:rPr>
        <w:t>4</w:t>
      </w:r>
      <w:r>
        <w:rPr>
          <w:spacing w:val="15"/>
          <w:sz w:val="27"/>
          <w:szCs w:val="27"/>
        </w:rPr>
        <w:t xml:space="preserve">  </w:t>
      </w:r>
      <w:r>
        <w:rPr>
          <w:b/>
          <w:bCs/>
          <w:spacing w:val="-8"/>
          <w:sz w:val="27"/>
          <w:szCs w:val="27"/>
        </w:rPr>
        <w:t>材</w:t>
      </w:r>
      <w:r>
        <w:rPr>
          <w:spacing w:val="14"/>
          <w:sz w:val="27"/>
          <w:szCs w:val="27"/>
        </w:rPr>
        <w:t xml:space="preserve">  </w:t>
      </w:r>
      <w:r>
        <w:rPr>
          <w:b/>
          <w:bCs/>
          <w:spacing w:val="-8"/>
          <w:sz w:val="27"/>
          <w:szCs w:val="27"/>
        </w:rPr>
        <w:t>料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65" w:line="262" w:lineRule="auto"/>
        <w:ind w:right="171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4"/>
          <w:sz w:val="20"/>
          <w:szCs w:val="20"/>
        </w:rPr>
        <w:t>4.0.1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4"/>
          <w:sz w:val="20"/>
          <w:szCs w:val="20"/>
        </w:rPr>
        <w:t>封缝材料可选用高弹性密封胶、重交通70#沥青、改性乳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化沥青和普通乳化沥青。</w:t>
      </w:r>
    </w:p>
    <w:p>
      <w:pPr>
        <w:spacing w:before="92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2"/>
          <w:sz w:val="20"/>
          <w:szCs w:val="20"/>
        </w:rPr>
        <w:t>4.0.2</w:t>
      </w:r>
      <w:r>
        <w:rPr>
          <w:rFonts w:ascii="SimSun" w:eastAsia="SimSun" w:hAnsi="SimSun" w:cs="SimSun"/>
          <w:spacing w:val="8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高弹性密封胶技术要求。</w:t>
      </w:r>
    </w:p>
    <w:p>
      <w:pPr>
        <w:spacing w:before="13" w:line="282" w:lineRule="auto"/>
        <w:ind w:right="152" w:firstLine="420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2"/>
          <w:sz w:val="20"/>
          <w:szCs w:val="20"/>
        </w:rPr>
        <w:t>1</w:t>
      </w:r>
      <w:r>
        <w:rPr>
          <w:rFonts w:ascii="SimSun" w:eastAsia="SimSun" w:hAnsi="SimSun" w:cs="SimSun"/>
          <w:spacing w:val="6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sz w:val="20"/>
          <w:szCs w:val="20"/>
        </w:rPr>
        <w:t>选用高弹性密封胶封缝材料时，要根据到当</w:t>
      </w:r>
      <w:r>
        <w:rPr>
          <w:rFonts w:ascii="SimSun" w:eastAsia="SimSun" w:hAnsi="SimSun" w:cs="SimSun"/>
          <w:spacing w:val="11"/>
          <w:sz w:val="20"/>
          <w:szCs w:val="20"/>
        </w:rPr>
        <w:t>地的气温条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件，选用合适的型号，确保施工后高弹性密封胶在低温下仍具有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较好的弹性和延展性，高温下不粘轮胎。</w:t>
      </w:r>
    </w:p>
    <w:p>
      <w:pPr>
        <w:spacing w:before="53" w:line="269" w:lineRule="auto"/>
        <w:ind w:right="149" w:firstLine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2</w:t>
      </w:r>
      <w:r>
        <w:rPr>
          <w:rFonts w:ascii="SimSun" w:eastAsia="SimSun" w:hAnsi="SimSun" w:cs="SimSun"/>
          <w:spacing w:val="8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高弹性密封胶适用于二级及二级以上沥青路面裂缝的密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封施工。</w:t>
      </w:r>
    </w:p>
    <w:p>
      <w:pPr>
        <w:spacing w:before="47" w:line="262" w:lineRule="auto"/>
        <w:ind w:left="420" w:right="13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3</w:t>
      </w:r>
      <w:r>
        <w:rPr>
          <w:rFonts w:ascii="SimSun" w:eastAsia="SimSun" w:hAnsi="SimSun" w:cs="SimSun"/>
          <w:spacing w:val="78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 xml:space="preserve">高弹性密封胶可重复使用，但重复加热次数不宜超过3次。 </w:t>
      </w:r>
      <w:r>
        <w:rPr>
          <w:rFonts w:ascii="SimSun" w:eastAsia="SimSun" w:hAnsi="SimSun" w:cs="SimSun"/>
          <w:spacing w:val="1"/>
          <w:sz w:val="20"/>
          <w:szCs w:val="20"/>
        </w:rPr>
        <w:t>4</w:t>
      </w:r>
      <w:r>
        <w:rPr>
          <w:rFonts w:ascii="SimSun" w:eastAsia="SimSun" w:hAnsi="SimSun" w:cs="SimSun"/>
          <w:spacing w:val="9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高弹性密封胶各项技术指标见表4.0.2。</w:t>
      </w:r>
    </w:p>
    <w:p>
      <w:pPr>
        <w:pStyle w:val="BodyText"/>
        <w:spacing w:before="229" w:line="221" w:lineRule="auto"/>
        <w:ind w:left="1532"/>
        <w:rPr>
          <w:sz w:val="20"/>
          <w:szCs w:val="20"/>
        </w:rPr>
      </w:pPr>
      <w:r>
        <w:rPr>
          <w:b/>
          <w:bCs/>
          <w:spacing w:val="-16"/>
          <w:sz w:val="20"/>
          <w:szCs w:val="20"/>
        </w:rPr>
        <w:t>表4.0.2</w:t>
      </w:r>
      <w:r>
        <w:rPr>
          <w:spacing w:val="-16"/>
          <w:sz w:val="20"/>
          <w:szCs w:val="20"/>
        </w:rPr>
        <w:t xml:space="preserve"> </w:t>
      </w:r>
      <w:r>
        <w:rPr>
          <w:b/>
          <w:bCs/>
          <w:spacing w:val="-16"/>
          <w:sz w:val="20"/>
          <w:szCs w:val="20"/>
        </w:rPr>
        <w:t>高弹性密封胶的技术指标</w:t>
      </w:r>
    </w:p>
    <w:tbl>
      <w:tblPr>
        <w:tblStyle w:val="TableNormal2"/>
        <w:tblW w:w="5829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941"/>
        <w:gridCol w:w="1936"/>
        <w:gridCol w:w="1952"/>
      </w:tblGrid>
      <w:tr>
        <w:tblPrEx>
          <w:tblW w:w="5829" w:type="dxa"/>
          <w:tblInd w:w="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44"/>
        </w:trPr>
        <w:tc>
          <w:tcPr>
            <w:tcW w:w="1941" w:type="dxa"/>
            <w:vAlign w:val="top"/>
          </w:tcPr>
          <w:p>
            <w:pPr>
              <w:pStyle w:val="TableText"/>
              <w:spacing w:before="101" w:line="220" w:lineRule="auto"/>
              <w:ind w:left="585"/>
            </w:pPr>
            <w:r>
              <w:rPr>
                <w:spacing w:val="-5"/>
              </w:rPr>
              <w:t>项</w:t>
            </w:r>
            <w:r>
              <w:rPr>
                <w:spacing w:val="12"/>
              </w:rPr>
              <w:t xml:space="preserve">      </w:t>
            </w:r>
            <w:r>
              <w:rPr>
                <w:spacing w:val="-5"/>
              </w:rPr>
              <w:t>目</w:t>
            </w:r>
          </w:p>
        </w:tc>
        <w:tc>
          <w:tcPr>
            <w:tcW w:w="1936" w:type="dxa"/>
            <w:vAlign w:val="top"/>
          </w:tcPr>
          <w:p>
            <w:pPr>
              <w:pStyle w:val="TableText"/>
              <w:spacing w:before="101" w:line="220" w:lineRule="auto"/>
              <w:ind w:left="773"/>
            </w:pPr>
            <w:r>
              <w:rPr>
                <w:spacing w:val="-4"/>
              </w:rPr>
              <w:t>单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位</w:t>
            </w:r>
          </w:p>
        </w:tc>
        <w:tc>
          <w:tcPr>
            <w:tcW w:w="1952" w:type="dxa"/>
            <w:vAlign w:val="top"/>
          </w:tcPr>
          <w:p>
            <w:pPr>
              <w:pStyle w:val="TableText"/>
              <w:spacing w:before="99" w:line="219" w:lineRule="auto"/>
              <w:ind w:left="670"/>
            </w:pPr>
            <w:r>
              <w:rPr>
                <w:b/>
                <w:bCs/>
                <w:spacing w:val="-3"/>
              </w:rPr>
              <w:t>技术指标</w:t>
            </w:r>
          </w:p>
        </w:tc>
      </w:tr>
      <w:tr>
        <w:tblPrEx>
          <w:tblW w:w="5829" w:type="dxa"/>
          <w:tblInd w:w="30" w:type="dxa"/>
          <w:tblLayout w:type="fixed"/>
        </w:tblPrEx>
        <w:trPr>
          <w:trHeight w:val="339"/>
        </w:trPr>
        <w:tc>
          <w:tcPr>
            <w:tcW w:w="1941" w:type="dxa"/>
            <w:vAlign w:val="top"/>
          </w:tcPr>
          <w:p>
            <w:pPr>
              <w:pStyle w:val="TableText"/>
              <w:spacing w:before="91" w:line="214" w:lineRule="auto"/>
              <w:ind w:left="244"/>
            </w:pPr>
            <w:r>
              <w:rPr>
                <w:spacing w:val="1"/>
              </w:rPr>
              <w:t>针入度(25℃,100g,5s</w:t>
            </w:r>
          </w:p>
        </w:tc>
        <w:tc>
          <w:tcPr>
            <w:tcW w:w="1936" w:type="dxa"/>
            <w:vAlign w:val="top"/>
          </w:tcPr>
          <w:p>
            <w:pPr>
              <w:pStyle w:val="TableText"/>
              <w:spacing w:before="135" w:line="184" w:lineRule="auto"/>
              <w:ind w:left="733"/>
            </w:pPr>
            <w:r>
              <w:rPr>
                <w:spacing w:val="-2"/>
              </w:rPr>
              <w:t>0.01cm</w:t>
            </w:r>
          </w:p>
        </w:tc>
        <w:tc>
          <w:tcPr>
            <w:tcW w:w="1952" w:type="dxa"/>
            <w:vAlign w:val="top"/>
          </w:tcPr>
          <w:p>
            <w:pPr>
              <w:pStyle w:val="TableText"/>
              <w:spacing w:before="135" w:line="183" w:lineRule="auto"/>
              <w:ind w:left="747"/>
            </w:pPr>
            <w:r>
              <w:rPr>
                <w:spacing w:val="-1"/>
              </w:rPr>
              <w:t>40～60</w:t>
            </w:r>
          </w:p>
        </w:tc>
      </w:tr>
      <w:tr>
        <w:tblPrEx>
          <w:tblW w:w="5829" w:type="dxa"/>
          <w:tblInd w:w="30" w:type="dxa"/>
          <w:tblLayout w:type="fixed"/>
        </w:tblPrEx>
        <w:trPr>
          <w:trHeight w:val="329"/>
        </w:trPr>
        <w:tc>
          <w:tcPr>
            <w:tcW w:w="1941" w:type="dxa"/>
            <w:vAlign w:val="top"/>
          </w:tcPr>
          <w:p>
            <w:pPr>
              <w:pStyle w:val="TableText"/>
              <w:spacing w:before="86" w:line="216" w:lineRule="auto"/>
              <w:ind w:left="324"/>
            </w:pPr>
            <w:r>
              <w:rPr>
                <w:spacing w:val="3"/>
              </w:rPr>
              <w:t>延度(5℃,5</w:t>
            </w:r>
            <w:r>
              <w:t>cm</w:t>
            </w:r>
            <w:r>
              <w:rPr>
                <w:spacing w:val="3"/>
              </w:rPr>
              <w:t>/</w:t>
            </w:r>
            <w:r>
              <w:t>min</w:t>
            </w:r>
            <w:r>
              <w:rPr>
                <w:spacing w:val="3"/>
              </w:rPr>
              <w:t>)</w:t>
            </w:r>
          </w:p>
        </w:tc>
        <w:tc>
          <w:tcPr>
            <w:tcW w:w="19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2" w:type="dxa"/>
            <w:vAlign w:val="top"/>
          </w:tcPr>
          <w:p>
            <w:pPr>
              <w:pStyle w:val="TableText"/>
              <w:spacing w:before="102"/>
              <w:ind w:left="857"/>
            </w:pPr>
            <w:r>
              <w:rPr>
                <w:spacing w:val="-3"/>
              </w:rPr>
              <w:t>&gt;10</w:t>
            </w:r>
          </w:p>
        </w:tc>
      </w:tr>
      <w:tr>
        <w:tblPrEx>
          <w:tblW w:w="5829" w:type="dxa"/>
          <w:tblInd w:w="30" w:type="dxa"/>
          <w:tblLayout w:type="fixed"/>
        </w:tblPrEx>
        <w:trPr>
          <w:trHeight w:val="329"/>
        </w:trPr>
        <w:tc>
          <w:tcPr>
            <w:tcW w:w="1941" w:type="dxa"/>
            <w:vAlign w:val="top"/>
          </w:tcPr>
          <w:p>
            <w:pPr>
              <w:pStyle w:val="TableText"/>
              <w:spacing w:before="89" w:line="220" w:lineRule="auto"/>
              <w:ind w:left="734"/>
            </w:pPr>
            <w:r>
              <w:rPr>
                <w:spacing w:val="4"/>
              </w:rPr>
              <w:t>软化点</w:t>
            </w:r>
          </w:p>
        </w:tc>
        <w:tc>
          <w:tcPr>
            <w:tcW w:w="19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2" w:type="dxa"/>
            <w:vAlign w:val="top"/>
          </w:tcPr>
          <w:p>
            <w:pPr>
              <w:pStyle w:val="TableText"/>
              <w:spacing w:before="104" w:line="237" w:lineRule="auto"/>
              <w:ind w:left="817"/>
            </w:pPr>
            <w:r>
              <w:rPr>
                <w:spacing w:val="-6"/>
              </w:rPr>
              <w:t>≥85</w:t>
            </w:r>
          </w:p>
        </w:tc>
      </w:tr>
      <w:tr>
        <w:tblPrEx>
          <w:tblW w:w="5829" w:type="dxa"/>
          <w:tblInd w:w="30" w:type="dxa"/>
          <w:tblLayout w:type="fixed"/>
        </w:tblPrEx>
        <w:trPr>
          <w:trHeight w:val="339"/>
        </w:trPr>
        <w:tc>
          <w:tcPr>
            <w:tcW w:w="1941" w:type="dxa"/>
            <w:vAlign w:val="top"/>
          </w:tcPr>
          <w:p>
            <w:pPr>
              <w:pStyle w:val="TableText"/>
              <w:spacing w:before="100" w:line="220" w:lineRule="auto"/>
              <w:ind w:left="585"/>
            </w:pPr>
            <w:r>
              <w:rPr>
                <w:spacing w:val="5"/>
              </w:rPr>
              <w:t>闪点(开口)</w:t>
            </w:r>
          </w:p>
        </w:tc>
        <w:tc>
          <w:tcPr>
            <w:tcW w:w="1936" w:type="dxa"/>
            <w:vAlign w:val="top"/>
          </w:tcPr>
          <w:p>
            <w:pPr>
              <w:pStyle w:val="TableText"/>
              <w:spacing w:before="115" w:line="237" w:lineRule="auto"/>
              <w:ind w:left="883"/>
            </w:pPr>
            <w:r>
              <w:t>℃</w:t>
            </w:r>
          </w:p>
        </w:tc>
        <w:tc>
          <w:tcPr>
            <w:tcW w:w="1952" w:type="dxa"/>
            <w:vAlign w:val="top"/>
          </w:tcPr>
          <w:p>
            <w:pPr>
              <w:pStyle w:val="TableText"/>
              <w:spacing w:before="115" w:line="237" w:lineRule="auto"/>
              <w:ind w:left="777"/>
            </w:pPr>
            <w:r>
              <w:rPr>
                <w:spacing w:val="-5"/>
              </w:rPr>
              <w:t>≥230</w:t>
            </w:r>
          </w:p>
        </w:tc>
      </w:tr>
      <w:tr>
        <w:tblPrEx>
          <w:tblW w:w="5829" w:type="dxa"/>
          <w:tblInd w:w="30" w:type="dxa"/>
          <w:tblLayout w:type="fixed"/>
        </w:tblPrEx>
        <w:trPr>
          <w:trHeight w:val="339"/>
        </w:trPr>
        <w:tc>
          <w:tcPr>
            <w:tcW w:w="1941" w:type="dxa"/>
            <w:vAlign w:val="top"/>
          </w:tcPr>
          <w:p>
            <w:pPr>
              <w:pStyle w:val="TableText"/>
              <w:spacing w:before="101" w:line="219" w:lineRule="auto"/>
              <w:ind w:left="394"/>
            </w:pPr>
            <w:r>
              <w:rPr>
                <w:spacing w:val="3"/>
              </w:rPr>
              <w:t>动力粘度(135℃)</w:t>
            </w:r>
          </w:p>
        </w:tc>
        <w:tc>
          <w:tcPr>
            <w:tcW w:w="1936" w:type="dxa"/>
            <w:vAlign w:val="top"/>
          </w:tcPr>
          <w:p>
            <w:pPr>
              <w:pStyle w:val="TableText"/>
              <w:spacing w:before="116" w:line="238" w:lineRule="auto"/>
              <w:ind w:left="773"/>
            </w:pPr>
            <w:r>
              <w:rPr>
                <w:spacing w:val="-16"/>
              </w:rPr>
              <w:t>Pa ·s</w:t>
            </w:r>
          </w:p>
        </w:tc>
        <w:tc>
          <w:tcPr>
            <w:tcW w:w="1952" w:type="dxa"/>
            <w:vAlign w:val="top"/>
          </w:tcPr>
          <w:p>
            <w:pPr>
              <w:pStyle w:val="TableText"/>
              <w:spacing w:before="114" w:line="236" w:lineRule="auto"/>
              <w:ind w:left="777"/>
            </w:pPr>
            <w:r>
              <w:rPr>
                <w:spacing w:val="-5"/>
              </w:rPr>
              <w:t>≤3.0</w:t>
            </w:r>
          </w:p>
        </w:tc>
      </w:tr>
      <w:tr>
        <w:tblPrEx>
          <w:tblW w:w="5829" w:type="dxa"/>
          <w:tblInd w:w="30" w:type="dxa"/>
          <w:tblLayout w:type="fixed"/>
        </w:tblPrEx>
        <w:trPr>
          <w:trHeight w:val="329"/>
        </w:trPr>
        <w:tc>
          <w:tcPr>
            <w:tcW w:w="1941" w:type="dxa"/>
            <w:vAlign w:val="top"/>
          </w:tcPr>
          <w:p>
            <w:pPr>
              <w:pStyle w:val="TableText"/>
              <w:spacing w:before="92" w:line="219" w:lineRule="auto"/>
              <w:ind w:left="434"/>
            </w:pPr>
            <w:r>
              <w:rPr>
                <w:spacing w:val="3"/>
              </w:rPr>
              <w:t>动力粘度(60℃)</w:t>
            </w:r>
          </w:p>
        </w:tc>
        <w:tc>
          <w:tcPr>
            <w:tcW w:w="1936" w:type="dxa"/>
            <w:vAlign w:val="top"/>
          </w:tcPr>
          <w:p>
            <w:pPr>
              <w:pStyle w:val="TableText"/>
              <w:spacing w:before="107" w:line="238" w:lineRule="auto"/>
              <w:ind w:left="773"/>
            </w:pPr>
            <w:r>
              <w:rPr>
                <w:spacing w:val="-16"/>
              </w:rPr>
              <w:t>Pa ·s</w:t>
            </w:r>
          </w:p>
        </w:tc>
        <w:tc>
          <w:tcPr>
            <w:tcW w:w="1952" w:type="dxa"/>
            <w:vAlign w:val="top"/>
          </w:tcPr>
          <w:p>
            <w:pPr>
              <w:pStyle w:val="TableText"/>
              <w:spacing w:before="106"/>
              <w:ind w:left="777"/>
            </w:pPr>
            <w:r>
              <w:rPr>
                <w:spacing w:val="-2"/>
              </w:rPr>
              <w:t>&gt;1200</w:t>
            </w:r>
          </w:p>
        </w:tc>
      </w:tr>
      <w:tr>
        <w:tblPrEx>
          <w:tblW w:w="5829" w:type="dxa"/>
          <w:tblInd w:w="30" w:type="dxa"/>
          <w:tblLayout w:type="fixed"/>
        </w:tblPrEx>
        <w:trPr>
          <w:trHeight w:val="329"/>
        </w:trPr>
        <w:tc>
          <w:tcPr>
            <w:tcW w:w="1941" w:type="dxa"/>
            <w:vAlign w:val="top"/>
          </w:tcPr>
          <w:p>
            <w:pPr>
              <w:pStyle w:val="TableText"/>
              <w:spacing w:before="92" w:line="219" w:lineRule="auto"/>
              <w:ind w:left="434"/>
            </w:pPr>
            <w:r>
              <w:rPr>
                <w:spacing w:val="3"/>
              </w:rPr>
              <w:t>弹性恢复(25℃)</w:t>
            </w:r>
          </w:p>
        </w:tc>
        <w:tc>
          <w:tcPr>
            <w:tcW w:w="1936" w:type="dxa"/>
            <w:vAlign w:val="top"/>
          </w:tcPr>
          <w:p>
            <w:pPr>
              <w:pStyle w:val="TableText"/>
              <w:spacing w:before="107"/>
              <w:ind w:left="923"/>
            </w:pPr>
            <w:r>
              <w:t>%</w:t>
            </w:r>
          </w:p>
        </w:tc>
        <w:tc>
          <w:tcPr>
            <w:tcW w:w="1952" w:type="dxa"/>
            <w:vAlign w:val="top"/>
          </w:tcPr>
          <w:p>
            <w:pPr>
              <w:pStyle w:val="TableText"/>
              <w:spacing w:before="107" w:line="237" w:lineRule="auto"/>
              <w:ind w:left="817"/>
            </w:pPr>
            <w:r>
              <w:rPr>
                <w:spacing w:val="-6"/>
              </w:rPr>
              <w:t>≥85</w:t>
            </w:r>
          </w:p>
        </w:tc>
      </w:tr>
    </w:tbl>
    <w:p>
      <w:pPr>
        <w:sectPr>
          <w:footerReference w:type="default" r:id="rId11"/>
          <w:pgSz w:w="8190" w:h="11680"/>
          <w:pgMar w:top="992" w:right="1228" w:bottom="862" w:left="1029" w:header="0" w:footer="703" w:gutter="0"/>
          <w:pgNumType w:start="15"/>
          <w:cols w:space="708"/>
        </w:sectPr>
      </w:pPr>
    </w:p>
    <w:tbl>
      <w:tblPr>
        <w:tblStyle w:val="TableNormal3"/>
        <w:tblW w:w="5829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941"/>
        <w:gridCol w:w="1936"/>
        <w:gridCol w:w="1952"/>
      </w:tblGrid>
      <w:tr>
        <w:tblPrEx>
          <w:tblW w:w="5829" w:type="dxa"/>
          <w:tblInd w:w="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39"/>
        </w:trPr>
        <w:tc>
          <w:tcPr>
            <w:tcW w:w="1941" w:type="dxa"/>
            <w:vAlign w:val="top"/>
          </w:tcPr>
          <w:p>
            <w:pPr>
              <w:pStyle w:val="TableText"/>
              <w:spacing w:before="104" w:line="220" w:lineRule="auto"/>
              <w:ind w:left="514"/>
            </w:pPr>
            <w:r>
              <w:rPr>
                <w:spacing w:val="-1"/>
              </w:rPr>
              <w:t>低温弯拉流变</w:t>
            </w:r>
          </w:p>
        </w:tc>
        <w:tc>
          <w:tcPr>
            <w:tcW w:w="1936" w:type="dxa"/>
            <w:vAlign w:val="top"/>
          </w:tcPr>
          <w:p>
            <w:pPr>
              <w:pStyle w:val="TableText"/>
              <w:spacing w:before="143" w:line="182" w:lineRule="auto"/>
              <w:ind w:left="844"/>
            </w:pPr>
            <w:r>
              <w:rPr>
                <w:spacing w:val="-1"/>
              </w:rPr>
              <w:t>MPa</w:t>
            </w:r>
          </w:p>
        </w:tc>
        <w:tc>
          <w:tcPr>
            <w:tcW w:w="1952" w:type="dxa"/>
            <w:vAlign w:val="top"/>
          </w:tcPr>
          <w:p>
            <w:pPr>
              <w:pStyle w:val="TableText"/>
              <w:spacing w:before="117" w:line="236" w:lineRule="auto"/>
              <w:ind w:left="777"/>
            </w:pPr>
            <w:r>
              <w:rPr>
                <w:spacing w:val="-4"/>
              </w:rPr>
              <w:t>≤300</w:t>
            </w:r>
          </w:p>
        </w:tc>
      </w:tr>
      <w:tr>
        <w:tblPrEx>
          <w:tblW w:w="5829" w:type="dxa"/>
          <w:tblInd w:w="30" w:type="dxa"/>
          <w:tblLayout w:type="fixed"/>
        </w:tblPrEx>
        <w:trPr>
          <w:trHeight w:val="329"/>
        </w:trPr>
        <w:tc>
          <w:tcPr>
            <w:tcW w:w="1941" w:type="dxa"/>
            <w:vAlign w:val="top"/>
          </w:tcPr>
          <w:p>
            <w:pPr>
              <w:pStyle w:val="TableText"/>
              <w:spacing w:before="95" w:line="219" w:lineRule="auto"/>
              <w:ind w:left="204"/>
            </w:pPr>
            <w:r>
              <w:rPr>
                <w:spacing w:val="2"/>
              </w:rPr>
              <w:t>动态剪切流变(64℃)</w:t>
            </w:r>
          </w:p>
        </w:tc>
        <w:tc>
          <w:tcPr>
            <w:tcW w:w="1936" w:type="dxa"/>
            <w:vAlign w:val="top"/>
          </w:tcPr>
          <w:p>
            <w:pPr>
              <w:pStyle w:val="TableText"/>
              <w:spacing w:before="129" w:line="188" w:lineRule="auto"/>
              <w:ind w:left="844"/>
            </w:pPr>
            <w:r>
              <w:rPr>
                <w:spacing w:val="-2"/>
              </w:rPr>
              <w:t>kPa</w:t>
            </w:r>
          </w:p>
        </w:tc>
        <w:tc>
          <w:tcPr>
            <w:tcW w:w="1952" w:type="dxa"/>
            <w:vAlign w:val="top"/>
          </w:tcPr>
          <w:p>
            <w:pPr>
              <w:pStyle w:val="TableText"/>
              <w:spacing w:before="110" w:line="237" w:lineRule="auto"/>
              <w:ind w:left="777"/>
            </w:pPr>
            <w:r>
              <w:rPr>
                <w:spacing w:val="-6"/>
              </w:rPr>
              <w:t>≥1.0</w:t>
            </w:r>
          </w:p>
        </w:tc>
      </w:tr>
      <w:tr>
        <w:tblPrEx>
          <w:tblW w:w="5829" w:type="dxa"/>
          <w:tblInd w:w="30" w:type="dxa"/>
          <w:tblLayout w:type="fixed"/>
        </w:tblPrEx>
        <w:trPr>
          <w:trHeight w:val="344"/>
        </w:trPr>
        <w:tc>
          <w:tcPr>
            <w:tcW w:w="1941" w:type="dxa"/>
            <w:vAlign w:val="top"/>
          </w:tcPr>
          <w:p>
            <w:pPr>
              <w:pStyle w:val="TableText"/>
              <w:spacing w:before="106" w:line="220" w:lineRule="auto"/>
              <w:ind w:left="514"/>
            </w:pPr>
            <w:r>
              <w:rPr>
                <w:spacing w:val="-2"/>
              </w:rPr>
              <w:t>安全加热温度</w:t>
            </w:r>
          </w:p>
        </w:tc>
        <w:tc>
          <w:tcPr>
            <w:tcW w:w="1936" w:type="dxa"/>
            <w:vAlign w:val="top"/>
          </w:tcPr>
          <w:p>
            <w:pPr>
              <w:pStyle w:val="TableText"/>
              <w:spacing w:before="120" w:line="237" w:lineRule="auto"/>
              <w:ind w:left="883"/>
            </w:pPr>
            <w:r>
              <w:t>℃</w:t>
            </w:r>
          </w:p>
        </w:tc>
        <w:tc>
          <w:tcPr>
            <w:tcW w:w="1952" w:type="dxa"/>
            <w:vAlign w:val="top"/>
          </w:tcPr>
          <w:p>
            <w:pPr>
              <w:pStyle w:val="TableText"/>
              <w:spacing w:before="144" w:line="184" w:lineRule="auto"/>
              <w:ind w:left="667"/>
            </w:pPr>
            <w:r>
              <w:rPr>
                <w:spacing w:val="-3"/>
              </w:rPr>
              <w:t>180～200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2"/>
          <w:type w:val="nextPage"/>
          <w:pgSz w:w="8190" w:h="11680"/>
          <w:pgMar w:top="992" w:right="1228" w:bottom="862" w:left="1029" w:header="0" w:footer="703" w:gutter="0"/>
          <w:pgNumType w:start="16"/>
          <w:cols w:space="708"/>
          <w:titlePg w:val="0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65" w:line="219" w:lineRule="auto"/>
        <w:ind w:left="19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spacing w:val="9"/>
          <w:sz w:val="20"/>
          <w:szCs w:val="20"/>
        </w:rPr>
        <w:t>4.0.3</w:t>
      </w:r>
      <w:r>
        <w:rPr>
          <w:rFonts w:ascii="Arial" w:eastAsia="Arial" w:hAnsi="Arial" w:cs="Arial"/>
          <w:spacing w:val="18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9"/>
          <w:sz w:val="20"/>
          <w:szCs w:val="20"/>
        </w:rPr>
        <w:t>重交通70#沥青技术要求。</w:t>
      </w:r>
    </w:p>
    <w:p>
      <w:pPr>
        <w:spacing w:before="53" w:line="269" w:lineRule="auto"/>
        <w:ind w:left="19" w:right="60"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5"/>
          <w:sz w:val="20"/>
          <w:szCs w:val="20"/>
        </w:rPr>
        <w:t>1</w:t>
      </w:r>
      <w:r>
        <w:rPr>
          <w:rFonts w:ascii="SimSun" w:eastAsia="SimSun" w:hAnsi="SimSun" w:cs="SimSun"/>
          <w:spacing w:val="6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5"/>
          <w:sz w:val="20"/>
          <w:szCs w:val="20"/>
        </w:rPr>
        <w:t>重交通70#沥青适用于二级及二级以下沥青路面裂缝的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密封施工。</w:t>
      </w:r>
    </w:p>
    <w:p>
      <w:pPr>
        <w:spacing w:before="66" w:line="258" w:lineRule="auto"/>
        <w:ind w:left="19" w:right="67"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4"/>
          <w:sz w:val="20"/>
          <w:szCs w:val="20"/>
        </w:rPr>
        <w:t>2</w:t>
      </w:r>
      <w:r>
        <w:rPr>
          <w:rFonts w:ascii="SimSun" w:eastAsia="SimSun" w:hAnsi="SimSun" w:cs="SimSun"/>
          <w:spacing w:val="8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sz w:val="20"/>
          <w:szCs w:val="20"/>
        </w:rPr>
        <w:t>重交通70#沥青应避免重复加热，防止沥青性质发生变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化，贮存的时间也不易过长，以免发生离析。</w:t>
      </w:r>
    </w:p>
    <w:p>
      <w:pPr>
        <w:spacing w:before="81" w:line="21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3</w:t>
      </w:r>
      <w:r>
        <w:rPr>
          <w:rFonts w:ascii="SimSun" w:eastAsia="SimSun" w:hAnsi="SimSun" w:cs="SimSun"/>
          <w:spacing w:val="5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重交通70#沥青的各项技术指标见表4.0.3。</w:t>
      </w:r>
    </w:p>
    <w:p>
      <w:pPr>
        <w:pStyle w:val="BodyText"/>
        <w:spacing w:before="251" w:line="222" w:lineRule="auto"/>
        <w:ind w:left="1442"/>
        <w:rPr>
          <w:sz w:val="20"/>
          <w:szCs w:val="20"/>
        </w:rPr>
      </w:pPr>
      <w:r>
        <w:rPr>
          <w:b/>
          <w:bCs/>
          <w:spacing w:val="-13"/>
          <w:sz w:val="20"/>
          <w:szCs w:val="20"/>
        </w:rPr>
        <w:t>表4.0.3</w:t>
      </w:r>
      <w:r>
        <w:rPr>
          <w:spacing w:val="58"/>
          <w:sz w:val="20"/>
          <w:szCs w:val="20"/>
        </w:rPr>
        <w:t xml:space="preserve"> </w:t>
      </w:r>
      <w:r>
        <w:rPr>
          <w:b/>
          <w:bCs/>
          <w:spacing w:val="-13"/>
          <w:sz w:val="20"/>
          <w:szCs w:val="20"/>
        </w:rPr>
        <w:t>重交通70#沥青的技术指标</w:t>
      </w:r>
    </w:p>
    <w:p>
      <w:pPr>
        <w:spacing w:line="139" w:lineRule="exact"/>
      </w:pPr>
    </w:p>
    <w:tbl>
      <w:tblPr>
        <w:tblStyle w:val="TableNormal4"/>
        <w:tblW w:w="5730" w:type="dxa"/>
        <w:tblInd w:w="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93"/>
        <w:gridCol w:w="1747"/>
        <w:gridCol w:w="1498"/>
        <w:gridCol w:w="1492"/>
      </w:tblGrid>
      <w:tr>
        <w:tblPrEx>
          <w:tblW w:w="5730" w:type="dxa"/>
          <w:tblInd w:w="4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43"/>
        </w:trPr>
        <w:tc>
          <w:tcPr>
            <w:tcW w:w="2740" w:type="dxa"/>
            <w:gridSpan w:val="2"/>
            <w:vAlign w:val="top"/>
          </w:tcPr>
          <w:p>
            <w:pPr>
              <w:pStyle w:val="TableText"/>
              <w:spacing w:before="101" w:line="220" w:lineRule="auto"/>
              <w:ind w:left="1025"/>
            </w:pPr>
            <w:r>
              <w:rPr>
                <w:spacing w:val="-3"/>
              </w:rPr>
              <w:t>项      目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spacing w:before="101" w:line="220" w:lineRule="auto"/>
              <w:ind w:left="525"/>
            </w:pPr>
            <w:r>
              <w:rPr>
                <w:spacing w:val="-4"/>
              </w:rPr>
              <w:t>单</w:t>
            </w:r>
            <w:r>
              <w:rPr>
                <w:spacing w:val="4"/>
              </w:rPr>
              <w:t xml:space="preserve">  </w:t>
            </w:r>
            <w:r>
              <w:rPr>
                <w:spacing w:val="-4"/>
              </w:rPr>
              <w:t>位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101" w:line="219" w:lineRule="auto"/>
              <w:ind w:left="437"/>
            </w:pPr>
            <w:r>
              <w:rPr>
                <w:spacing w:val="-2"/>
              </w:rPr>
              <w:t>技术指标</w:t>
            </w:r>
          </w:p>
        </w:tc>
      </w:tr>
      <w:tr>
        <w:tblPrEx>
          <w:tblW w:w="5730" w:type="dxa"/>
          <w:tblInd w:w="49" w:type="dxa"/>
          <w:tblLayout w:type="fixed"/>
        </w:tblPrEx>
        <w:trPr>
          <w:trHeight w:val="329"/>
        </w:trPr>
        <w:tc>
          <w:tcPr>
            <w:tcW w:w="2740" w:type="dxa"/>
            <w:gridSpan w:val="2"/>
            <w:vAlign w:val="top"/>
          </w:tcPr>
          <w:p>
            <w:pPr>
              <w:pStyle w:val="TableText"/>
              <w:spacing w:before="82" w:line="214" w:lineRule="auto"/>
              <w:ind w:left="615"/>
            </w:pPr>
            <w:r>
              <w:rPr>
                <w:spacing w:val="2"/>
              </w:rPr>
              <w:t>针入度(25℃,100g,5s)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spacing w:before="126" w:line="184" w:lineRule="auto"/>
              <w:ind w:left="515"/>
            </w:pPr>
            <w:r>
              <w:rPr>
                <w:spacing w:val="-2"/>
              </w:rPr>
              <w:t>0.01cm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126" w:line="183" w:lineRule="auto"/>
              <w:ind w:left="517"/>
            </w:pPr>
            <w:r>
              <w:rPr>
                <w:spacing w:val="-2"/>
              </w:rPr>
              <w:t>60～80</w:t>
            </w:r>
          </w:p>
        </w:tc>
      </w:tr>
      <w:tr>
        <w:tblPrEx>
          <w:tblW w:w="5730" w:type="dxa"/>
          <w:tblInd w:w="49" w:type="dxa"/>
          <w:tblLayout w:type="fixed"/>
        </w:tblPrEx>
        <w:trPr>
          <w:trHeight w:val="339"/>
        </w:trPr>
        <w:tc>
          <w:tcPr>
            <w:tcW w:w="2740" w:type="dxa"/>
            <w:gridSpan w:val="2"/>
            <w:vAlign w:val="top"/>
          </w:tcPr>
          <w:p>
            <w:pPr>
              <w:pStyle w:val="TableText"/>
              <w:spacing w:before="97" w:line="216" w:lineRule="auto"/>
              <w:ind w:left="685"/>
            </w:pPr>
            <w:r>
              <w:rPr>
                <w:spacing w:val="3"/>
              </w:rPr>
              <w:t>延度(15℃,5</w:t>
            </w:r>
            <w:r>
              <w:t>cm</w:t>
            </w:r>
            <w:r>
              <w:rPr>
                <w:spacing w:val="3"/>
              </w:rPr>
              <w:t>/</w:t>
            </w:r>
            <w:r>
              <w:t>min</w:t>
            </w:r>
            <w:r>
              <w:rPr>
                <w:spacing w:val="3"/>
              </w:rPr>
              <w:t>)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spacing w:before="171" w:line="182" w:lineRule="auto"/>
              <w:jc w:val="right"/>
            </w:pPr>
            <w:r>
              <w:rPr>
                <w:spacing w:val="-8"/>
                <w:position w:val="1"/>
              </w:rPr>
              <w:t>cm</w:t>
            </w:r>
            <w:r>
              <w:rPr>
                <w:spacing w:val="3"/>
                <w:position w:val="1"/>
              </w:rPr>
              <w:t xml:space="preserve">       </w:t>
            </w:r>
            <w:r>
              <w:rPr>
                <w:spacing w:val="-8"/>
              </w:rPr>
              <w:t>与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113"/>
              <w:ind w:left="587"/>
            </w:pPr>
            <w:r>
              <w:rPr>
                <w:spacing w:val="-2"/>
              </w:rPr>
              <w:t>&gt;100</w:t>
            </w:r>
          </w:p>
        </w:tc>
      </w:tr>
      <w:tr>
        <w:tblPrEx>
          <w:tblW w:w="5730" w:type="dxa"/>
          <w:tblInd w:w="49" w:type="dxa"/>
          <w:tblLayout w:type="fixed"/>
        </w:tblPrEx>
        <w:trPr>
          <w:trHeight w:val="329"/>
        </w:trPr>
        <w:tc>
          <w:tcPr>
            <w:tcW w:w="2740" w:type="dxa"/>
            <w:gridSpan w:val="2"/>
            <w:vAlign w:val="top"/>
          </w:tcPr>
          <w:p>
            <w:pPr>
              <w:pStyle w:val="TableText"/>
              <w:spacing w:before="90" w:line="220" w:lineRule="auto"/>
              <w:ind w:left="1135"/>
            </w:pPr>
            <w:r>
              <w:rPr>
                <w:spacing w:val="4"/>
              </w:rPr>
              <w:t>软化点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spacing w:before="104" w:line="237" w:lineRule="auto"/>
              <w:ind w:left="665"/>
            </w:pPr>
            <w:r>
              <w:t>℃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128" w:line="183" w:lineRule="auto"/>
              <w:ind w:left="517"/>
            </w:pPr>
            <w:r>
              <w:rPr>
                <w:spacing w:val="-1"/>
              </w:rPr>
              <w:t>42～52</w:t>
            </w:r>
          </w:p>
        </w:tc>
      </w:tr>
      <w:tr>
        <w:tblPrEx>
          <w:tblW w:w="5730" w:type="dxa"/>
          <w:tblInd w:w="49" w:type="dxa"/>
          <w:tblLayout w:type="fixed"/>
        </w:tblPrEx>
        <w:trPr>
          <w:trHeight w:val="339"/>
        </w:trPr>
        <w:tc>
          <w:tcPr>
            <w:tcW w:w="2740" w:type="dxa"/>
            <w:gridSpan w:val="2"/>
            <w:vAlign w:val="top"/>
          </w:tcPr>
          <w:p>
            <w:pPr>
              <w:pStyle w:val="TableText"/>
              <w:spacing w:before="101" w:line="220" w:lineRule="auto"/>
              <w:ind w:left="985"/>
            </w:pPr>
            <w:r>
              <w:rPr>
                <w:spacing w:val="5"/>
              </w:rPr>
              <w:t>闪点(开口)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spacing w:before="116" w:line="237" w:lineRule="auto"/>
              <w:ind w:left="665"/>
            </w:pPr>
            <w:r>
              <w:t>℃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116" w:line="237" w:lineRule="auto"/>
              <w:ind w:left="547"/>
            </w:pPr>
            <w:r>
              <w:rPr>
                <w:spacing w:val="-5"/>
              </w:rPr>
              <w:t>≥230</w:t>
            </w:r>
          </w:p>
        </w:tc>
      </w:tr>
      <w:tr>
        <w:tblPrEx>
          <w:tblW w:w="5730" w:type="dxa"/>
          <w:tblInd w:w="49" w:type="dxa"/>
          <w:tblLayout w:type="fixed"/>
        </w:tblPrEx>
        <w:trPr>
          <w:trHeight w:val="329"/>
        </w:trPr>
        <w:tc>
          <w:tcPr>
            <w:tcW w:w="2740" w:type="dxa"/>
            <w:gridSpan w:val="2"/>
            <w:vAlign w:val="top"/>
          </w:tcPr>
          <w:p>
            <w:pPr>
              <w:pStyle w:val="TableText"/>
              <w:spacing w:before="92" w:line="219" w:lineRule="auto"/>
              <w:ind w:left="835"/>
            </w:pPr>
            <w:r>
              <w:rPr>
                <w:spacing w:val="4"/>
              </w:rPr>
              <w:t>含蜡量(蒸馏法)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spacing w:before="106"/>
              <w:ind w:left="705"/>
            </w:pPr>
            <w:r>
              <w:t>%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105" w:line="236" w:lineRule="auto"/>
              <w:ind w:left="627"/>
            </w:pPr>
            <w:r>
              <w:rPr>
                <w:spacing w:val="-6"/>
              </w:rPr>
              <w:t>≤3</w:t>
            </w:r>
          </w:p>
        </w:tc>
      </w:tr>
      <w:tr>
        <w:tblPrEx>
          <w:tblW w:w="5730" w:type="dxa"/>
          <w:tblInd w:w="49" w:type="dxa"/>
          <w:tblLayout w:type="fixed"/>
        </w:tblPrEx>
        <w:trPr>
          <w:trHeight w:val="339"/>
        </w:trPr>
        <w:tc>
          <w:tcPr>
            <w:tcW w:w="2740" w:type="dxa"/>
            <w:gridSpan w:val="2"/>
            <w:vAlign w:val="top"/>
          </w:tcPr>
          <w:p>
            <w:pPr>
              <w:pStyle w:val="TableText"/>
              <w:spacing w:before="103" w:line="219" w:lineRule="auto"/>
              <w:ind w:left="765"/>
            </w:pPr>
            <w:r>
              <w:rPr>
                <w:spacing w:val="3"/>
              </w:rPr>
              <w:t>溶解度(三氯乙烯)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spacing w:before="117"/>
              <w:ind w:left="705"/>
            </w:pPr>
            <w:r>
              <w:t>%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117" w:line="237" w:lineRule="auto"/>
              <w:ind w:left="517"/>
            </w:pPr>
            <w:r>
              <w:rPr>
                <w:spacing w:val="-5"/>
              </w:rPr>
              <w:t>≥99.0</w:t>
            </w:r>
          </w:p>
        </w:tc>
      </w:tr>
      <w:tr>
        <w:tblPrEx>
          <w:tblW w:w="5730" w:type="dxa"/>
          <w:tblInd w:w="49" w:type="dxa"/>
          <w:tblLayout w:type="fixed"/>
        </w:tblPrEx>
        <w:trPr>
          <w:trHeight w:val="329"/>
        </w:trPr>
        <w:tc>
          <w:tcPr>
            <w:tcW w:w="99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34" w:line="220" w:lineRule="auto"/>
              <w:ind w:left="185"/>
            </w:pPr>
            <w:r>
              <w:rPr>
                <w:spacing w:val="-2"/>
              </w:rPr>
              <w:t>薄膜加热</w:t>
            </w:r>
          </w:p>
          <w:p>
            <w:pPr>
              <w:pStyle w:val="TableText"/>
              <w:spacing w:before="31" w:line="221" w:lineRule="auto"/>
              <w:ind w:left="185"/>
            </w:pPr>
            <w:r>
              <w:rPr>
                <w:spacing w:val="-1"/>
              </w:rPr>
              <w:t>试验(163</w:t>
            </w:r>
          </w:p>
          <w:p>
            <w:pPr>
              <w:pStyle w:val="TableText"/>
              <w:spacing w:before="7" w:line="216" w:lineRule="auto"/>
              <w:ind w:left="265"/>
            </w:pPr>
            <w:r>
              <w:rPr>
                <w:spacing w:val="-3"/>
              </w:rPr>
              <w:t>℃,5h)</w:t>
            </w:r>
          </w:p>
        </w:tc>
        <w:tc>
          <w:tcPr>
            <w:tcW w:w="1747" w:type="dxa"/>
            <w:vAlign w:val="top"/>
          </w:tcPr>
          <w:p>
            <w:pPr>
              <w:pStyle w:val="TableText"/>
              <w:spacing w:before="94" w:line="220" w:lineRule="auto"/>
              <w:ind w:left="562"/>
            </w:pPr>
            <w:r>
              <w:rPr>
                <w:spacing w:val="-2"/>
              </w:rPr>
              <w:t>质量损失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spacing w:before="108"/>
              <w:ind w:left="705"/>
            </w:pPr>
            <w:r>
              <w:t>%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107" w:line="236" w:lineRule="auto"/>
              <w:ind w:left="547"/>
            </w:pPr>
            <w:r>
              <w:rPr>
                <w:spacing w:val="-5"/>
              </w:rPr>
              <w:t>≤1.0</w:t>
            </w:r>
          </w:p>
        </w:tc>
      </w:tr>
      <w:tr>
        <w:tblPrEx>
          <w:tblW w:w="5730" w:type="dxa"/>
          <w:tblInd w:w="49" w:type="dxa"/>
          <w:tblLayout w:type="fixed"/>
        </w:tblPrEx>
        <w:trPr>
          <w:trHeight w:val="329"/>
        </w:trPr>
        <w:tc>
          <w:tcPr>
            <w:tcW w:w="9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7" w:type="dxa"/>
            <w:vAlign w:val="top"/>
          </w:tcPr>
          <w:p>
            <w:pPr>
              <w:pStyle w:val="TableText"/>
              <w:spacing w:before="95" w:line="220" w:lineRule="auto"/>
              <w:ind w:left="412"/>
            </w:pPr>
            <w:r>
              <w:rPr>
                <w:spacing w:val="4"/>
              </w:rPr>
              <w:t>针入度(25℃)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spacing w:before="109"/>
              <w:ind w:left="705"/>
            </w:pPr>
            <w:r>
              <w:t>%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109" w:line="237" w:lineRule="auto"/>
              <w:ind w:left="587"/>
            </w:pPr>
            <w:r>
              <w:rPr>
                <w:spacing w:val="-6"/>
              </w:rPr>
              <w:t>≥50</w:t>
            </w:r>
          </w:p>
        </w:tc>
      </w:tr>
      <w:tr>
        <w:tblPrEx>
          <w:tblW w:w="5730" w:type="dxa"/>
          <w:tblInd w:w="49" w:type="dxa"/>
          <w:tblLayout w:type="fixed"/>
        </w:tblPrEx>
        <w:trPr>
          <w:trHeight w:val="344"/>
        </w:trPr>
        <w:tc>
          <w:tcPr>
            <w:tcW w:w="9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7" w:type="dxa"/>
            <w:vAlign w:val="top"/>
          </w:tcPr>
          <w:p>
            <w:pPr>
              <w:pStyle w:val="TableText"/>
              <w:spacing w:before="104" w:line="216" w:lineRule="auto"/>
              <w:ind w:left="222"/>
            </w:pPr>
            <w:r>
              <w:rPr>
                <w:spacing w:val="-1"/>
              </w:rPr>
              <w:t>延度(25℃,5cm/min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spacing w:before="178" w:line="115" w:lineRule="exact"/>
              <w:ind w:left="665"/>
            </w:pPr>
            <w:r>
              <w:rPr>
                <w:spacing w:val="-3"/>
              </w:rPr>
              <w:t>cm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120" w:line="237" w:lineRule="auto"/>
              <w:ind w:left="587"/>
            </w:pPr>
            <w:r>
              <w:rPr>
                <w:spacing w:val="-6"/>
              </w:rPr>
              <w:t>≥75</w:t>
            </w:r>
          </w:p>
        </w:tc>
      </w:tr>
    </w:tbl>
    <w:p>
      <w:pPr>
        <w:spacing w:line="384" w:lineRule="auto"/>
        <w:rPr>
          <w:rFonts w:ascii="Arial"/>
          <w:sz w:val="21"/>
        </w:rPr>
      </w:pPr>
    </w:p>
    <w:p>
      <w:pPr>
        <w:spacing w:before="65" w:line="219" w:lineRule="auto"/>
        <w:ind w:left="19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pacing w:val="4"/>
          <w:sz w:val="20"/>
          <w:szCs w:val="20"/>
        </w:rPr>
        <w:t>4.0.4</w:t>
      </w:r>
      <w:r>
        <w:rPr>
          <w:rFonts w:ascii="Arial" w:eastAsia="Arial" w:hAnsi="Arial" w:cs="Arial"/>
          <w:b/>
          <w:bCs/>
          <w:spacing w:val="14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4"/>
          <w:sz w:val="20"/>
          <w:szCs w:val="20"/>
        </w:rPr>
        <w:t>改性乳化沥青技术要求。</w:t>
      </w:r>
      <w:r>
        <w:rPr>
          <w:rFonts w:ascii="SimSun" w:eastAsia="SimSun" w:hAnsi="SimSun" w:cs="SimSun"/>
          <w:sz w:val="20"/>
          <w:szCs w:val="20"/>
        </w:rPr>
        <w:br/>
      </w:r>
      <w:r>
        <w:rPr>
          <w:rFonts w:ascii="SimSun" w:eastAsia="SimSun" w:hAnsi="SimSun" w:cs="SimSun"/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https://d.book118.com/186132050241010101</w:t>
        </w:r>
      </w:hyperlink>
    </w:p>
    <w:p>
      <w:pPr>
        <w:spacing w:before="65" w:line="219" w:lineRule="auto"/>
        <w:ind w:left="19"/>
        <w:rPr>
          <w:rFonts w:ascii="SimSun" w:eastAsia="SimSun" w:hAnsi="SimSun" w:cs="SimSun"/>
          <w:sz w:val="20"/>
          <w:szCs w:val="20"/>
        </w:rPr>
      </w:pPr>
    </w:p>
    <w:sectPr>
      <w:footerReference w:type="default" r:id="rId14"/>
      <w:pgSz w:w="8070" w:h="11600"/>
      <w:pgMar w:top="985" w:right="1013" w:bottom="898" w:left="1210" w:header="0" w:footer="701" w:gutter="0"/>
      <w:pgNumType w:start="1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5683"/>
      <w:rPr>
        <w:rFonts w:ascii="SimSun" w:eastAsia="SimSun" w:hAnsi="SimSun" w:cs="SimSun"/>
        <w:sz w:val="11"/>
        <w:szCs w:val="11"/>
      </w:rPr>
    </w:pPr>
    <w:r>
      <w:rPr>
        <w:rFonts w:ascii="SimSun" w:eastAsia="SimSun" w:hAnsi="SimSun" w:cs="SimSun"/>
        <w:sz w:val="11"/>
        <w:szCs w:val="11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66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6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6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567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5"/>
      <w:szCs w:val="1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hyperlink" Target="https://d.book118.com/186132050241010101" TargetMode="External" /><Relationship Id="rId14" Type="http://schemas.openxmlformats.org/officeDocument/2006/relationships/footer" Target="footer7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2024-03-15T11:51:21Z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2024-03-15T11:51:25Z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65f3c5b38a3849001f738a02wl</vt:lpwstr>
  </property>
</Properties>
</file>