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2022年监理工程师《建设工程目标控制-交通运输工程》试题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是指使用一组实践方法.技术和工具来策划.控制和改进过程的效果.效率和适应性，包括过程策划.过程实施.过程监测（检查）和过程改进（处置</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）四个部分。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过程管理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系统管理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项目管理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监督管理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过程管理是指使用一组实践方法.技术和工具来策划.控制和改进过程的效果.效率和适应性，包括过程策划（P）.过程实施（D）.过程监测（检查）（C）和过程改进（处置）（A）四个部分，即PDCA循环四阶段。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[单选题]2.监理工程师应对施工单位的工艺试验进行全过程的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，并应做出详细记录。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巡视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旁站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抽检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平行试验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监理工程师应对施工单位的工艺试验进行全过程的旁站监理，并应做出详细记录。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[单选题]3.下列关于修约的说法，错误的是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拟舍去的数字中，其最左面的第一位数字小于5时，则舍去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拟舍去的数字中，其最左面的第一位数字大于5时，则进1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拟舍去的数字中，其最左面的第一位数字等于5，后面的数字为0时，则进1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实行数据修约时，应在确定修约位数后一次完成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选项C错误，拟舍去的数字中，其最左面的第一位数字等于5，而后面无数字或全部为0时，所保留的数字末位数为奇数（1.3.5.7.9）则进1，如为偶数（0.2.4.6.8）则舍去。</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[单选题]4.施工安全风险评估中，评估工作负责人应当具有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年以上的工程管理经验。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3</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评估工作负责人应当具有5年以上的工程管理经验，并有参与类似工程施工的经历，当施工单位的施工经验或能力不足时，可委托行业内安全评估机构承担相关风险评估工作。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[单选题]5.公路水运工程淘汰危及生产安全施工工艺.设备和材料目录中，限制使用的工艺有</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卷扬机钢筋调值工艺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空心板.箱型梁气囊内模工艺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人工挖孔桩手摇井架出渣工艺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基坑人工挖孔工艺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MG_256" style="width:453.6pt;height:354.75pt" coordsize="21600,21600" o:preferrelative="t" filled="f" stroked="f">
            <v:imagedata r:id="rId4" r:href="rId5" o:title="IMG_256"/>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[单选题]6.交通工程项目建设程序，说法正确的是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政府投资交通建设项目和企业投资交通建设项目实行审批制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政府投资交通建设项目和企业投资交通建设项目实行核准制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政府投资交通建设项目实行审批制，企业投资交通建设项目实行核准制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政府投资交通建设项目实行核准制，企业投资交通建设项目实行备案制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政府投资交通建设项目实行审批制，企业投资交通建设项目实行核准制。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在于将质量的目标值，通过生产要素的投入.作业技术活动和产出过程转化为质量的实际值。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计划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实施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检查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处理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实施职能在于将质量的目标值，通过生产要素的投入.作业技术活动和产出过程转化为质量的实际值。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[单选题]8.关于勘察.设计单位的质量责任和义务的内容，说法错误的是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勘察.设计单位在其资质等级许可的范围内承揽工程，并不得转包或者违法分包所承揽的工程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设计单位应当根据勘察成果文件进行建设工程设计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勘察.设计单位必须按照工程建设强制性标准进行勘察.设计，并对其勘察.设计的质量负责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设计文件应当符合国家规定的设计深度要求，注明工程最长使用年限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选项D错误，设计文件应当符合国家规定的设计深度要求，注明工程合理使用年限。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[单选题]9.直接经济损失为7500万元的特大桥主体结构垮塌，属于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质量事故。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特别重大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重大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较大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一般</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重大质量事故指造成直接经济损失5000万元以上1亿元以下或者特大桥主体结构垮塌.特长隧道结构坍塌，或者大型水运工程主体结构垮塌.报废的事故。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[单选题]10.钢筋接头的弯曲试验，对接头的每一验收批必须在工程结构中随机截取</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个接头试件做抗拉强度试验。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3</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对接头的每一验收批，必须在工程结构中随机截取3个接头试件做抗拉强度试验，按设计要求的接头等级进行评定。</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[单选题]11.下列关于混凝土拌合物坍落度性能的说法错误的是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用捣棒在已坍落的混凝土拌合物截锥体侧面轻轻敲打，如果截锥试体逐渐下沉，表示黏聚性不好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用捣棒在已坍落的混凝土拌合物截锥体侧面轻轻敲打，如果出现离析现象，表示黏聚性不好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坍落度筒提起后无稀浆，则表示其保水性能良好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坍落度筒提起后仅有少量稀浆自底部析出，则表示其保水性能良好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选项，用捣棒在已坍落的混凝土拌合物截锥体侧面轻轻敲打，如果截锥试体逐渐下沉（或保持原状），则表示黏聚性良好。B选项，如果倒坍.部分崩裂或出现离析现象，表示黏聚性不好。CD选项，如坍落度筒提起后无稀浆或仅有少量稀浆自底部析出，则表示其保水性能良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[单选题]12.下列关于时间—费用优化的说法正确的是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缩短工期，会引起直接费用和间接费用的增加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延长工期，会引起直接费用和间接费用的减少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缩短工期，会引起直接费用的增加和间接费用的减少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缩短工期，会引起直接费用的减少和间接费用的增加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缩短工期，会引起直接费用的增加和间接费用的减少；延长工期，会引起直接费用的减少和间接费用的增加。</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[单选题]13.下图体现的是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进度控制方法。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27" type="#_x0000_t75" style="width:327.75pt;height:196.5pt" coordsize="21600,21600" filled="f">
            <v:imagedata r:id="rId6" r:href="rId7" o:title="IMG_257"/>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进度表法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工程进度曲线法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工程进度管理曲线法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网络图法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图示为工程进度管理曲线法。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[单选题]14.为了实现对进度的有效控制，监理工程师采取的经济措施是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建议建设单位与施工单位协商，对非施工单位原因造成的应急赶工给予合理的赶工费用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督促施工单位做好施工机械.人员.资金和材料的组织调度工作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严格控制合同变更，对各方提出的工程变更，监理工程师应严格按照规定程序进行管理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加强工程延期和索赔管理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选项B属于组织措施，选项CD属于合同措施。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[单选题]15.施工总进度计划是反映合同工程</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从施工准备到交工验收的全部工作过程的时间安排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从施工准备到竣工验收的全部工作过程的时间安排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从施工期到交工验收的全部工作过程的时间安排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从施工期到竣工验收的全部工作过程的时间安排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施工总进度计划是反映合同工程从施工准备到交工验收的全部工作过程的时间安排。</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[单选题]16.预算费用属于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阶段。</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项目建议书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可行性研究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初步设计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施工图设计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项目建议书及可行性研究阶段称之为“投资估算”，在初步设计.技术设计阶段称之为“设计概算”，在施工图设计阶段称之为“施工图预算”，在项目招投标阶段称之为“招标控制价或标底价.投标报价”，在发包人与承包人签订施工合同协议时称之为“合同价”，在合同实施过程中的结算称之为“结算价”，在工程项目竣工或合同结束时称之为“决算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[单选题]17.净现金流量的表达正确的是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CIt=CFt-COt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CIt=COt-CFt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CFt=CIt-COt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CFt=COt-CIt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CFt表示t年的净现金流量，CFt=CIt-COt。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[单选题]18.关于净现值的说法错误的是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对于单个的独立方案而言，当NPV≥0时，则认为方案是可取的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w w:val="100"/>
          <w:sz w:val="28"/>
          <w:szCs w:val="28"/>
          <w:u w:val="none"/>
          <w:lang w:eastAsia="zh-CN"/>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对于多个方案，则不仅要求方案NPV≥0，且选择一个方案时，应选NPV值中最大的</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在费用（成本）相同时，可使用净现值进行比较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折现率越大，其净现值越小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选项C错误，在费用（成本）相同时，可使用收益现值法进行比较，收益现值大者方案优选；在收益（产品及产量）相同时，可使用费用现值法进行比较，费用现值小者方案优选。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[单选题]19.下列属于事后监理的是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对工程量清单中的分项工程做出单价分析表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计量审核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抽检</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把实际耗费同中标工程量清单进行比较，并把发生偏差的信息反馈给各方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事后监理也称反馈控制.被动控制，是指监理人员将监理信息输送出去后又把作用结果返送回来，并对信息的再输出发生影响，以起到监理的作用。在费用监理过程中，为了对施工中的各种耗费进行有效的监理，要求把实际耗费同中标工程量清单进行比较，并把发生偏差的信息反馈给各方，以便及时进行调整，保证费用监理目标的实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[单选题]20.监理人员在费用监理工作中的职责权限中，需要取得发包人的专门批准的是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工程计量权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付款审批权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工程变更的单价确认权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工程扣款权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变更的单价确认权和变更工程造价的确定权.施工索赔事件发生后的费用审查权.物价上涨现象发生时的价格调整权。根据《标准施工招标文件》的规定，监理人在行使上述权力时，应取得发包人的专门批准，或者说，其处理程序是监理人提出处理意见，最终由发包人批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[单选题]21.为了不影响承包人的施工进度，监理人一定要按时进行计量和支付，这个体现了工程计量的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原则。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公正性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时限性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程序性</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监理人最终确认计量结果</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工程计量具有严格的时间要求，时限性极强。计量不及时，会影响承包人的施工进度；支付不及时，也会影响承包人的施工进度，并可能直接产生合同纠纷。《标准施工招标文件》在第17条中对计量与支付严格规定了时间限制同时也规定了计量与支付复核的时间限制。因此，监理人一定要按时进行计量和支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[单选题]22.土方工程开挖工程量的计算方法是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均摊法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分解计量法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图纸计算法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断面测量计算法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断面测量计算法。如土石方开挖和填筑工程的计量，基础工程中结构物的混凝土浇筑方量的体积计算，均需要采用现场断面测量计算法。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[单选题]23.根据《标准施工招标文件》通用合同条款的规定，最终支付程序程序，说法错误的是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发包人应在收到后14天内审核完毕，由监理人自承包人出具经发包人签认的最终结清证书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如果监理人不同意最终结清申请单的任何一部分，承包人应按监理人要求提交进一步的资料</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监理人未在约定时间内核查，又未提出具体意见的，视为承包人提交的最终结清申请已经发包人核查同意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最终结清申请单中的总金额应认为是代表了根据合同约定应付给承包人的全部款项的最后结算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C错误，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[单选题]24.采用计日工计价的任何一项变更工作，应从</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中支付。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单价子目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总价子目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暂列金额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暂估价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采用计日工计价的任何一项变更工作，应从暂列金额中支付。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[单选题]25.分包工程开工前，安全监理人员应审查施工单位报送的“三类人员”的资格不包括</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施工单位的主要负责人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项目负责人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专职安全生产管理人员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特殊工种作业人员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三类人员是指施工单位的主要负责人.项目负责人和专职安全生产管理人员。</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[单选题]26.下列事故中，不属于车辆伤害是的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机动车辆在行驶中引起的人体坠落伤亡事故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机动车辆在行驶中引起的物体倒塌伤亡事故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机动车辆在行驶中引起的挤压伤亡事故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车辆停驶时引起的挤压伤亡事故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车辆伤害指企业机动车辆在行驶中引起的人体坠落和物体倒塌.飞落.挤压伤亡事故，不包括起重设备提升.牵引车辆和车辆停驶时发生的事故。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[单选题]27.下列分部分项工程不需要专家论证.审查的是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深度5m的基坑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深度15m的人工挖孔桩</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水深10m的围堰工程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中桥的拆除工程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选项D，大桥及以上桥梁拆除工程需要进行专家论证.审查，中桥是编制专项施工方案。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[单选题]28.关于模板.支架拆除说法错误的是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先拆非承重模板.后拆承重模板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简支梁结构模板宜从支座向跨中方向依次循环卸落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悬臂梁结构模板宜从悬臂端开始顺序卸落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承重模板应横向同时.纵向对称均衡卸落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选项B错误，简支梁.连续梁结构模板宜从跨中向支座方向依次循环卸落。</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[单选题]29.直接经济损失1500万元的安全事故等级是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特别重大事故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重大事故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较大事故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一般事故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有下列情形之一的，为Ⅲ级（较大）事故（以下简称Ⅲ级事故）:（1）造成3人以上死亡（含失踪），或危及3人以上生命安全；（2）10人以上重伤；（3）直接经济损失1000万元以上。</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rPr>
        <w:t>[单选题]30.对于重大事故隐患，施工单位应当在确定后</w:t>
      </w:r>
      <w:r>
        <w:rPr>
          <w:rFonts w:ascii="宋体" w:eastAsia="宋体" w:hAnsi="宋体" w:cs="宋体" w:hint="eastAsia"/>
          <w:outline w:val="0"/>
          <w:shadow w:val="0"/>
          <w:emboss w:val="0"/>
          <w:imprint w:val="0"/>
          <w:vanish w:val="0"/>
          <w:w w:val="100"/>
          <w:sz w:val="28"/>
          <w:szCs w:val="28"/>
          <w:u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个工作日内向直接监管的交通运输主管部门报备。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对于重大事故隐患，施工单位应当在确定后5个工作日内向直接监管的交通运输主管部门报备。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[单选题]31.因设计缺陷造成的质量问题，由</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提出处理方案。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建设单位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施工单位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设计单位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监理单位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该试题考点已过期，新版教材已变更，为保证试卷完整性，仅供考生参阅。对因施工原因产生的质量缺陷的修补和加固，应由施工单位提出处理方案，经监理工程师批准后方可进行;对因设计原因产生的质量缺陷，应通过建设单位或设计单位提出处理方案，由施工单位进行处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[单选题]32.材料预付款起扣点扣回法是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从已完工程的材料价值相当于已经预付的材料款金额时起扣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从未完工程尚需的材料价值相当于已经预付的材料款金额时起扣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起扣点扣回法是指从未完工程尚需的材料价值相当于已经预付的材料款金额时起扣，按照材料占比从工程后期每次期中进度付款中抵扣材料预付款，直至工程交工前全部扣完的方法，也称为工程后期起扣点扣回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[单选题]33.施工合同段的综合应急预案的编制人是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建设单位技术负责人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施工单位技术负责人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施工单位项目经理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安全总监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项目总体预案由建设单位技术负责人组织编写报其上级主管部门备案。施工合同段总体预案由施工单位技术负责人组织编写，驻地监理工程师审核，总监理工程师审批，报建设单位备案。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[单选题]34.特种设备使用单位应当在特种设备投入使用前或者投入使用后三十日内，向</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办理使用登记。</w:t>
      </w:r>
      <w:r>
        <w:rPr>
          <w:rFonts w:ascii="宋体" w:eastAsia="宋体" w:hAnsi="宋体" w:cs="宋体" w:hint="eastAsia"/>
          <w:outline w:val="0"/>
          <w:shadow w:val="0"/>
          <w:emboss w:val="0"/>
          <w:imprint w:val="0"/>
          <w:vanish w:val="0"/>
          <w:w w:val="100"/>
          <w:sz w:val="28"/>
          <w:szCs w:val="28"/>
          <w:u w:val="none"/>
        </w:rPr>
        <w:br/>
      </w:r>
      <w:r>
        <w:rPr>
          <w:rFonts w:ascii="宋体" w:eastAsia="宋体" w:hAnsi="宋体" w:cs="宋体" w:hint="eastAsia"/>
          <w:outline w:val="0"/>
          <w:shadow w:val="0"/>
          <w:emboss w:val="0"/>
          <w:imprint w:val="0"/>
          <w:vanish w:val="0"/>
          <w:w w:val="100"/>
          <w:sz w:val="28"/>
          <w:szCs w:val="28"/>
          <w:u w:val="none"/>
        </w:rPr>
        <w:br/>
      </w:r>
    </w:p>
    <w:p>
      <w:pPr>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https://d.book118.com/187022113201006034</w:t>
        </w:r>
      </w:hyperlink>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p>
    <w:sectPr>
      <w:type w:val="nextPage"/>
      <w:pgSz w:w="11906" w:h="16839"/>
      <w:pgMar w:top="1440" w:right="1080" w:bottom="1440" w:left="1080" w:header="851" w:footer="992" w:gutter="0"/>
      <w:pgNumType w:start="9"/>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F6345C7"/>
    <w:multiLevelType w:val="singleLevel"/>
    <w:tmpl w:val="5F6345C7"/>
    <w:lvl w:ilvl="0">
      <w:start w:val="1"/>
      <w:numFmt w:val="decimal"/>
      <w:pStyle w:val="Heading1"/>
      <w:lvlText w:val="%1"/>
      <w:lvlJc w:val="left"/>
      <w:pPr>
        <w:ind w:left="420" w:hanging="42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420"/>
  <w:noPunctuationKerning/>
  <w:characterSpacingControl w:val="doNotCompress"/>
  <w:compat>
    <w:doNotBreakWrappedTables/>
    <w:doNotWrapTextWithPunct/>
    <w:doNotUseEastAsianBreakRules/>
    <w:growAutofit/>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3D5ABC"/>
    <w:rsid w:val="5C184A70"/>
  </w:rsids>
  <w:docVars>
    <w:docVar w:name="commondata" w:val="eyJoZGlkIjoiMzIxODdiYzkyZWJiMzc1YmY5NThiYjgyMjcxMWRjMmQ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jc w:val="left"/>
    </w:pPr>
    <w:rPr>
      <w:rFonts w:asciiTheme="minorEastAsia" w:eastAsiaTheme="minorEastAsia" w:hAnsiTheme="minorEastAsia" w:cstheme="minorEastAsia"/>
      <w:kern w:val="0"/>
      <w:sz w:val="24"/>
      <w:szCs w:val="24"/>
      <w:lang w:val="en-US" w:eastAsia="zh-CN" w:bidi="ar"/>
    </w:rPr>
  </w:style>
  <w:style w:type="paragraph" w:styleId="Heading1">
    <w:name w:val="heading 1"/>
    <w:basedOn w:val="Normal"/>
    <w:next w:val="Normal"/>
    <w:autoRedefine/>
    <w:qFormat/>
    <w:pPr>
      <w:numPr>
        <w:ilvl w:val="0"/>
        <w:numId w:val="1"/>
      </w:num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autoRedefine/>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autoRedefine/>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autoRedefine/>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paragraph" w:styleId="Heading5">
    <w:name w:val="heading 5"/>
    <w:basedOn w:val="Normal"/>
    <w:next w:val="Normal"/>
    <w:autoRedefine/>
    <w:semiHidden/>
    <w:unhideWhenUsed/>
    <w:qFormat/>
    <w:pPr>
      <w:spacing w:before="0" w:beforeAutospacing="1" w:after="0" w:afterAutospacing="1"/>
      <w:jc w:val="left"/>
      <w:outlineLvl w:val="4"/>
    </w:pPr>
    <w:rPr>
      <w:rFonts w:ascii="宋体" w:eastAsia="宋体" w:hAnsi="宋体" w:cs="宋体" w:hint="eastAsia"/>
      <w:b/>
      <w:bCs/>
      <w:kern w:val="0"/>
      <w:sz w:val="20"/>
      <w:szCs w:val="20"/>
      <w:lang w:val="en-US" w:eastAsia="zh-CN" w:bidi="ar"/>
    </w:rPr>
  </w:style>
  <w:style w:type="paragraph" w:styleId="Heading6">
    <w:name w:val="heading 6"/>
    <w:basedOn w:val="Normal"/>
    <w:next w:val="Normal"/>
    <w:autoRedefine/>
    <w:semiHidden/>
    <w:unhideWhenUsed/>
    <w:qFormat/>
    <w:pPr>
      <w:spacing w:before="0" w:beforeAutospacing="1" w:after="0" w:afterAutospacing="1"/>
      <w:jc w:val="left"/>
      <w:outlineLvl w:val="5"/>
    </w:pPr>
    <w:rPr>
      <w:rFonts w:ascii="宋体" w:eastAsia="宋体" w:hAnsi="宋体" w:cs="宋体" w:hint="eastAsia"/>
      <w:b/>
      <w:bCs/>
      <w:kern w:val="0"/>
      <w:sz w:val="15"/>
      <w:szCs w:val="15"/>
      <w:lang w:val="en-US" w:eastAsia="zh-CN" w:bidi="ar"/>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HTMLPreformatted">
    <w:name w:val="HTML Preformatted"/>
    <w:basedOn w:val="Normal"/>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autoRedefine/>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https://img.huikao8.com/huixue_img/importSubject/1638068250011111424.png" TargetMode="External" /><Relationship Id="rId6" Type="http://schemas.openxmlformats.org/officeDocument/2006/relationships/image" Target="media/image2.png" /><Relationship Id="rId7" Type="http://schemas.openxmlformats.org/officeDocument/2006/relationships/image" Target="https://img.huikao8.com/huixue_img/importSubject/1638068250212438016.png" TargetMode="External" /><Relationship Id="rId8" Type="http://schemas.openxmlformats.org/officeDocument/2006/relationships/hyperlink" Target="https://d.book118.com/187022113201006034" TargetMode="External" /><Relationship Id="rId9"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江南博哥</cp:lastModifiedBy>
  <cp:revision>0</cp:revision>
  <dcterms:created xsi:type="dcterms:W3CDTF">2024-01-26T12:47:00Z</dcterms:created>
  <dcterms:modified xsi:type="dcterms:W3CDTF">2024-01-27T00:51:12Z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238138E3588E4109818A3989FB6CFEDC_13</vt:lpwstr>
  </property>
  <property fmtid="{D5CDD505-2E9C-101B-9397-08002B2CF9AE}" pid="3" name="KSOProductBuildVer">
    <vt:lpwstr>2052-12.1.0.16120</vt:lpwstr>
  </property>
</Properties>
</file>