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w w:val="95"/>
        </w:rPr>
        <w:t>六、施工组织设计</w:t>
      </w:r>
    </w:p>
    <w:p>
      <w:pPr>
        <w:pStyle w:val="BodyText"/>
        <w:rPr>
          <w:b/>
          <w:sz w:val="66"/>
        </w:rPr>
      </w:pPr>
    </w:p>
    <w:p>
      <w:pPr>
        <w:spacing w:before="542"/>
        <w:ind w:left="3692" w:right="0" w:firstLine="0"/>
        <w:jc w:val="left"/>
        <w:rPr>
          <w:b/>
          <w:sz w:val="42"/>
        </w:rPr>
      </w:pPr>
      <w:r>
        <w:rPr>
          <w:b/>
          <w:spacing w:val="-2"/>
          <w:sz w:val="42"/>
        </w:rPr>
        <w:t>第一章 总体施工组织布置及规划</w:t>
      </w:r>
    </w:p>
    <w:p>
      <w:pPr>
        <w:pStyle w:val="BodyText"/>
        <w:spacing w:before="370" w:line="364" w:lineRule="auto"/>
        <w:ind w:left="520" w:right="1440" w:firstLine="849"/>
        <w:jc w:val="both"/>
      </w:pPr>
      <w:r>
        <w:t>若我公司中标，即按照本投标文件中的承诺，派遣强有力的领导班子，组</w:t>
      </w:r>
      <w:r>
        <w:rPr>
          <w:spacing w:val="-13"/>
        </w:rPr>
        <w:t>建项目经理部。并由项目经理率领由各部门负责人、施工队负责人及部分劳动力组成的先遣队，迅速完成承包人驻地建设及施工临时设施布设，尽早全面展开施</w:t>
      </w:r>
      <w:r>
        <w:t>工。项目经理部挂牌办公，代表公司全面履行合同。</w:t>
      </w:r>
    </w:p>
    <w:p>
      <w:pPr>
        <w:pStyle w:val="Heading2"/>
        <w:spacing w:before="4"/>
      </w:pPr>
      <w:r>
        <w:t>一、项目管理机构</w:t>
      </w:r>
    </w:p>
    <w:p>
      <w:pPr>
        <w:pStyle w:val="BodyText"/>
        <w:spacing w:before="241" w:line="364" w:lineRule="auto"/>
        <w:ind w:left="520" w:right="936" w:firstLine="683"/>
      </w:pPr>
      <w:r>
        <w:t>根据本项目具体情况，结合我司施工经验，项目经理部设项目经理、技术负责</w:t>
      </w:r>
      <w:r>
        <w:rPr>
          <w:spacing w:val="-12"/>
        </w:rPr>
        <w:t>人，下按“四部一室”(工程技术部、质安部、物资设备部、计财部、综合办公</w:t>
      </w:r>
      <w:r>
        <w:rPr>
          <w:spacing w:val="-176"/>
        </w:rPr>
        <w:t xml:space="preserve">室) </w:t>
      </w:r>
      <w:r>
        <w:rPr>
          <w:spacing w:val="-172"/>
        </w:rPr>
        <w:t>的编制设置。实行项目经理负责制，并按项目法实行统一组织、统一管理、统一协</w:t>
      </w:r>
      <w:r>
        <w:rPr>
          <w:spacing w:val="-1"/>
        </w:rPr>
        <w:t>调，做到精心组织、科学管理、合理安排，确保本工程安全、质量、工期、环保及</w:t>
      </w:r>
      <w:r>
        <w:t>文明施工等各项目标的实现。</w:t>
      </w:r>
    </w:p>
    <w:p>
      <w:pPr>
        <w:pStyle w:val="Heading2"/>
        <w:spacing w:before="5"/>
      </w:pPr>
      <w:r>
        <w:t>二、施工临建</w:t>
      </w:r>
    </w:p>
    <w:p>
      <w:pPr>
        <w:pStyle w:val="BodyText"/>
        <w:spacing w:before="240"/>
        <w:ind w:left="520"/>
      </w:pPr>
      <w:r>
        <w:t>1、驻地建设</w:t>
      </w:r>
    </w:p>
    <w:p>
      <w:pPr>
        <w:pStyle w:val="BodyText"/>
        <w:spacing w:before="242" w:line="364" w:lineRule="auto"/>
        <w:ind w:left="520" w:right="1436" w:firstLine="719"/>
        <w:jc w:val="both"/>
      </w:pPr>
      <w:r>
        <w:rPr>
          <w:spacing w:val="-6"/>
        </w:rPr>
        <w:t>珲春市站前街续建工程项目经理部及施工队营地设置在项目地点附近，租用</w:t>
      </w:r>
      <w:r>
        <w:rPr>
          <w:spacing w:val="-12"/>
        </w:rPr>
        <w:t>民房并完善办公、生产生活设施，施工营地内设标志标牌加工制作棚、路灯安装</w:t>
      </w:r>
      <w:r>
        <w:t>棚和仓库。</w:t>
      </w:r>
    </w:p>
    <w:p>
      <w:pPr>
        <w:pStyle w:val="BodyText"/>
        <w:spacing w:before="2"/>
        <w:ind w:left="520"/>
      </w:pPr>
      <w:r>
        <w:t>2、施工用水</w:t>
      </w:r>
    </w:p>
    <w:p>
      <w:pPr>
        <w:pStyle w:val="BodyText"/>
        <w:spacing w:before="241" w:line="364" w:lineRule="auto"/>
        <w:ind w:left="520" w:right="1437" w:firstLine="719"/>
      </w:pPr>
      <w:r>
        <w:rPr>
          <w:spacing w:val="-10"/>
        </w:rPr>
        <w:t>本工程所在区域水系较发达，施工驻地内生产、生活用水分开设蓄水池，自</w:t>
      </w:r>
      <w:r>
        <w:t>附近居民用水点接入，施工现场用水采用水车供应。</w:t>
      </w:r>
    </w:p>
    <w:p>
      <w:pPr>
        <w:pStyle w:val="BodyText"/>
        <w:spacing w:before="2"/>
        <w:ind w:left="520"/>
      </w:pPr>
      <w:r>
        <w:t>3、施工用电</w:t>
      </w:r>
    </w:p>
    <w:p>
      <w:pPr>
        <w:pStyle w:val="BodyText"/>
        <w:spacing w:before="242" w:line="364" w:lineRule="auto"/>
        <w:ind w:left="520" w:right="1438" w:firstLine="719"/>
      </w:pPr>
      <w:r>
        <w:rPr>
          <w:spacing w:val="-3"/>
        </w:rPr>
        <w:t xml:space="preserve">项目地沿线电资源丰富，用电与地方电力部门协商接入，并自备 </w:t>
      </w:r>
      <w:r>
        <w:t>30kw</w:t>
      </w:r>
      <w:r>
        <w:rPr>
          <w:spacing w:val="-30"/>
        </w:rPr>
        <w:t xml:space="preserve"> 发电</w:t>
      </w:r>
      <w:r>
        <w:t>机组确保施工用电连续性，施工现场用电采用自发电。</w:t>
      </w:r>
    </w:p>
    <w:p>
      <w:pPr>
        <w:pStyle w:val="BodyText"/>
        <w:spacing w:before="1"/>
        <w:ind w:left="520"/>
      </w:pPr>
      <w:r>
        <w:t>4、通讯联络</w:t>
      </w:r>
    </w:p>
    <w:p>
      <w:pPr>
        <w:pStyle w:val="BodyText"/>
        <w:spacing w:before="241" w:line="364" w:lineRule="auto"/>
        <w:ind w:left="520" w:right="1259" w:firstLine="719"/>
      </w:pPr>
      <w:r>
        <w:rPr>
          <w:spacing w:val="-20"/>
        </w:rPr>
        <w:t xml:space="preserve">当地通信条件较完善，所有人员配备对讲机，项目经理部配备固定电话一部， </w:t>
      </w:r>
      <w:r>
        <w:rPr>
          <w:spacing w:val="-10"/>
        </w:rPr>
        <w:t xml:space="preserve">传真机一部，电脑 </w:t>
      </w:r>
      <w:r>
        <w:t>2</w:t>
      </w:r>
      <w:r>
        <w:rPr>
          <w:spacing w:val="-12"/>
        </w:rPr>
        <w:t xml:space="preserve"> 台并接入因特网。</w:t>
      </w:r>
    </w:p>
    <w:p>
      <w:pPr>
        <w:pStyle w:val="Heading2"/>
      </w:pPr>
      <w:r>
        <w:t>三、施工任务划分及机械设备、劳动力配置</w:t>
      </w:r>
    </w:p>
    <w:p>
      <w:pPr>
        <w:pStyle w:val="BodyText"/>
        <w:spacing w:before="241"/>
        <w:ind w:left="1152" w:right="1348"/>
        <w:jc w:val="center"/>
      </w:pPr>
      <w:r>
        <w:t>根据本合同段具体工程量及工期要求，拟设标志标牌专业施工队和路灯安装</w:t>
      </w:r>
    </w:p>
    <w:p>
      <w:pPr>
        <w:spacing w:after="0"/>
        <w:jc w:val="center"/>
        <w:sectPr>
          <w:type w:val="continuous"/>
          <w:pgSz w:w="17860" w:h="25260"/>
          <w:pgMar w:top="1640" w:right="1260" w:bottom="280" w:left="2180" w:header="708" w:footer="708"/>
          <w:cols w:space="708"/>
        </w:sectPr>
      </w:pPr>
    </w:p>
    <w:p>
      <w:pPr>
        <w:pStyle w:val="BodyText"/>
        <w:spacing w:before="32" w:line="364" w:lineRule="auto"/>
        <w:ind w:left="520" w:right="1296"/>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11340845" cy="158496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对及交通安全维护巡查组，分别承担本合同段的施工任务及交通安全畅通维护。因施工工期紧，作业面广，应投入劳动力及设备多开工作面同步施工。</w:t>
      </w:r>
    </w:p>
    <w:p>
      <w:pPr>
        <w:pStyle w:val="BodyText"/>
        <w:spacing w:before="2" w:line="364" w:lineRule="auto"/>
        <w:ind w:left="520" w:right="1255" w:firstLine="719"/>
      </w:pPr>
      <w:r>
        <w:t>标识标牌施工队：配备氧割设备、切割机、吊车、砼拌合设备、自卸汽车及</w:t>
      </w:r>
      <w:r>
        <w:rPr>
          <w:spacing w:val="-13"/>
        </w:rPr>
        <w:t xml:space="preserve">其他小型机具等，劳动力 </w:t>
      </w:r>
      <w:r>
        <w:t>50</w:t>
      </w:r>
      <w:r>
        <w:rPr>
          <w:spacing w:val="-16"/>
        </w:rPr>
        <w:t xml:space="preserve"> 人，负责全线标志标牌更换、路灯更换增加等施工。</w:t>
      </w:r>
    </w:p>
    <w:p>
      <w:pPr>
        <w:pStyle w:val="BodyText"/>
        <w:spacing w:before="2" w:line="364" w:lineRule="auto"/>
        <w:ind w:left="520" w:right="1435" w:firstLine="719"/>
      </w:pPr>
      <w:r>
        <w:rPr>
          <w:spacing w:val="-11"/>
        </w:rPr>
        <w:t xml:space="preserve">交通安全维护巡查组：配置交通车 </w:t>
      </w:r>
      <w:r>
        <w:t>1</w:t>
      </w:r>
      <w:r>
        <w:rPr>
          <w:spacing w:val="-39"/>
        </w:rPr>
        <w:t xml:space="preserve"> 台，人员 </w:t>
      </w:r>
      <w:r>
        <w:t>4</w:t>
      </w:r>
      <w:r>
        <w:rPr>
          <w:spacing w:val="-14"/>
        </w:rPr>
        <w:t xml:space="preserve"> 人，负责本合同段施工区的</w:t>
      </w:r>
      <w:r>
        <w:t>交通安全畅通维护工作。</w:t>
      </w:r>
    </w:p>
    <w:p>
      <w:pPr>
        <w:pStyle w:val="Heading2"/>
      </w:pPr>
      <w:r>
        <w:t>四、设备、人员动员周期和设备、人员、材料运到施工现场的方法</w:t>
      </w:r>
    </w:p>
    <w:p>
      <w:pPr>
        <w:spacing w:before="240"/>
        <w:ind w:left="520" w:right="0" w:firstLine="0"/>
        <w:jc w:val="left"/>
        <w:rPr>
          <w:b/>
          <w:sz w:val="36"/>
        </w:rPr>
      </w:pPr>
      <w:r>
        <w:rPr>
          <w:b/>
          <w:sz w:val="36"/>
        </w:rPr>
        <w:t>1、施工准备组织及工期计划安排</w:t>
      </w:r>
    </w:p>
    <w:p>
      <w:pPr>
        <w:pStyle w:val="BodyText"/>
        <w:spacing w:before="242"/>
        <w:ind w:left="1370"/>
      </w:pPr>
      <w:r>
        <w:t>本工程工期 160 天，我方拟定施工准备期为 5 天，根据招标文件要求，暂</w:t>
      </w:r>
    </w:p>
    <w:p>
      <w:pPr>
        <w:pStyle w:val="BodyText"/>
        <w:spacing w:before="241" w:line="364" w:lineRule="auto"/>
        <w:ind w:left="520" w:right="1436"/>
      </w:pPr>
      <w:r>
        <w:rPr>
          <w:spacing w:val="-27"/>
        </w:rPr>
        <w:t xml:space="preserve">预定 </w:t>
      </w:r>
      <w:r>
        <w:t>2015</w:t>
      </w:r>
      <w:r>
        <w:rPr>
          <w:spacing w:val="-54"/>
        </w:rPr>
        <w:t xml:space="preserve"> 年 </w:t>
      </w:r>
      <w:r>
        <w:t>7</w:t>
      </w:r>
      <w:r>
        <w:rPr>
          <w:spacing w:val="-54"/>
        </w:rPr>
        <w:t xml:space="preserve"> 月 </w:t>
      </w:r>
      <w:r>
        <w:t>24</w:t>
      </w:r>
      <w:r>
        <w:rPr>
          <w:spacing w:val="-9"/>
        </w:rPr>
        <w:t xml:space="preserve"> 日开工(具体按业主要求执行</w:t>
      </w:r>
      <w:r>
        <w:t>)，2016</w:t>
      </w:r>
      <w:r>
        <w:rPr>
          <w:spacing w:val="-54"/>
        </w:rPr>
        <w:t xml:space="preserve"> 年 </w:t>
      </w:r>
      <w:r>
        <w:t>12</w:t>
      </w:r>
      <w:r>
        <w:rPr>
          <w:spacing w:val="-53"/>
        </w:rPr>
        <w:t xml:space="preserve"> 月 </w:t>
      </w:r>
      <w:r>
        <w:t>30</w:t>
      </w:r>
      <w:r>
        <w:rPr>
          <w:spacing w:val="-19"/>
        </w:rPr>
        <w:t xml:space="preserve"> 日前完成</w:t>
      </w:r>
      <w:r>
        <w:t>全部施工。</w:t>
      </w:r>
    </w:p>
    <w:p>
      <w:pPr>
        <w:pStyle w:val="Heading2"/>
      </w:pPr>
      <w:r>
        <w:t>2、劳动力进场计划及到场方法</w:t>
      </w:r>
    </w:p>
    <w:p>
      <w:pPr>
        <w:pStyle w:val="BodyText"/>
        <w:spacing w:before="240" w:line="364" w:lineRule="auto"/>
        <w:ind w:left="520" w:right="1441" w:firstLine="719"/>
      </w:pPr>
      <w:r>
        <w:rPr>
          <w:spacing w:val="-15"/>
        </w:rPr>
        <w:t xml:space="preserve">⑴第一批：接到中标通知书后 </w:t>
      </w:r>
      <w:r>
        <w:t>3</w:t>
      </w:r>
      <w:r>
        <w:rPr>
          <w:spacing w:val="-15"/>
        </w:rPr>
        <w:t xml:space="preserve"> 天内，施工先遣队在项目经理部组织及施工</w:t>
      </w:r>
      <w:r>
        <w:t>队长的带领下进场，进行施工准备及临时驻地建设。</w:t>
      </w:r>
    </w:p>
    <w:p>
      <w:pPr>
        <w:pStyle w:val="BodyText"/>
        <w:spacing w:before="2" w:line="415" w:lineRule="auto"/>
        <w:ind w:left="1240" w:right="1297"/>
      </w:pPr>
      <w:r>
        <w:rPr>
          <w:spacing w:val="-9"/>
        </w:rPr>
        <w:t xml:space="preserve">⑵第二批：签订合同后 </w:t>
      </w:r>
      <w:r>
        <w:t>3</w:t>
      </w:r>
      <w:r>
        <w:rPr>
          <w:spacing w:val="-11"/>
        </w:rPr>
        <w:t xml:space="preserve"> 天内，施工队劳动力全部进场，并全面展开施工。</w:t>
      </w:r>
      <w:r>
        <w:t>本项目管理、技术人员及所有劳动力均按计划安排分批乘汽车到达施工现</w:t>
      </w:r>
    </w:p>
    <w:p>
      <w:pPr>
        <w:pStyle w:val="BodyText"/>
        <w:spacing w:line="385" w:lineRule="exact"/>
        <w:ind w:left="520"/>
      </w:pPr>
      <w:r>
        <w:t>场。</w:t>
      </w:r>
    </w:p>
    <w:p>
      <w:pPr>
        <w:pStyle w:val="Heading2"/>
        <w:spacing w:before="162"/>
      </w:pPr>
      <w:r>
        <w:t>3、机械设备动员周期及运到现场的方法</w:t>
      </w:r>
    </w:p>
    <w:p>
      <w:pPr>
        <w:pStyle w:val="BodyText"/>
        <w:spacing w:before="240" w:line="364" w:lineRule="auto"/>
        <w:ind w:left="520" w:right="1442" w:firstLine="719"/>
      </w:pPr>
      <w:r>
        <w:rPr>
          <w:spacing w:val="-9"/>
        </w:rPr>
        <w:t>投标所列的施工机械设备及仪器，公司均已准备到位，开工前可全部提前进</w:t>
      </w:r>
      <w:r>
        <w:t>场，施工机械设备采用动态管理，满足服务周期和监理工程师、业主的要求。</w:t>
      </w:r>
    </w:p>
    <w:p>
      <w:pPr>
        <w:pStyle w:val="BodyText"/>
        <w:spacing w:before="2"/>
        <w:ind w:left="1240"/>
      </w:pPr>
      <w:r>
        <w:t>设备采用汽车直接运至工地，车辆在道路上应遵守道路行车规定。</w:t>
      </w:r>
    </w:p>
    <w:p>
      <w:pPr>
        <w:pStyle w:val="Heading2"/>
        <w:spacing w:before="241"/>
      </w:pPr>
      <w:r>
        <w:t>4、材料运到现场的方法</w:t>
      </w:r>
    </w:p>
    <w:p>
      <w:pPr>
        <w:pStyle w:val="BodyText"/>
        <w:spacing w:before="241"/>
        <w:ind w:left="1240"/>
      </w:pPr>
      <w:r>
        <w:t>经现场调查，初步拟订材料来源和运输方法如下：</w:t>
      </w:r>
    </w:p>
    <w:p>
      <w:pPr>
        <w:pStyle w:val="BodyText"/>
        <w:spacing w:before="241" w:line="364" w:lineRule="auto"/>
        <w:ind w:left="520" w:right="1251" w:firstLine="719"/>
      </w:pPr>
      <w:r>
        <w:rPr>
          <w:spacing w:val="-20"/>
        </w:rPr>
        <w:t>外购材料：施工所需反光膜、标志标牌金属材料等从本市购买；钢筋、水泥、</w:t>
      </w:r>
      <w:r>
        <w:rPr>
          <w:spacing w:val="-11"/>
        </w:rPr>
        <w:t>砂石等均从本市购买；路灯及其他材料均从本市购买；所有材料均采用汽车按进</w:t>
      </w:r>
      <w:r>
        <w:rPr>
          <w:spacing w:val="-17"/>
        </w:rPr>
        <w:t>度计划提前采购和运输进场。按规范及招标文件要求，材料需经检测合格并经监理工程师与业主批准同意后，方可进行备料和用于本工程。</w:t>
      </w:r>
    </w:p>
    <w:p>
      <w:pPr>
        <w:spacing w:after="0" w:line="364" w:lineRule="auto"/>
        <w:sectPr>
          <w:pgSz w:w="17860" w:h="25260"/>
          <w:pgMar w:top="1920" w:right="1260" w:bottom="280" w:left="2180" w:header="708" w:footer="708"/>
          <w:pgNumType w:start="2"/>
          <w:cols w:space="708"/>
        </w:sectPr>
      </w:pPr>
    </w:p>
    <w:p>
      <w:pPr>
        <w:pStyle w:val="Heading1"/>
        <w:tabs>
          <w:tab w:val="left" w:pos="3476"/>
        </w:tabs>
        <w:spacing w:before="13"/>
        <w:ind w:left="1442"/>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6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第二章</w:t>
        <w:tab/>
        <w:t>主要工程项目的施工方案、方法与技术措施</w:t>
      </w:r>
    </w:p>
    <w:p>
      <w:pPr>
        <w:pStyle w:val="Heading2"/>
        <w:spacing w:before="379"/>
      </w:pPr>
      <w:r>
        <w:t>一、综合说明</w:t>
      </w:r>
    </w:p>
    <w:p>
      <w:pPr>
        <w:pStyle w:val="BodyText"/>
        <w:spacing w:before="240" w:line="364" w:lineRule="auto"/>
        <w:ind w:left="520" w:right="1436" w:firstLine="719"/>
      </w:pPr>
      <w:r>
        <w:drawing>
          <wp:anchor distT="0" distB="0" distL="0" distR="0" simplePos="0" relativeHeight="251661312" behindDoc="1" locked="0" layoutInCell="1" allowOverlap="1">
            <wp:simplePos x="0" y="0"/>
            <wp:positionH relativeFrom="page">
              <wp:posOffset>1885950</wp:posOffset>
            </wp:positionH>
            <wp:positionV relativeFrom="paragraph">
              <wp:posOffset>147192</wp:posOffset>
            </wp:positionV>
            <wp:extent cx="2057400" cy="30480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xmlns:r="http://schemas.openxmlformats.org/officeDocument/2006/relationships" r:embed="rId5" cstate="print"/>
                    <a:stretch>
                      <a:fillRect/>
                    </a:stretch>
                  </pic:blipFill>
                  <pic:spPr>
                    <a:xfrm>
                      <a:off x="0" y="0"/>
                      <a:ext cx="2057400" cy="304800"/>
                    </a:xfrm>
                    <a:prstGeom prst="rect">
                      <a:avLst/>
                    </a:prstGeom>
                  </pic:spPr>
                </pic:pic>
              </a:graphicData>
            </a:graphic>
          </wp:anchor>
        </w:drawing>
      </w:r>
      <w:r>
        <w:rPr>
          <w:spacing w:val="-8"/>
        </w:rPr>
        <w:t>本工程主要施工项目为旧标志更换、新增标志标牌、路灯安装更换等。施工</w:t>
      </w:r>
      <w:r>
        <w:t>中应加强交通安全维护与施工安全防护。</w:t>
      </w:r>
    </w:p>
    <w:p>
      <w:pPr>
        <w:pStyle w:val="BodyText"/>
        <w:spacing w:before="2" w:line="364" w:lineRule="auto"/>
        <w:ind w:left="520" w:right="1257" w:firstLine="719"/>
      </w:pPr>
      <w:r>
        <w:rPr>
          <w:spacing w:val="-7"/>
        </w:rPr>
        <w:t>标志基础和路灯应提前完成并做好养护，大型标识标牌、路灯都采用吊车配</w:t>
      </w:r>
      <w:r>
        <w:rPr>
          <w:spacing w:val="-21"/>
        </w:rPr>
        <w:t>合人工安装，其他采用人工辅以小型机械施工作业，标识标牌制作、反光膜粘贴、</w:t>
      </w:r>
      <w:r>
        <w:t>路灯的安装等实行车间作业，现场安装。</w:t>
      </w:r>
    </w:p>
    <w:p>
      <w:pPr>
        <w:pStyle w:val="Heading2"/>
        <w:spacing w:before="3"/>
      </w:pPr>
      <w:r>
        <w:t>二、主要工程项目施工方案、方法及技术措施</w:t>
      </w:r>
    </w:p>
    <w:p>
      <w:pPr>
        <w:pStyle w:val="BodyText"/>
        <w:spacing w:before="242" w:line="364" w:lineRule="auto"/>
        <w:ind w:left="520" w:right="1331" w:firstLine="719"/>
        <w:jc w:val="both"/>
      </w:pPr>
      <w:r>
        <w:rPr>
          <w:spacing w:val="-4"/>
        </w:rPr>
        <w:t>所有标志标牌的设置，包括位置(角度)、标牌尺寸、板面设计、反光膜等级</w:t>
      </w:r>
      <w:r>
        <w:rPr>
          <w:spacing w:val="-10"/>
        </w:rPr>
        <w:t>等应严格按招标文件、设计与相关规范执行，确保交通标识标牌的使用功能。反</w:t>
      </w:r>
      <w:r>
        <w:rPr>
          <w:spacing w:val="-16"/>
        </w:rPr>
        <w:t>光膜仅局部小面积更换且施工条件允许时，可采用现场施工处理的方法，但反光膜品牌等级与原膜一致，且逆反射系数和平整度应满足要求。</w:t>
      </w:r>
    </w:p>
    <w:p>
      <w:pPr>
        <w:pStyle w:val="BodyText"/>
        <w:spacing w:before="3" w:line="364" w:lineRule="auto"/>
        <w:ind w:left="520" w:right="1441" w:firstLine="719"/>
      </w:pPr>
      <w:r>
        <w:rPr>
          <w:spacing w:val="-12"/>
        </w:rPr>
        <w:t>新增加的标志标牌基础、路灯基础应提前完成，且砼强度必须达到规范要求</w:t>
      </w:r>
      <w:r>
        <w:t>后方可进行上部立柱、标牌的安装。</w:t>
      </w:r>
    </w:p>
    <w:p>
      <w:pPr>
        <w:pStyle w:val="Heading2"/>
        <w:spacing w:before="121"/>
      </w:pPr>
      <w:r>
        <w:t>1、材料要求</w:t>
      </w:r>
    </w:p>
    <w:p>
      <w:pPr>
        <w:pStyle w:val="BodyText"/>
        <w:spacing w:before="10"/>
        <w:rPr>
          <w:b/>
          <w:sz w:val="27"/>
        </w:rPr>
      </w:pPr>
    </w:p>
    <w:p>
      <w:pPr>
        <w:pStyle w:val="BodyText"/>
        <w:ind w:left="1240"/>
      </w:pPr>
      <w:r>
        <w:t>更换标志标牌、路灯作业所用材料即交通标志标牌尺寸和质量应符合设计与</w:t>
      </w:r>
    </w:p>
    <w:p>
      <w:pPr>
        <w:pStyle w:val="BodyText"/>
        <w:spacing w:before="241" w:line="364" w:lineRule="auto"/>
        <w:ind w:left="520" w:right="1435"/>
        <w:jc w:val="both"/>
      </w:pPr>
      <w:r>
        <w:t>《道路交通标志和标线</w:t>
      </w:r>
      <w:r>
        <w:rPr>
          <w:spacing w:val="-227"/>
        </w:rPr>
        <w:t>》</w:t>
      </w:r>
      <w:r>
        <w:t>（GB5768</w:t>
      </w:r>
      <w:r>
        <w:rPr>
          <w:spacing w:val="-180"/>
        </w:rPr>
        <w:t>）</w:t>
      </w:r>
      <w:r>
        <w:rPr>
          <w:spacing w:val="-12"/>
        </w:rPr>
        <w:t>、路灯工程施工验收规范、市政工程施工及验收规范、电气装置安装工程施工及验收规范等相关规范要求。标志、路灯基础混</w:t>
      </w:r>
      <w:r>
        <w:t>凝土所用等材料应满足规范要求。</w:t>
      </w:r>
    </w:p>
    <w:p>
      <w:pPr>
        <w:pStyle w:val="Heading2"/>
        <w:spacing w:before="3"/>
      </w:pPr>
      <w:r>
        <w:t>2、新增标志标牌施工方法</w:t>
      </w:r>
    </w:p>
    <w:p>
      <w:pPr>
        <w:pStyle w:val="ListParagraph"/>
        <w:numPr>
          <w:ilvl w:val="1"/>
          <w:numId w:val="23"/>
        </w:numPr>
        <w:tabs>
          <w:tab w:val="left" w:pos="1241"/>
        </w:tabs>
        <w:spacing w:before="313" w:after="0" w:line="240" w:lineRule="auto"/>
        <w:ind w:left="1240" w:right="0" w:hanging="721"/>
        <w:jc w:val="left"/>
        <w:rPr>
          <w:sz w:val="36"/>
        </w:rPr>
      </w:pPr>
      <w:r>
        <w:rPr>
          <w:sz w:val="36"/>
        </w:rPr>
        <w:t>工艺流程</w:t>
      </w:r>
    </w:p>
    <w:p>
      <w:pPr>
        <w:pStyle w:val="BodyText"/>
        <w:spacing w:before="230"/>
        <w:ind w:left="1352"/>
      </w:pPr>
      <w:r>
        <w:t>施工区域交通管制→施工放样→基础施工→标志标牌加工制作→现场安装</w:t>
      </w:r>
    </w:p>
    <w:p>
      <w:pPr>
        <w:pStyle w:val="BodyText"/>
        <w:spacing w:before="226"/>
        <w:ind w:left="520"/>
      </w:pPr>
      <w:r>
        <w:t>(立柱→横梁安装→面板安装)→现场清理、撤离</w:t>
      </w:r>
    </w:p>
    <w:p>
      <w:pPr>
        <w:pStyle w:val="ListParagraph"/>
        <w:numPr>
          <w:ilvl w:val="1"/>
          <w:numId w:val="23"/>
        </w:numPr>
        <w:tabs>
          <w:tab w:val="left" w:pos="1241"/>
        </w:tabs>
        <w:spacing w:before="159" w:after="0" w:line="240" w:lineRule="auto"/>
        <w:ind w:left="1240" w:right="0" w:hanging="721"/>
        <w:jc w:val="left"/>
        <w:rPr>
          <w:sz w:val="36"/>
        </w:rPr>
      </w:pPr>
      <w:r>
        <w:rPr>
          <w:sz w:val="36"/>
        </w:rPr>
        <w:t>施工放样</w:t>
      </w:r>
    </w:p>
    <w:p>
      <w:pPr>
        <w:pStyle w:val="BodyText"/>
        <w:spacing w:before="241" w:line="364" w:lineRule="auto"/>
        <w:ind w:left="520" w:right="1446" w:firstLine="539"/>
      </w:pPr>
      <w:r>
        <w:t>安装的标志应与交通流方向几乎成直角(按设计或计算确定)，在曲线路段， 标志的设置应由交通流的行进方向来确定。</w:t>
      </w:r>
    </w:p>
    <w:p>
      <w:pPr>
        <w:pStyle w:val="ListParagraph"/>
        <w:numPr>
          <w:ilvl w:val="1"/>
          <w:numId w:val="23"/>
        </w:numPr>
        <w:tabs>
          <w:tab w:val="left" w:pos="1241"/>
        </w:tabs>
        <w:spacing w:before="1" w:after="0" w:line="240" w:lineRule="auto"/>
        <w:ind w:left="1240" w:right="0" w:hanging="721"/>
        <w:jc w:val="left"/>
        <w:rPr>
          <w:sz w:val="36"/>
        </w:rPr>
      </w:pPr>
      <w:r>
        <w:rPr>
          <w:sz w:val="36"/>
        </w:rPr>
        <w:t>标志基础</w:t>
      </w:r>
    </w:p>
    <w:p>
      <w:pPr>
        <w:pStyle w:val="BodyText"/>
        <w:spacing w:before="241" w:line="364" w:lineRule="auto"/>
        <w:ind w:left="520" w:right="1262" w:firstLine="719"/>
      </w:pPr>
      <w:r>
        <w:rPr>
          <w:spacing w:val="-19"/>
        </w:rPr>
        <w:t xml:space="preserve">⑴基坑采用人工辅以小型机具开挖。现浇砼时，大型基础砼模采用钢模拼装， </w:t>
      </w:r>
      <w:r>
        <w:t>小型基础可不立模板，基底承载力应满足要求。</w:t>
      </w:r>
    </w:p>
    <w:p>
      <w:pPr>
        <w:spacing w:after="0" w:line="364" w:lineRule="auto"/>
        <w:sectPr>
          <w:pgSz w:w="17860" w:h="25260"/>
          <w:pgMar w:top="1920" w:right="1260" w:bottom="280" w:left="2180" w:header="708" w:footer="708"/>
          <w:pgNumType w:start="3"/>
          <w:cols w:space="708"/>
        </w:sectPr>
      </w:pPr>
    </w:p>
    <w:p>
      <w:pPr>
        <w:pStyle w:val="BodyText"/>
        <w:spacing w:before="32" w:line="364" w:lineRule="auto"/>
        <w:ind w:left="520" w:right="1296" w:firstLine="719"/>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6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pacing w:val="-13"/>
        </w:rPr>
        <w:t>⑵立模、钢筋制安应符合设计与规范规定，预埋的地脚螺栓和底法兰盘位置</w:t>
      </w:r>
      <w:r>
        <w:rPr>
          <w:spacing w:val="-14"/>
        </w:rPr>
        <w:t>要正确。浇筑砼时，应保证底法兰盘标高正确，保持水平，地脚螺栓保持垂直。</w:t>
      </w:r>
    </w:p>
    <w:p>
      <w:pPr>
        <w:pStyle w:val="BodyText"/>
        <w:spacing w:before="2"/>
        <w:ind w:left="1240"/>
      </w:pPr>
      <w:r>
        <w:t>⑶浇筑好的砼基础应进行养护，安装支柱前完成基坑回填夯实。</w:t>
      </w:r>
    </w:p>
    <w:p>
      <w:pPr>
        <w:pStyle w:val="ListParagraph"/>
        <w:numPr>
          <w:ilvl w:val="1"/>
          <w:numId w:val="23"/>
        </w:numPr>
        <w:tabs>
          <w:tab w:val="left" w:pos="1241"/>
        </w:tabs>
        <w:spacing w:before="241" w:after="0" w:line="240" w:lineRule="auto"/>
        <w:ind w:left="1240" w:right="0" w:hanging="721"/>
        <w:jc w:val="left"/>
        <w:rPr>
          <w:sz w:val="36"/>
        </w:rPr>
      </w:pPr>
      <w:r>
        <w:rPr>
          <w:sz w:val="36"/>
        </w:rPr>
        <w:t>立柱制作、安装</w:t>
      </w:r>
    </w:p>
    <w:p>
      <w:pPr>
        <w:pStyle w:val="BodyText"/>
        <w:spacing w:before="241" w:line="364" w:lineRule="auto"/>
        <w:ind w:left="520" w:right="1435" w:firstLine="719"/>
      </w:pPr>
      <w:r>
        <w:rPr>
          <w:spacing w:val="-11"/>
        </w:rPr>
        <w:t>⑴严格按设计文件要求选购材料，所有钢板(管)按设计文件要求必须有材质</w:t>
      </w:r>
      <w:r>
        <w:t>证明，经监理工程师验收方可加工。</w:t>
      </w:r>
    </w:p>
    <w:p>
      <w:pPr>
        <w:pStyle w:val="BodyText"/>
        <w:spacing w:before="1" w:line="364" w:lineRule="auto"/>
        <w:ind w:left="520" w:right="1439" w:firstLine="719"/>
      </w:pPr>
      <w:r>
        <w:rPr>
          <w:spacing w:val="-9"/>
        </w:rPr>
        <w:t>⑵钢材按设计文件尺寸进行切割，型材用气割切割，钢板用轨道式切割机切</w:t>
      </w:r>
      <w:r>
        <w:t>割，切割好的钢材，用打磨机打磨，需拼接的部位，一定要切割成焊口。</w:t>
      </w:r>
    </w:p>
    <w:p>
      <w:pPr>
        <w:pStyle w:val="BodyText"/>
        <w:spacing w:before="3" w:line="364" w:lineRule="auto"/>
        <w:ind w:left="520" w:right="1437" w:firstLine="719"/>
      </w:pPr>
      <w:r>
        <w:rPr>
          <w:spacing w:val="-9"/>
        </w:rPr>
        <w:t>⑶焊条必须选用设计文件及国标要求的材料，焊缝厚度必须达到设计文件要</w:t>
      </w:r>
      <w:r>
        <w:t>求，焊好后材料应检查焊缝厚度及平滑度。</w:t>
      </w:r>
    </w:p>
    <w:p>
      <w:pPr>
        <w:pStyle w:val="BodyText"/>
        <w:spacing w:before="2"/>
        <w:ind w:left="1240"/>
      </w:pPr>
      <w:r>
        <w:t>⑷将焊好的结构进行酸洗处理，必须洗干净，以确保除锈的彻底性。</w:t>
      </w:r>
    </w:p>
    <w:p>
      <w:pPr>
        <w:pStyle w:val="BodyText"/>
        <w:spacing w:before="241"/>
        <w:ind w:left="1240"/>
      </w:pPr>
      <w:r>
        <w:t>⑸将酸洗处理的铁件，浸放在热镀锌槽中，镀锌要均匀，必须保证镀锌厚度。</w:t>
      </w:r>
    </w:p>
    <w:p>
      <w:pPr>
        <w:pStyle w:val="BodyText"/>
        <w:spacing w:before="240"/>
        <w:ind w:left="1240"/>
      </w:pPr>
      <w:r>
        <w:t>⑹将镀完锌的支柱用麻绳包好存放或运到工地。</w:t>
      </w:r>
    </w:p>
    <w:p>
      <w:pPr>
        <w:pStyle w:val="BodyText"/>
        <w:spacing w:before="241"/>
        <w:ind w:left="1240"/>
      </w:pPr>
      <w:r>
        <w:t>⑺支柱须待砼基础强度达设计 75%以上时方可安装。</w:t>
      </w:r>
    </w:p>
    <w:p>
      <w:pPr>
        <w:pStyle w:val="BodyText"/>
        <w:spacing w:before="241" w:line="364" w:lineRule="auto"/>
        <w:ind w:left="520" w:right="1298" w:firstLine="719"/>
      </w:pPr>
      <w:r>
        <w:t>⑻支柱通过法兰盘与基础连接。清理完底法兰盘和地脚螺栓后，立直支柱， 在拧紧螺栓前应调整好方向和垂直度，最后，拧紧地脚螺栓。悬臂梁可在安装支柱前与支柱拼装完后一起安装。</w:t>
      </w:r>
    </w:p>
    <w:p>
      <w:pPr>
        <w:pStyle w:val="ListParagraph"/>
        <w:numPr>
          <w:ilvl w:val="1"/>
          <w:numId w:val="23"/>
        </w:numPr>
        <w:tabs>
          <w:tab w:val="left" w:pos="1241"/>
        </w:tabs>
        <w:spacing w:before="3" w:after="0" w:line="240" w:lineRule="auto"/>
        <w:ind w:left="1240" w:right="0" w:hanging="721"/>
        <w:jc w:val="left"/>
        <w:rPr>
          <w:sz w:val="36"/>
        </w:rPr>
      </w:pPr>
      <w:r>
        <w:rPr>
          <w:sz w:val="36"/>
        </w:rPr>
        <w:t>标志牌制作、安装</w:t>
      </w:r>
    </w:p>
    <w:p>
      <w:pPr>
        <w:pStyle w:val="BodyText"/>
        <w:spacing w:before="241" w:line="364" w:lineRule="auto"/>
        <w:ind w:left="520" w:right="1262" w:firstLine="899"/>
      </w:pPr>
      <w:r>
        <w:rPr>
          <w:spacing w:val="-9"/>
        </w:rPr>
        <w:t>⑴严格按设计文件要求先取材料，所有材料必须附有材质证明。标志结构、</w:t>
      </w:r>
      <w:r>
        <w:t>标志板加工制作必须正确，字符、图案颜色必须准确。</w:t>
      </w:r>
    </w:p>
    <w:p>
      <w:pPr>
        <w:pStyle w:val="BodyText"/>
        <w:spacing w:before="2" w:line="364" w:lineRule="auto"/>
        <w:ind w:left="520" w:right="1437" w:firstLine="899"/>
        <w:jc w:val="both"/>
      </w:pPr>
      <w:r>
        <w:t>⑵铝板按尺寸及技术要求进行剪切，弯边用弯边机弯边，用铝铆钉进行铆</w:t>
      </w:r>
      <w:r>
        <w:rPr>
          <w:spacing w:val="-13"/>
        </w:rPr>
        <w:t>接，然后将铝板洗干净并保持干燥，最后用粘膜机将底膜贴在铝板上，再按设计文件要求的字、图，将其用转移纸贴在底膜上，将贴好反光膜的标志牌包装分类</w:t>
      </w:r>
      <w:r>
        <w:t>存放在干燥的房内。</w:t>
      </w:r>
    </w:p>
    <w:p>
      <w:pPr>
        <w:pStyle w:val="BodyText"/>
        <w:spacing w:before="4" w:line="364" w:lineRule="auto"/>
        <w:ind w:left="520" w:right="1478" w:firstLine="899"/>
      </w:pPr>
      <w:r>
        <w:t>⑶支柱安装并校正好后，即可安装标志牌。滑动螺栓通过加强筋中的滑槽穿入，通过包箍把标志板固定在支柱上。</w:t>
      </w:r>
    </w:p>
    <w:p>
      <w:pPr>
        <w:pStyle w:val="BodyText"/>
        <w:spacing w:before="2"/>
        <w:ind w:left="1420"/>
      </w:pPr>
      <w:r>
        <w:t>⑷标志板安装完成后应进行板面平整度调整和安装角度调整。</w:t>
      </w:r>
    </w:p>
    <w:p>
      <w:pPr>
        <w:pStyle w:val="BodyText"/>
        <w:spacing w:before="241" w:line="364" w:lineRule="auto"/>
        <w:ind w:left="520" w:right="1478" w:firstLine="899"/>
      </w:pPr>
      <w:r>
        <w:t>⑸标志牌安装完毕后应进行板面清扫，在清扫过程中，不应损坏标志面或产生其他缺陷。</w:t>
      </w:r>
    </w:p>
    <w:p>
      <w:pPr>
        <w:pStyle w:val="Heading2"/>
        <w:spacing w:before="120"/>
      </w:pPr>
      <w:r>
        <w:t>3、更换标志标牌施工方法</w:t>
      </w:r>
    </w:p>
    <w:p>
      <w:pPr>
        <w:spacing w:after="0"/>
        <w:sectPr>
          <w:pgSz w:w="17860" w:h="25260"/>
          <w:pgMar w:top="1920" w:right="1260" w:bottom="280" w:left="2180" w:header="708" w:footer="708"/>
          <w:pgNumType w:start="4"/>
          <w:cols w:space="708"/>
        </w:sectPr>
      </w:pPr>
    </w:p>
    <w:p>
      <w:pPr>
        <w:pStyle w:val="ListParagraph"/>
        <w:numPr>
          <w:ilvl w:val="1"/>
          <w:numId w:val="22"/>
        </w:numPr>
        <w:tabs>
          <w:tab w:val="left" w:pos="1241"/>
        </w:tabs>
        <w:spacing w:before="32" w:after="0" w:line="240" w:lineRule="auto"/>
        <w:ind w:left="1240" w:right="0" w:hanging="721"/>
        <w:jc w:val="both"/>
        <w:rPr>
          <w:sz w:val="36"/>
        </w:rPr>
      </w:pPr>
      <w:r>
        <w:drawing>
          <wp:anchor distT="0" distB="0" distL="0" distR="0" simplePos="0" relativeHeight="251663360" behindDoc="1" locked="0" layoutInCell="1" allowOverlap="1">
            <wp:simplePos x="0" y="0"/>
            <wp:positionH relativeFrom="page">
              <wp:posOffset>0</wp:posOffset>
            </wp:positionH>
            <wp:positionV relativeFrom="page">
              <wp:posOffset>0</wp:posOffset>
            </wp:positionV>
            <wp:extent cx="11340845" cy="158496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6"/>
        </w:rPr>
        <w:t>拆除损坏标志标牌</w:t>
      </w:r>
    </w:p>
    <w:p>
      <w:pPr>
        <w:pStyle w:val="BodyText"/>
        <w:spacing w:before="241" w:line="364" w:lineRule="auto"/>
        <w:ind w:left="520" w:right="1437" w:firstLine="719"/>
        <w:jc w:val="both"/>
      </w:pPr>
      <w:r>
        <w:rPr>
          <w:spacing w:val="-11"/>
        </w:rPr>
        <w:t>用扳手和铁钳把螺丝扭松，取出损坏的交通标志标牌，必要时电焊机配合作</w:t>
      </w:r>
      <w:r>
        <w:rPr>
          <w:spacing w:val="-13"/>
        </w:rPr>
        <w:t>业。如果标志标牌悬挂较高应采用吊车、移动升降机配合作业。取下的标志标牌</w:t>
      </w:r>
      <w:r>
        <w:t>统一堆放，集中运走。</w:t>
      </w:r>
    </w:p>
    <w:p>
      <w:pPr>
        <w:pStyle w:val="ListParagraph"/>
        <w:numPr>
          <w:ilvl w:val="1"/>
          <w:numId w:val="22"/>
        </w:numPr>
        <w:tabs>
          <w:tab w:val="left" w:pos="1241"/>
        </w:tabs>
        <w:spacing w:before="3" w:after="0" w:line="240" w:lineRule="auto"/>
        <w:ind w:left="1240" w:right="0" w:hanging="721"/>
        <w:jc w:val="both"/>
        <w:rPr>
          <w:sz w:val="36"/>
        </w:rPr>
      </w:pPr>
      <w:r>
        <w:rPr>
          <w:sz w:val="36"/>
        </w:rPr>
        <w:t>安装新的标志标牌</w:t>
      </w:r>
    </w:p>
    <w:p>
      <w:pPr>
        <w:pStyle w:val="BodyText"/>
        <w:spacing w:before="241" w:line="364" w:lineRule="auto"/>
        <w:ind w:left="520" w:right="1260" w:firstLine="709"/>
      </w:pPr>
      <w:r>
        <w:t>⑴把新的标牌按原来的位置（新的标志标牌按新的设计位置安装）复位，穿</w:t>
      </w:r>
      <w:r>
        <w:rPr>
          <w:spacing w:val="-19"/>
        </w:rPr>
        <w:t>上螺栓并拧上螺丝，但螺丝不能拧紧，以便调校标志标牌的倾斜角度和方位角度。</w:t>
      </w:r>
    </w:p>
    <w:p>
      <w:pPr>
        <w:pStyle w:val="BodyText"/>
        <w:spacing w:before="1" w:line="364" w:lineRule="auto"/>
        <w:ind w:left="520" w:right="1257" w:firstLine="709"/>
      </w:pPr>
      <w:r>
        <w:rPr>
          <w:spacing w:val="-16"/>
        </w:rPr>
        <w:t>⑵用水平尺调校标牌的倾斜度和方位角，要求标牌水平、视觉符合行车要求。</w:t>
      </w:r>
      <w:r>
        <w:t>待标志标牌调校好后再螺丝拧紧固定。</w:t>
      </w:r>
    </w:p>
    <w:p>
      <w:pPr>
        <w:pStyle w:val="ListParagraph"/>
        <w:numPr>
          <w:ilvl w:val="1"/>
          <w:numId w:val="22"/>
        </w:numPr>
        <w:tabs>
          <w:tab w:val="left" w:pos="1241"/>
        </w:tabs>
        <w:spacing w:before="3" w:after="0" w:line="240" w:lineRule="auto"/>
        <w:ind w:left="1240" w:right="0" w:hanging="721"/>
        <w:jc w:val="left"/>
        <w:rPr>
          <w:sz w:val="36"/>
        </w:rPr>
      </w:pPr>
      <w:r>
        <w:rPr>
          <w:sz w:val="36"/>
        </w:rPr>
        <w:t>清理现场</w:t>
      </w:r>
    </w:p>
    <w:p>
      <w:pPr>
        <w:pStyle w:val="BodyText"/>
        <w:spacing w:before="241" w:line="364" w:lineRule="auto"/>
        <w:ind w:left="520" w:right="1440" w:firstLine="719"/>
        <w:jc w:val="both"/>
      </w:pPr>
      <w:r>
        <w:rPr>
          <w:spacing w:val="-9"/>
        </w:rPr>
        <w:t>将取下的废弃标志标牌集中用车运离，并将现场清理干净。拆除标牌后的废</w:t>
      </w:r>
      <w:r>
        <w:rPr>
          <w:spacing w:val="-13"/>
        </w:rPr>
        <w:t>弃基础应考虑安全、美观等因素加以处理，拆除出来的标牌上部结构应尽可能的</w:t>
      </w:r>
      <w:r>
        <w:t>加以利用。</w:t>
      </w:r>
    </w:p>
    <w:p>
      <w:pPr>
        <w:pStyle w:val="Heading2"/>
        <w:ind w:left="1244"/>
      </w:pPr>
      <w:r>
        <w:t>4、路灯施工方法</w:t>
      </w:r>
    </w:p>
    <w:p>
      <w:pPr>
        <w:pStyle w:val="ListParagraph"/>
        <w:numPr>
          <w:ilvl w:val="1"/>
          <w:numId w:val="21"/>
        </w:numPr>
        <w:tabs>
          <w:tab w:val="left" w:pos="2140"/>
          <w:tab w:val="left" w:pos="2141"/>
        </w:tabs>
        <w:spacing w:before="241" w:after="0" w:line="240" w:lineRule="auto"/>
        <w:ind w:left="2140" w:right="0" w:hanging="901"/>
        <w:jc w:val="left"/>
        <w:rPr>
          <w:sz w:val="36"/>
        </w:rPr>
      </w:pPr>
      <w:r>
        <w:rPr>
          <w:sz w:val="36"/>
        </w:rPr>
        <w:t>电缆敷设</w:t>
      </w:r>
    </w:p>
    <w:p>
      <w:pPr>
        <w:pStyle w:val="ListParagraph"/>
        <w:numPr>
          <w:ilvl w:val="2"/>
          <w:numId w:val="21"/>
        </w:numPr>
        <w:tabs>
          <w:tab w:val="left" w:pos="2321"/>
        </w:tabs>
        <w:spacing w:before="241" w:after="0" w:line="240" w:lineRule="auto"/>
        <w:ind w:left="2320" w:right="0" w:hanging="1081"/>
        <w:jc w:val="left"/>
        <w:rPr>
          <w:sz w:val="36"/>
        </w:rPr>
      </w:pPr>
      <w:r>
        <w:rPr>
          <w:sz w:val="36"/>
        </w:rPr>
        <w:t>施工准备</w:t>
      </w:r>
    </w:p>
    <w:p>
      <w:pPr>
        <w:pStyle w:val="ListParagraph"/>
        <w:numPr>
          <w:ilvl w:val="3"/>
          <w:numId w:val="21"/>
        </w:numPr>
        <w:tabs>
          <w:tab w:val="left" w:pos="2591"/>
        </w:tabs>
        <w:spacing w:before="241" w:after="0" w:line="240" w:lineRule="auto"/>
        <w:ind w:left="2590" w:right="0" w:hanging="1351"/>
        <w:jc w:val="left"/>
        <w:rPr>
          <w:sz w:val="36"/>
        </w:rPr>
      </w:pPr>
      <w:r>
        <w:rPr>
          <w:sz w:val="36"/>
        </w:rPr>
        <w:t>材料</w:t>
      </w:r>
    </w:p>
    <w:p>
      <w:pPr>
        <w:pStyle w:val="BodyText"/>
        <w:spacing w:before="241" w:line="364" w:lineRule="auto"/>
        <w:ind w:left="520" w:right="1367" w:firstLine="719"/>
      </w:pPr>
      <w:r>
        <w:t>所有电缆应具有出厂合格证、生产许可证</w:t>
      </w:r>
      <w:r>
        <w:rPr>
          <w:spacing w:val="-251"/>
        </w:rPr>
        <w:t>、</w:t>
      </w:r>
      <w:r>
        <w:t>“CCC”</w:t>
      </w:r>
      <w:r>
        <w:rPr>
          <w:spacing w:val="-2"/>
        </w:rPr>
        <w:t>认证标识；其规格型号及</w:t>
      </w:r>
      <w:r>
        <w:t>电压等级应符合设计要求。</w:t>
      </w:r>
    </w:p>
    <w:p>
      <w:pPr>
        <w:pStyle w:val="BodyText"/>
        <w:spacing w:before="2" w:line="364" w:lineRule="auto"/>
        <w:ind w:left="520" w:right="1457" w:firstLine="719"/>
      </w:pPr>
      <w:r>
        <w:t>电缆外观完好无损（铠装无锈蚀、无压扁现象</w:t>
      </w:r>
      <w:r>
        <w:rPr>
          <w:spacing w:val="-161"/>
        </w:rPr>
        <w:t>）</w:t>
      </w:r>
      <w:r>
        <w:rPr>
          <w:spacing w:val="-2"/>
        </w:rPr>
        <w:t>，无绞拧和扭曲现象；无护</w:t>
      </w:r>
      <w:r>
        <w:t>层折裂等未消除的机械损伤。每盘电缆上标注规格型号、长度及出厂日期。</w:t>
      </w:r>
    </w:p>
    <w:p>
      <w:pPr>
        <w:pStyle w:val="ListParagraph"/>
        <w:numPr>
          <w:ilvl w:val="3"/>
          <w:numId w:val="21"/>
        </w:numPr>
        <w:tabs>
          <w:tab w:val="left" w:pos="2591"/>
        </w:tabs>
        <w:spacing w:before="2" w:after="0" w:line="240" w:lineRule="auto"/>
        <w:ind w:left="2590" w:right="0" w:hanging="1351"/>
        <w:jc w:val="left"/>
        <w:rPr>
          <w:sz w:val="36"/>
        </w:rPr>
      </w:pPr>
      <w:r>
        <w:rPr>
          <w:sz w:val="36"/>
        </w:rPr>
        <w:t>作业条件</w:t>
      </w:r>
    </w:p>
    <w:p>
      <w:pPr>
        <w:pStyle w:val="BodyText"/>
        <w:spacing w:before="240"/>
        <w:ind w:left="1240"/>
      </w:pPr>
      <w:r>
        <w:t>预留管、孔、洞和预埋件的位置、尺寸应符合设计要求。</w:t>
      </w:r>
    </w:p>
    <w:p>
      <w:pPr>
        <w:pStyle w:val="BodyText"/>
        <w:spacing w:before="242" w:line="364" w:lineRule="auto"/>
        <w:ind w:left="1240" w:right="3458"/>
      </w:pPr>
      <w:r>
        <w:t>电缆沟、隧道、竖井及人孔等处的土建工程结束，且无积水。敷设电缆沿线无障碍物，场地清理干净、道路畅通。</w:t>
      </w:r>
    </w:p>
    <w:p>
      <w:pPr>
        <w:pStyle w:val="BodyText"/>
        <w:spacing w:before="2" w:line="364" w:lineRule="auto"/>
        <w:ind w:left="520" w:right="1442" w:firstLine="719"/>
      </w:pPr>
      <w:r>
        <w:rPr>
          <w:spacing w:val="-10"/>
        </w:rPr>
        <w:t>敷设电缆用的脚手架搭设完毕，且符合安全要求，电缆敷设沿线照明照度满</w:t>
      </w:r>
      <w:r>
        <w:t>足施工要求。</w:t>
      </w:r>
    </w:p>
    <w:p>
      <w:pPr>
        <w:pStyle w:val="BodyText"/>
        <w:spacing w:before="2"/>
        <w:ind w:left="1240"/>
      </w:pPr>
      <w:r>
        <w:t>检查敷设电缆用机械设备是否良好。</w:t>
      </w:r>
    </w:p>
    <w:p>
      <w:pPr>
        <w:pStyle w:val="BodyText"/>
        <w:spacing w:before="240"/>
        <w:ind w:left="1240"/>
      </w:pPr>
      <w:r>
        <w:t>电缆支架及保护管安装完毕，并检验合格。</w:t>
      </w:r>
    </w:p>
    <w:p>
      <w:pPr>
        <w:pStyle w:val="BodyText"/>
        <w:spacing w:before="241"/>
        <w:ind w:left="1240"/>
      </w:pPr>
      <w:r>
        <w:t>变配电室内全部电气设备及用电设备配电箱柜安装完毕。</w:t>
      </w:r>
    </w:p>
    <w:p>
      <w:pPr>
        <w:spacing w:after="0"/>
        <w:sectPr>
          <w:pgSz w:w="17860" w:h="25260"/>
          <w:pgMar w:top="1920" w:right="1260" w:bottom="280" w:left="2180" w:header="708" w:footer="708"/>
          <w:pgNumType w:start="5"/>
          <w:cols w:space="708"/>
        </w:sectPr>
      </w:pPr>
    </w:p>
    <w:p>
      <w:pPr>
        <w:pStyle w:val="ListParagraph"/>
        <w:numPr>
          <w:ilvl w:val="3"/>
          <w:numId w:val="21"/>
        </w:numPr>
        <w:tabs>
          <w:tab w:val="left" w:pos="2591"/>
        </w:tabs>
        <w:spacing w:before="32" w:after="0" w:line="240" w:lineRule="auto"/>
        <w:ind w:left="2590" w:right="0" w:hanging="1351"/>
        <w:jc w:val="left"/>
        <w:rPr>
          <w:sz w:val="36"/>
        </w:rPr>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0845" cy="15849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6"/>
        </w:rPr>
        <w:t>技术准备</w:t>
      </w:r>
    </w:p>
    <w:p>
      <w:pPr>
        <w:pStyle w:val="BodyText"/>
        <w:spacing w:before="241" w:line="364" w:lineRule="auto"/>
        <w:ind w:left="1240" w:right="8498"/>
      </w:pPr>
      <w:r>
        <w:t xml:space="preserve">施工图纸和技术资料齐全。 </w:t>
      </w:r>
      <w:r>
        <w:rPr>
          <w:spacing w:val="-2"/>
        </w:rPr>
        <w:t>施工方案编制完毕并经审批。</w:t>
      </w:r>
    </w:p>
    <w:p>
      <w:pPr>
        <w:pStyle w:val="BodyText"/>
        <w:spacing w:before="2"/>
        <w:ind w:left="1240"/>
      </w:pPr>
      <w:r>
        <w:t>施工前应组织施工人员熟悉图纸、方案，并进行安全、技术交底。</w:t>
      </w:r>
    </w:p>
    <w:p>
      <w:pPr>
        <w:pStyle w:val="ListParagraph"/>
        <w:numPr>
          <w:ilvl w:val="2"/>
          <w:numId w:val="21"/>
        </w:numPr>
        <w:tabs>
          <w:tab w:val="left" w:pos="2231"/>
        </w:tabs>
        <w:spacing w:before="241" w:after="0" w:line="240" w:lineRule="auto"/>
        <w:ind w:left="2230" w:right="0" w:hanging="991"/>
        <w:jc w:val="left"/>
        <w:rPr>
          <w:sz w:val="36"/>
        </w:rPr>
      </w:pPr>
      <w:r>
        <w:rPr>
          <w:sz w:val="36"/>
        </w:rPr>
        <w:t>操作工艺</w:t>
      </w:r>
    </w:p>
    <w:p>
      <w:pPr>
        <w:pStyle w:val="ListParagraph"/>
        <w:numPr>
          <w:ilvl w:val="3"/>
          <w:numId w:val="21"/>
        </w:numPr>
        <w:tabs>
          <w:tab w:val="left" w:pos="2591"/>
        </w:tabs>
        <w:spacing w:before="240" w:after="0" w:line="240" w:lineRule="auto"/>
        <w:ind w:left="2590" w:right="0" w:hanging="1351"/>
        <w:jc w:val="left"/>
        <w:rPr>
          <w:sz w:val="36"/>
        </w:rPr>
      </w:pPr>
      <w:r>
        <w:rPr>
          <w:sz w:val="36"/>
        </w:rPr>
        <w:t>工艺流程</w:t>
      </w:r>
    </w:p>
    <w:p>
      <w:pPr>
        <w:pStyle w:val="BodyText"/>
        <w:rPr>
          <w:sz w:val="20"/>
        </w:rPr>
      </w:pPr>
    </w:p>
    <w:p>
      <w:pPr>
        <w:pStyle w:val="BodyText"/>
        <w:spacing w:before="9"/>
        <w:rPr>
          <w:sz w:val="23"/>
        </w:rPr>
      </w:pPr>
      <w:r>
        <w:pict>
          <v:group id="_x0000_s1025" style="width:593pt;height:36pt;margin-top:17.15pt;margin-left:150pt;mso-position-horizontal-relative:page;mso-wrap-distance-left:0;mso-wrap-distance-right:0;position:absolute;z-index:-251651072" coordorigin="3000,343" coordsize="11860,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860;height:720;left:3000;position:absolute;top:342" stroked="f">
              <v:imagedata r:id="rId6" o:title=""/>
            </v:shape>
            <v:shapetype id="_x0000_t202" coordsize="21600,21600" o:spt="202" path="m,l,21600r21600,l21600,xe">
              <v:stroke joinstyle="miter"/>
              <v:path gradientshapeok="t" o:connecttype="rect"/>
            </v:shapetype>
            <v:shape id="_x0000_s1027" type="#_x0000_t202" style="width:1460;height:360;left:3244;position:absolute;top:503" filled="f" stroked="f">
              <v:textbox inset="0,0,0,0">
                <w:txbxContent>
                  <w:p>
                    <w:pPr>
                      <w:spacing w:before="0" w:line="360" w:lineRule="exact"/>
                      <w:ind w:left="0" w:right="0" w:firstLine="0"/>
                      <w:jc w:val="left"/>
                      <w:rPr>
                        <w:sz w:val="36"/>
                      </w:rPr>
                    </w:pPr>
                    <w:r>
                      <w:rPr>
                        <w:sz w:val="36"/>
                      </w:rPr>
                      <w:t>准备工作</w:t>
                    </w:r>
                  </w:p>
                </w:txbxContent>
              </v:textbox>
            </v:shape>
            <v:shape id="_x0000_s1028" type="#_x0000_t202" style="width:3620;height:360;left:7280;position:absolute;top:503" filled="f" stroked="f">
              <v:textbox inset="0,0,0,0">
                <w:txbxContent>
                  <w:p>
                    <w:pPr>
                      <w:spacing w:before="0" w:line="360" w:lineRule="exact"/>
                      <w:ind w:left="0" w:right="0" w:firstLine="0"/>
                      <w:jc w:val="left"/>
                      <w:rPr>
                        <w:sz w:val="36"/>
                      </w:rPr>
                    </w:pPr>
                    <w:r>
                      <w:rPr>
                        <w:sz w:val="36"/>
                      </w:rPr>
                      <w:t>电缆沿支架、穿管敷设</w:t>
                    </w:r>
                  </w:p>
                </w:txbxContent>
              </v:textbox>
            </v:shape>
            <v:shape id="_x0000_s1029" type="#_x0000_t202" style="width:1100;height:360;left:13265;position:absolute;top:503" filled="f" stroked="f">
              <v:textbox inset="0,0,0,0">
                <w:txbxContent>
                  <w:p>
                    <w:pPr>
                      <w:spacing w:before="0" w:line="360" w:lineRule="exact"/>
                      <w:ind w:left="0" w:right="0" w:firstLine="0"/>
                      <w:jc w:val="left"/>
                      <w:rPr>
                        <w:sz w:val="36"/>
                      </w:rPr>
                    </w:pPr>
                    <w:r>
                      <w:rPr>
                        <w:sz w:val="36"/>
                      </w:rPr>
                      <w:t>挂标牌</w:t>
                    </w:r>
                  </w:p>
                </w:txbxContent>
              </v:textbox>
            </v:shape>
            <w10:wrap type="topAndBottom"/>
          </v:group>
        </w:pict>
      </w:r>
    </w:p>
    <w:p>
      <w:pPr>
        <w:pStyle w:val="BodyText"/>
        <w:spacing w:before="5"/>
        <w:rPr>
          <w:sz w:val="19"/>
        </w:rPr>
      </w:pPr>
    </w:p>
    <w:p>
      <w:pPr>
        <w:pStyle w:val="ListParagraph"/>
        <w:numPr>
          <w:ilvl w:val="3"/>
          <w:numId w:val="21"/>
        </w:numPr>
        <w:tabs>
          <w:tab w:val="left" w:pos="2591"/>
        </w:tabs>
        <w:spacing w:before="49" w:after="0" w:line="240" w:lineRule="auto"/>
        <w:ind w:left="2590" w:right="0" w:hanging="1351"/>
        <w:jc w:val="left"/>
        <w:rPr>
          <w:sz w:val="36"/>
        </w:rPr>
      </w:pPr>
      <w:r>
        <w:rPr>
          <w:sz w:val="36"/>
        </w:rPr>
        <w:t>操作方法</w:t>
      </w:r>
    </w:p>
    <w:p>
      <w:pPr>
        <w:pStyle w:val="ListParagraph"/>
        <w:numPr>
          <w:ilvl w:val="4"/>
          <w:numId w:val="21"/>
        </w:numPr>
        <w:tabs>
          <w:tab w:val="left" w:pos="2951"/>
        </w:tabs>
        <w:spacing w:before="241" w:after="0" w:line="240" w:lineRule="auto"/>
        <w:ind w:left="2950" w:right="0" w:hanging="1711"/>
        <w:jc w:val="left"/>
        <w:rPr>
          <w:sz w:val="36"/>
        </w:rPr>
      </w:pPr>
      <w:r>
        <w:rPr>
          <w:sz w:val="36"/>
        </w:rPr>
        <w:t>准备工作</w:t>
      </w:r>
    </w:p>
    <w:p>
      <w:pPr>
        <w:pStyle w:val="BodyText"/>
        <w:spacing w:before="241" w:line="364" w:lineRule="auto"/>
        <w:ind w:left="520" w:right="1478" w:firstLine="719"/>
      </w:pPr>
      <w:r>
        <w:t>1、施工前检查所敷设电缆的规格、型号、截面等是否符合设计要求，外观应无明显损伤。</w:t>
      </w:r>
    </w:p>
    <w:p>
      <w:pPr>
        <w:pStyle w:val="BodyText"/>
        <w:spacing w:before="2"/>
        <w:ind w:left="1240"/>
      </w:pPr>
      <w:r>
        <w:t>2、电缆敷设前进行绝缘摇测或耐压试验</w:t>
      </w:r>
    </w:p>
    <w:p>
      <w:pPr>
        <w:pStyle w:val="BodyText"/>
        <w:spacing w:before="240" w:line="364" w:lineRule="auto"/>
        <w:ind w:left="520" w:right="1436" w:firstLine="719"/>
      </w:pPr>
      <w:r>
        <w:t>（1）1KV</w:t>
      </w:r>
      <w:r>
        <w:rPr>
          <w:spacing w:val="-15"/>
        </w:rPr>
        <w:t xml:space="preserve"> 以下电缆用 </w:t>
      </w:r>
      <w:r>
        <w:t>1KV</w:t>
      </w:r>
      <w:r>
        <w:rPr>
          <w:spacing w:val="-8"/>
        </w:rPr>
        <w:t xml:space="preserve"> 兆欧表摇测线间及对地的绝缘电阻，其阻值不低</w:t>
      </w:r>
      <w:r>
        <w:rPr>
          <w:spacing w:val="-46"/>
        </w:rPr>
        <w:t xml:space="preserve">于 </w:t>
      </w:r>
      <w:r>
        <w:t>10</w:t>
      </w:r>
      <w:r>
        <w:rPr>
          <w:spacing w:val="-23"/>
        </w:rPr>
        <w:t xml:space="preserve"> 兆欧。</w:t>
      </w:r>
    </w:p>
    <w:p>
      <w:pPr>
        <w:pStyle w:val="ListParagraph"/>
        <w:numPr>
          <w:ilvl w:val="0"/>
          <w:numId w:val="20"/>
        </w:numPr>
        <w:tabs>
          <w:tab w:val="left" w:pos="2142"/>
        </w:tabs>
        <w:spacing w:before="2" w:after="0" w:line="240" w:lineRule="auto"/>
        <w:ind w:left="2141" w:right="0" w:hanging="902"/>
        <w:jc w:val="left"/>
        <w:rPr>
          <w:sz w:val="36"/>
        </w:rPr>
      </w:pPr>
      <w:r>
        <w:rPr>
          <w:sz w:val="36"/>
        </w:rPr>
        <w:t>敷设电缆时，可用手持通话对讲设备进行联络指挥。</w:t>
      </w:r>
    </w:p>
    <w:p>
      <w:pPr>
        <w:pStyle w:val="ListParagraph"/>
        <w:numPr>
          <w:ilvl w:val="0"/>
          <w:numId w:val="20"/>
        </w:numPr>
        <w:tabs>
          <w:tab w:val="left" w:pos="2142"/>
        </w:tabs>
        <w:spacing w:before="241" w:after="0" w:line="364" w:lineRule="auto"/>
        <w:ind w:left="520" w:right="1478" w:firstLine="719"/>
        <w:jc w:val="left"/>
        <w:rPr>
          <w:sz w:val="36"/>
        </w:rPr>
      </w:pPr>
      <w:r>
        <w:rPr>
          <w:spacing w:val="-1"/>
          <w:sz w:val="36"/>
        </w:rPr>
        <w:t>电缆测试完毕，应立即用密封套封严或用橡皮包布密封电缆头，再用</w:t>
      </w:r>
      <w:r>
        <w:rPr>
          <w:sz w:val="36"/>
        </w:rPr>
        <w:t>黑胶布包好。</w:t>
      </w:r>
    </w:p>
    <w:p>
      <w:pPr>
        <w:pStyle w:val="BodyText"/>
        <w:spacing w:before="2"/>
        <w:ind w:left="1240"/>
      </w:pPr>
      <w:r>
        <w:t>4、电缆的搬运及支架架设</w:t>
      </w:r>
    </w:p>
    <w:p>
      <w:pPr>
        <w:pStyle w:val="BodyText"/>
        <w:spacing w:before="241" w:line="364" w:lineRule="auto"/>
        <w:ind w:left="520" w:right="1442" w:firstLine="719"/>
      </w:pPr>
      <w:r>
        <w:rPr>
          <w:spacing w:val="-13"/>
        </w:rPr>
        <w:t>电缆短距离搬运，一般采用滚动电缆轴的方法，应按电缆轴上箭头指示方向</w:t>
      </w:r>
      <w:r>
        <w:t>或按电缆缠绕方向滚动。</w:t>
      </w:r>
    </w:p>
    <w:p>
      <w:pPr>
        <w:pStyle w:val="BodyText"/>
        <w:spacing w:before="2" w:line="364" w:lineRule="auto"/>
        <w:ind w:left="520" w:right="1437" w:firstLine="719"/>
        <w:jc w:val="both"/>
      </w:pPr>
      <w:r>
        <w:rPr>
          <w:spacing w:val="-8"/>
        </w:rPr>
        <w:t>电缆支架的架设地点一般应在电缆起止点附近为宜；在一个敷设区段内应选</w:t>
      </w:r>
      <w:r>
        <w:rPr>
          <w:spacing w:val="-9"/>
        </w:rPr>
        <w:t>择地势高的一端作为敷设的起始点；架设时，应注意电缆轴的转动方向，电缆引</w:t>
      </w:r>
      <w:r>
        <w:t>出端应在电缆轴的上方。</w:t>
      </w:r>
    </w:p>
    <w:p>
      <w:pPr>
        <w:pStyle w:val="BodyText"/>
        <w:spacing w:before="4"/>
        <w:ind w:left="1240"/>
      </w:pPr>
      <w:r>
        <w:t>5、电缆敷设方法</w:t>
      </w:r>
    </w:p>
    <w:p>
      <w:pPr>
        <w:pStyle w:val="ListParagraph"/>
        <w:numPr>
          <w:ilvl w:val="0"/>
          <w:numId w:val="19"/>
        </w:numPr>
        <w:tabs>
          <w:tab w:val="left" w:pos="2142"/>
        </w:tabs>
        <w:spacing w:before="240" w:after="0" w:line="364" w:lineRule="auto"/>
        <w:ind w:left="520" w:right="1478" w:firstLine="719"/>
        <w:jc w:val="left"/>
        <w:rPr>
          <w:sz w:val="36"/>
        </w:rPr>
      </w:pPr>
      <w:r>
        <w:rPr>
          <w:spacing w:val="-1"/>
          <w:sz w:val="36"/>
        </w:rPr>
        <w:t>电缆短距离搬运，一般采用滚动电缆轴的方法，应按电缆轴上箭头指</w:t>
      </w:r>
      <w:r>
        <w:rPr>
          <w:sz w:val="36"/>
        </w:rPr>
        <w:t>示方向或按电缆缠绕方向滚动。</w:t>
      </w:r>
    </w:p>
    <w:p>
      <w:pPr>
        <w:pStyle w:val="ListParagraph"/>
        <w:numPr>
          <w:ilvl w:val="0"/>
          <w:numId w:val="19"/>
        </w:numPr>
        <w:tabs>
          <w:tab w:val="left" w:pos="2142"/>
        </w:tabs>
        <w:spacing w:before="2" w:after="0" w:line="364" w:lineRule="auto"/>
        <w:ind w:left="520" w:right="1296" w:firstLine="719"/>
        <w:jc w:val="left"/>
        <w:rPr>
          <w:sz w:val="36"/>
        </w:rPr>
      </w:pPr>
      <w:r>
        <w:rPr>
          <w:sz w:val="36"/>
        </w:rPr>
        <w:t>电缆支架的架设地点一般应在电缆起止点附近为宜；在一个敷设区段</w:t>
      </w:r>
      <w:r>
        <w:rPr>
          <w:spacing w:val="-1"/>
          <w:sz w:val="36"/>
        </w:rPr>
        <w:t xml:space="preserve">内应选择地势高的一端作为敷设的起始点；架设时，应注意电缆轴的转动方向， </w:t>
      </w:r>
      <w:r>
        <w:rPr>
          <w:sz w:val="36"/>
        </w:rPr>
        <w:t>电缆引出端应在电缆轴的上方</w:t>
      </w:r>
    </w:p>
    <w:p>
      <w:pPr>
        <w:spacing w:after="0" w:line="364" w:lineRule="auto"/>
        <w:jc w:val="left"/>
        <w:rPr>
          <w:sz w:val="36"/>
        </w:rPr>
        <w:sectPr>
          <w:pgSz w:w="17860" w:h="25260"/>
          <w:pgMar w:top="1920" w:right="1260" w:bottom="280" w:left="2180" w:header="708" w:footer="708"/>
          <w:pgNumType w:start="6"/>
          <w:cols w:space="708"/>
        </w:sectPr>
      </w:pPr>
    </w:p>
    <w:p>
      <w:pPr>
        <w:pStyle w:val="ListParagraph"/>
        <w:numPr>
          <w:ilvl w:val="0"/>
          <w:numId w:val="19"/>
        </w:numPr>
        <w:tabs>
          <w:tab w:val="left" w:pos="2142"/>
        </w:tabs>
        <w:spacing w:before="32" w:after="0" w:line="240" w:lineRule="auto"/>
        <w:ind w:left="2141" w:right="0" w:hanging="902"/>
        <w:jc w:val="left"/>
        <w:rPr>
          <w:sz w:val="36"/>
        </w:rPr>
      </w:pPr>
      <w:r>
        <w:drawing>
          <wp:anchor distT="0" distB="0" distL="0" distR="0" simplePos="0" relativeHeight="251666432" behindDoc="1" locked="0" layoutInCell="1" allowOverlap="1">
            <wp:simplePos x="0" y="0"/>
            <wp:positionH relativeFrom="page">
              <wp:posOffset>0</wp:posOffset>
            </wp:positionH>
            <wp:positionV relativeFrom="page">
              <wp:posOffset>0</wp:posOffset>
            </wp:positionV>
            <wp:extent cx="11340845" cy="158496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6"/>
        </w:rPr>
        <w:t>电缆敷设方法：电缆敷设可分为人工敷设和机械牵引敷设。</w:t>
      </w:r>
    </w:p>
    <w:p>
      <w:pPr>
        <w:pStyle w:val="BodyText"/>
        <w:spacing w:before="241" w:line="364" w:lineRule="auto"/>
        <w:ind w:left="520" w:right="1296" w:firstLine="719"/>
      </w:pPr>
      <w:r>
        <w:t>A、人工敷设：对于线路长、截面大的电缆，优先采用机械敷设，但现场条件不具备机械牵引敷设时，采用人工敷设。人工敷设时，根据路径长短，组织劳力沿电缆沟支架或保护管内敷设。敷设路径较长时，应将电缆放在滚轮上，牵引电缆向前移动。</w:t>
      </w:r>
    </w:p>
    <w:p>
      <w:pPr>
        <w:pStyle w:val="BodyText"/>
        <w:spacing w:before="4" w:line="364" w:lineRule="auto"/>
        <w:ind w:left="520" w:right="1256" w:firstLine="719"/>
      </w:pPr>
      <w:r>
        <w:t>B</w:t>
      </w:r>
      <w:r>
        <w:rPr>
          <w:spacing w:val="-3"/>
        </w:rPr>
        <w:t xml:space="preserve">、机械牵引敷设：使用机械牵引时，首先在电缆沟旁或沟底每隔 </w:t>
      </w:r>
      <w:r>
        <w:t>2-2.5</w:t>
      </w:r>
      <w:r>
        <w:rPr>
          <w:spacing w:val="-36"/>
        </w:rPr>
        <w:t xml:space="preserve"> 米</w:t>
      </w:r>
      <w:r>
        <w:rPr>
          <w:spacing w:val="-20"/>
        </w:rPr>
        <w:t>处放好滚轮，使电缆牵引时不与支架或地面摩擦。电缆的最大牵引强度按现行国</w:t>
      </w:r>
      <w:r>
        <w:rPr>
          <w:spacing w:val="-21"/>
        </w:rPr>
        <w:t>家标准《电气装置安装工程电缆线路施工及验收规范》</w:t>
      </w:r>
      <w:r>
        <w:t>GB50168</w:t>
      </w:r>
      <w:r>
        <w:rPr>
          <w:spacing w:val="-13"/>
        </w:rPr>
        <w:t xml:space="preserve"> 执行，最大牵引</w:t>
      </w:r>
      <w:r>
        <w:rPr>
          <w:spacing w:val="-24"/>
        </w:rPr>
        <w:t xml:space="preserve">速度不得超过 </w:t>
      </w:r>
      <w:r>
        <w:t>15m/min</w:t>
      </w:r>
      <w:r>
        <w:rPr>
          <w:spacing w:val="-17"/>
        </w:rPr>
        <w:t xml:space="preserve">。在敷设电缆前，应根据电缆的规格和规范中对牵引强度， </w:t>
      </w:r>
      <w:r>
        <w:t>牵引速度的要求进行牵引机械的参数计算，并根据计算结果选择牵引机械。</w:t>
      </w:r>
    </w:p>
    <w:p>
      <w:pPr>
        <w:pStyle w:val="BodyText"/>
        <w:spacing w:before="5"/>
        <w:ind w:left="1240"/>
      </w:pPr>
      <w:r>
        <w:t>6、电缆敷设要求</w:t>
      </w:r>
    </w:p>
    <w:p>
      <w:pPr>
        <w:pStyle w:val="ListParagraph"/>
        <w:numPr>
          <w:ilvl w:val="0"/>
          <w:numId w:val="18"/>
        </w:numPr>
        <w:tabs>
          <w:tab w:val="left" w:pos="2142"/>
        </w:tabs>
        <w:spacing w:before="241" w:after="0" w:line="364" w:lineRule="auto"/>
        <w:ind w:left="520" w:right="1437" w:firstLine="719"/>
        <w:jc w:val="both"/>
        <w:rPr>
          <w:sz w:val="36"/>
        </w:rPr>
      </w:pPr>
      <w:r>
        <w:rPr>
          <w:spacing w:val="-13"/>
          <w:sz w:val="36"/>
        </w:rPr>
        <w:t>、电缆沿电缆沟敷设时，不同电压等级的电缆应分层敷设，高压电缆</w:t>
      </w:r>
      <w:r>
        <w:rPr>
          <w:spacing w:val="-3"/>
          <w:sz w:val="36"/>
        </w:rPr>
        <w:t xml:space="preserve">应敷设在最上层。同电压等级的电缆沿支架敷设时，水平净距不得小于 </w:t>
      </w:r>
      <w:r>
        <w:rPr>
          <w:sz w:val="36"/>
        </w:rPr>
        <w:t>35mm。</w:t>
      </w:r>
      <w:r>
        <w:rPr>
          <w:spacing w:val="-3"/>
          <w:sz w:val="36"/>
        </w:rPr>
        <w:t>并排敷设的电缆，其接头的位置应相互错开。</w:t>
      </w:r>
    </w:p>
    <w:p>
      <w:pPr>
        <w:pStyle w:val="ListParagraph"/>
        <w:numPr>
          <w:ilvl w:val="0"/>
          <w:numId w:val="18"/>
        </w:numPr>
        <w:tabs>
          <w:tab w:val="left" w:pos="2142"/>
        </w:tabs>
        <w:spacing w:before="2" w:after="0" w:line="240" w:lineRule="auto"/>
        <w:ind w:left="2141" w:right="0" w:hanging="902"/>
        <w:jc w:val="left"/>
        <w:rPr>
          <w:sz w:val="36"/>
        </w:rPr>
      </w:pPr>
      <w:r>
        <w:rPr>
          <w:sz w:val="36"/>
        </w:rPr>
        <w:t>、电缆穿保护管敷设</w:t>
      </w:r>
    </w:p>
    <w:p>
      <w:pPr>
        <w:pStyle w:val="BodyText"/>
        <w:spacing w:before="241"/>
        <w:ind w:left="1240"/>
      </w:pPr>
      <w:r>
        <w:t>A、电缆在穿入保护管前，管道内应无积水，且无杂物堵塞。</w:t>
      </w:r>
    </w:p>
    <w:p>
      <w:pPr>
        <w:pStyle w:val="BodyText"/>
        <w:spacing w:before="241" w:line="364" w:lineRule="auto"/>
        <w:ind w:left="520" w:right="1478" w:firstLine="719"/>
      </w:pPr>
      <w:r>
        <w:t>B、穿入管中的电缆数量应符合设计要求，保护管内穿电缆时，不应损伤电缆保护层，可采用无腐蚀性的润滑剂（粉）</w:t>
      </w:r>
    </w:p>
    <w:p>
      <w:pPr>
        <w:pStyle w:val="BodyText"/>
        <w:spacing w:before="2"/>
        <w:ind w:left="1240"/>
      </w:pPr>
      <w:r>
        <w:t>C、电缆穿入管子后，管口应密封。</w:t>
      </w:r>
    </w:p>
    <w:p>
      <w:pPr>
        <w:pStyle w:val="ListParagraph"/>
        <w:numPr>
          <w:ilvl w:val="2"/>
          <w:numId w:val="21"/>
        </w:numPr>
        <w:tabs>
          <w:tab w:val="left" w:pos="2231"/>
        </w:tabs>
        <w:spacing w:before="241" w:after="0" w:line="240" w:lineRule="auto"/>
        <w:ind w:left="2230" w:right="0" w:hanging="991"/>
        <w:jc w:val="left"/>
        <w:rPr>
          <w:sz w:val="36"/>
        </w:rPr>
      </w:pPr>
      <w:r>
        <w:rPr>
          <w:sz w:val="36"/>
        </w:rPr>
        <w:t>质量标准</w:t>
      </w:r>
    </w:p>
    <w:p>
      <w:pPr>
        <w:pStyle w:val="BodyText"/>
        <w:spacing w:before="241" w:line="364" w:lineRule="auto"/>
        <w:ind w:left="520" w:right="1478" w:firstLine="719"/>
      </w:pPr>
      <w:r>
        <w:t>1、电缆耐压试验，绝缘电阻值必须符合现行国家标准《电气装置安装工程电气设备交接试验标准》GB50150 的规定。</w:t>
      </w:r>
    </w:p>
    <w:p>
      <w:pPr>
        <w:pStyle w:val="BodyText"/>
        <w:spacing w:before="2"/>
        <w:ind w:left="1240"/>
      </w:pPr>
      <w:r>
        <w:t>2、电缆敷设严禁有绞拧，铠装压扁，护层断裂和表面严重划伤等缺陷。</w:t>
      </w:r>
    </w:p>
    <w:p>
      <w:pPr>
        <w:pStyle w:val="BodyText"/>
        <w:spacing w:before="241"/>
        <w:ind w:left="1240"/>
      </w:pPr>
      <w:r>
        <w:t>3、电缆的首端、末端和分支处应设标志牌。</w:t>
      </w:r>
    </w:p>
    <w:p>
      <w:pPr>
        <w:pStyle w:val="BodyText"/>
        <w:spacing w:before="241"/>
        <w:ind w:left="1240"/>
      </w:pPr>
      <w:r>
        <w:t>4、电缆固定、间距、弯曲半径符合规定。</w:t>
      </w:r>
    </w:p>
    <w:p>
      <w:pPr>
        <w:pStyle w:val="ListParagraph"/>
        <w:numPr>
          <w:ilvl w:val="1"/>
          <w:numId w:val="17"/>
        </w:numPr>
        <w:tabs>
          <w:tab w:val="left" w:pos="2140"/>
          <w:tab w:val="left" w:pos="2141"/>
        </w:tabs>
        <w:spacing w:before="241" w:after="0" w:line="240" w:lineRule="auto"/>
        <w:ind w:left="2140" w:right="0" w:hanging="901"/>
        <w:jc w:val="left"/>
        <w:rPr>
          <w:sz w:val="36"/>
        </w:rPr>
      </w:pPr>
      <w:r>
        <w:rPr>
          <w:sz w:val="36"/>
        </w:rPr>
        <w:t>1KV</w:t>
      </w:r>
      <w:r>
        <w:rPr>
          <w:spacing w:val="-10"/>
          <w:sz w:val="36"/>
        </w:rPr>
        <w:t xml:space="preserve"> 以下电缆终端头制作安装</w:t>
      </w:r>
    </w:p>
    <w:p>
      <w:pPr>
        <w:pStyle w:val="ListParagraph"/>
        <w:numPr>
          <w:ilvl w:val="2"/>
          <w:numId w:val="17"/>
        </w:numPr>
        <w:tabs>
          <w:tab w:val="left" w:pos="2231"/>
        </w:tabs>
        <w:spacing w:before="241" w:after="0" w:line="240" w:lineRule="auto"/>
        <w:ind w:left="2230" w:right="0" w:hanging="991"/>
        <w:jc w:val="left"/>
        <w:rPr>
          <w:sz w:val="36"/>
        </w:rPr>
      </w:pPr>
      <w:r>
        <w:rPr>
          <w:sz w:val="36"/>
        </w:rPr>
        <w:t>施工准备</w:t>
      </w:r>
    </w:p>
    <w:p>
      <w:pPr>
        <w:pStyle w:val="ListParagraph"/>
        <w:numPr>
          <w:ilvl w:val="3"/>
          <w:numId w:val="17"/>
        </w:numPr>
        <w:tabs>
          <w:tab w:val="left" w:pos="2591"/>
        </w:tabs>
        <w:spacing w:before="240" w:after="0" w:line="240" w:lineRule="auto"/>
        <w:ind w:left="2590" w:right="0" w:hanging="1351"/>
        <w:jc w:val="left"/>
        <w:rPr>
          <w:sz w:val="36"/>
        </w:rPr>
      </w:pPr>
      <w:r>
        <w:rPr>
          <w:sz w:val="36"/>
        </w:rPr>
        <w:t>材料</w:t>
      </w:r>
    </w:p>
    <w:p>
      <w:pPr>
        <w:pStyle w:val="BodyText"/>
        <w:spacing w:before="241" w:line="364" w:lineRule="auto"/>
        <w:ind w:left="520" w:right="1118" w:firstLine="719"/>
      </w:pPr>
      <w:r>
        <w:t>1、主要材料：电缆终端头套、热缩管、接线端子、镀锌螺丝、电力复合脂、镀锡铜编织带等材料，热缩管分黄、绿、红、蓝、黑五色。</w:t>
      </w:r>
    </w:p>
    <w:p>
      <w:pPr>
        <w:spacing w:after="0" w:line="364" w:lineRule="auto"/>
        <w:sectPr>
          <w:pgSz w:w="17860" w:h="25260"/>
          <w:pgMar w:top="1920" w:right="1260" w:bottom="280" w:left="2180" w:header="708" w:footer="708"/>
          <w:pgNumType w:start="7"/>
          <w:cols w:space="708"/>
        </w:sectPr>
      </w:pPr>
    </w:p>
    <w:p>
      <w:pPr>
        <w:pStyle w:val="BodyText"/>
        <w:spacing w:before="32"/>
        <w:ind w:left="1240"/>
      </w:pPr>
      <w:r>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11340845" cy="158496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2、地线采用镀锡铜编织带,截面应符合 10KV 电缆截面和接地的标准。</w:t>
      </w:r>
    </w:p>
    <w:p>
      <w:pPr>
        <w:pStyle w:val="ListParagraph"/>
        <w:numPr>
          <w:ilvl w:val="3"/>
          <w:numId w:val="17"/>
        </w:numPr>
        <w:tabs>
          <w:tab w:val="left" w:pos="2681"/>
        </w:tabs>
        <w:spacing w:before="241" w:after="0" w:line="240" w:lineRule="auto"/>
        <w:ind w:left="2680" w:right="0" w:hanging="1441"/>
        <w:jc w:val="left"/>
        <w:rPr>
          <w:sz w:val="36"/>
        </w:rPr>
      </w:pPr>
      <w:r>
        <w:rPr>
          <w:sz w:val="36"/>
        </w:rPr>
        <w:t>机具设备</w:t>
      </w:r>
    </w:p>
    <w:p>
      <w:pPr>
        <w:pStyle w:val="BodyText"/>
        <w:spacing w:before="241"/>
        <w:ind w:left="1240"/>
      </w:pPr>
      <w:r>
        <w:t>1、手动工具：钢锯、扳手、钢锉、螺丝刀、电工刀、电工钳、鲤鱼钳。</w:t>
      </w:r>
    </w:p>
    <w:p>
      <w:pPr>
        <w:pStyle w:val="BodyText"/>
        <w:spacing w:before="241"/>
        <w:ind w:left="1240"/>
      </w:pPr>
      <w:r>
        <w:t>2、电动工具：液压钳（手动或电动型</w:t>
      </w:r>
      <w:r>
        <w:rPr>
          <w:spacing w:val="-180"/>
        </w:rPr>
        <w:t>）</w:t>
      </w:r>
      <w:r>
        <w:t>。</w:t>
      </w:r>
    </w:p>
    <w:p>
      <w:pPr>
        <w:pStyle w:val="BodyText"/>
        <w:spacing w:before="240"/>
        <w:ind w:left="1240"/>
      </w:pPr>
      <w:r>
        <w:t>3、测试器具：钢卷尺、2500V 兆欧表。</w:t>
      </w:r>
    </w:p>
    <w:p>
      <w:pPr>
        <w:pStyle w:val="BodyText"/>
        <w:spacing w:before="241"/>
        <w:ind w:left="1240"/>
      </w:pPr>
      <w:r>
        <w:t>4、其他工具：喷灯、电烙铁。</w:t>
      </w:r>
    </w:p>
    <w:p>
      <w:pPr>
        <w:pStyle w:val="ListParagraph"/>
        <w:numPr>
          <w:ilvl w:val="3"/>
          <w:numId w:val="17"/>
        </w:numPr>
        <w:tabs>
          <w:tab w:val="left" w:pos="2591"/>
        </w:tabs>
        <w:spacing w:before="241" w:after="0" w:line="240" w:lineRule="auto"/>
        <w:ind w:left="2590" w:right="0" w:hanging="1351"/>
        <w:jc w:val="left"/>
        <w:rPr>
          <w:sz w:val="36"/>
        </w:rPr>
      </w:pPr>
      <w:r>
        <w:rPr>
          <w:sz w:val="36"/>
        </w:rPr>
        <w:t>作业条件</w:t>
      </w:r>
    </w:p>
    <w:p>
      <w:pPr>
        <w:pStyle w:val="BodyText"/>
        <w:spacing w:before="241"/>
        <w:ind w:left="1420"/>
      </w:pPr>
      <w:r>
        <w:t>1、电气设备安装完毕,电缆头制作应由持有电缆工操作证的人员进行.</w:t>
      </w:r>
    </w:p>
    <w:p>
      <w:pPr>
        <w:pStyle w:val="BodyText"/>
        <w:spacing w:before="241" w:line="364" w:lineRule="auto"/>
        <w:ind w:left="520" w:right="1298" w:firstLine="899"/>
      </w:pPr>
      <w:r>
        <w:t>2、现场应清洁、干燥。室外制作电缆头时，应在气候良好的条件下进行， 并有防雨、防尘措施。</w:t>
      </w:r>
    </w:p>
    <w:p>
      <w:pPr>
        <w:pStyle w:val="BodyText"/>
        <w:spacing w:before="2"/>
        <w:ind w:left="1420"/>
      </w:pPr>
      <w:r>
        <w:t>3、 电缆敷设并整理完毕，核对无误。</w:t>
      </w:r>
    </w:p>
    <w:p>
      <w:pPr>
        <w:pStyle w:val="ListParagraph"/>
        <w:numPr>
          <w:ilvl w:val="3"/>
          <w:numId w:val="17"/>
        </w:numPr>
        <w:tabs>
          <w:tab w:val="left" w:pos="2591"/>
        </w:tabs>
        <w:spacing w:before="241" w:after="0" w:line="240" w:lineRule="auto"/>
        <w:ind w:left="2590" w:right="0" w:hanging="1351"/>
        <w:jc w:val="left"/>
        <w:rPr>
          <w:sz w:val="36"/>
        </w:rPr>
      </w:pPr>
      <w:r>
        <w:rPr>
          <w:sz w:val="36"/>
        </w:rPr>
        <w:t>技术准备</w:t>
      </w:r>
    </w:p>
    <w:p>
      <w:pPr>
        <w:pStyle w:val="BodyText"/>
        <w:spacing w:before="240"/>
        <w:ind w:left="1420"/>
      </w:pPr>
      <w:r>
        <w:t>1、施工方案编制完毕并经审批。</w:t>
      </w:r>
    </w:p>
    <w:p>
      <w:pPr>
        <w:pStyle w:val="BodyText"/>
        <w:spacing w:before="241"/>
        <w:ind w:left="1420"/>
      </w:pPr>
      <w:r>
        <w:t>2、向操作工人进行安全、技术交底。</w:t>
      </w:r>
    </w:p>
    <w:p>
      <w:pPr>
        <w:pStyle w:val="ListParagraph"/>
        <w:numPr>
          <w:ilvl w:val="2"/>
          <w:numId w:val="17"/>
        </w:numPr>
        <w:tabs>
          <w:tab w:val="left" w:pos="2231"/>
        </w:tabs>
        <w:spacing w:before="241" w:after="0" w:line="240" w:lineRule="auto"/>
        <w:ind w:left="2230" w:right="0" w:hanging="991"/>
        <w:jc w:val="left"/>
        <w:rPr>
          <w:sz w:val="36"/>
        </w:rPr>
      </w:pPr>
      <w:r>
        <w:rPr>
          <w:sz w:val="36"/>
        </w:rPr>
        <w:t>操作工艺</w:t>
      </w:r>
    </w:p>
    <w:p>
      <w:pPr>
        <w:pStyle w:val="ListParagraph"/>
        <w:numPr>
          <w:ilvl w:val="3"/>
          <w:numId w:val="17"/>
        </w:numPr>
        <w:tabs>
          <w:tab w:val="left" w:pos="2681"/>
        </w:tabs>
        <w:spacing w:before="241" w:after="0" w:line="240" w:lineRule="auto"/>
        <w:ind w:left="2680" w:right="0" w:hanging="1441"/>
        <w:jc w:val="left"/>
        <w:rPr>
          <w:sz w:val="36"/>
        </w:rPr>
      </w:pPr>
      <w:r>
        <w:rPr>
          <w:sz w:val="36"/>
        </w:rPr>
        <w:t>工艺流程</w:t>
      </w:r>
    </w:p>
    <w:p>
      <w:pPr>
        <w:pStyle w:val="BodyText"/>
        <w:spacing w:before="11"/>
        <w:rPr>
          <w:sz w:val="24"/>
        </w:rPr>
      </w:pPr>
      <w:r>
        <w:pict>
          <v:group id="_x0000_s1030" style="width:663pt;height:36pt;margin-top:17.89pt;margin-left:135pt;mso-position-horizontal-relative:page;mso-wrap-distance-left:0;mso-wrap-distance-right:0;position:absolute;z-index:-251648000" coordorigin="2700,358" coordsize="13260,720">
            <v:shape id="_x0000_s1031" type="#_x0000_t75" style="width:13260;height:720;left:2700;position:absolute;top:357" stroked="f">
              <v:imagedata r:id="rId7" o:title=""/>
            </v:shape>
            <v:shape id="_x0000_s1032" type="#_x0000_t202" style="width:1288;height:317;left:2927;position:absolute;top:585" filled="f" stroked="f">
              <v:textbox inset="0,0,0,0">
                <w:txbxContent>
                  <w:p>
                    <w:pPr>
                      <w:spacing w:before="0" w:line="317" w:lineRule="exact"/>
                      <w:ind w:left="0" w:right="0" w:firstLine="0"/>
                      <w:jc w:val="left"/>
                      <w:rPr>
                        <w:sz w:val="31"/>
                      </w:rPr>
                    </w:pPr>
                    <w:r>
                      <w:rPr>
                        <w:sz w:val="31"/>
                      </w:rPr>
                      <w:t>准备工作</w:t>
                    </w:r>
                  </w:p>
                </w:txbxContent>
              </v:textbox>
            </v:shape>
            <v:shape id="_x0000_s1033" type="#_x0000_t202" style="width:1921;height:317;left:5605;position:absolute;top:585" filled="f" stroked="f">
              <v:textbox inset="0,0,0,0">
                <w:txbxContent>
                  <w:p>
                    <w:pPr>
                      <w:spacing w:before="0" w:line="317" w:lineRule="exact"/>
                      <w:ind w:left="0" w:right="0" w:firstLine="0"/>
                      <w:jc w:val="left"/>
                      <w:rPr>
                        <w:sz w:val="31"/>
                      </w:rPr>
                    </w:pPr>
                    <w:r>
                      <w:rPr>
                        <w:sz w:val="31"/>
                      </w:rPr>
                      <w:t>电缆绝缘摇测</w:t>
                    </w:r>
                  </w:p>
                </w:txbxContent>
              </v:textbox>
            </v:shape>
            <v:shape id="_x0000_s1034" type="#_x0000_t202" style="width:2872;height:317;left:8915;position:absolute;top:585" filled="f" stroked="f">
              <v:textbox inset="0,0,0,0">
                <w:txbxContent>
                  <w:p>
                    <w:pPr>
                      <w:spacing w:before="0" w:line="317" w:lineRule="exact"/>
                      <w:ind w:left="0" w:right="0" w:firstLine="0"/>
                      <w:jc w:val="left"/>
                      <w:rPr>
                        <w:sz w:val="31"/>
                      </w:rPr>
                    </w:pPr>
                    <w:r>
                      <w:rPr>
                        <w:sz w:val="31"/>
                      </w:rPr>
                      <w:t>剥切铠装层、打卡子</w:t>
                    </w:r>
                  </w:p>
                </w:txbxContent>
              </v:textbox>
            </v:shape>
            <v:shape id="_x0000_s1035" type="#_x0000_t202" style="width:1604;height:317;left:13485;position:absolute;top:585" filled="f" stroked="f">
              <v:textbox inset="0,0,0,0">
                <w:txbxContent>
                  <w:p>
                    <w:pPr>
                      <w:spacing w:before="0" w:line="317" w:lineRule="exact"/>
                      <w:ind w:left="0" w:right="0" w:firstLine="0"/>
                      <w:jc w:val="left"/>
                      <w:rPr>
                        <w:sz w:val="31"/>
                      </w:rPr>
                    </w:pPr>
                    <w:r>
                      <w:rPr>
                        <w:sz w:val="31"/>
                      </w:rPr>
                      <w:t>接地线焊接</w:t>
                    </w:r>
                  </w:p>
                </w:txbxContent>
              </v:textbox>
            </v:shape>
            <w10:wrap type="topAndBottom"/>
          </v:group>
        </w:pict>
      </w:r>
      <w:r>
        <w:pict>
          <v:group id="_x0000_s1036" style="width:592pt;height:36pt;margin-top:75.89pt;margin-left:135pt;mso-position-horizontal-relative:page;mso-wrap-distance-left:0;mso-wrap-distance-right:0;position:absolute;z-index:-251646976" coordorigin="2700,1518" coordsize="11840,720">
            <v:shape id="_x0000_s1037" type="#_x0000_t75" style="width:11840;height:720;left:2700;position:absolute;top:1517" stroked="f">
              <v:imagedata r:id="rId8" o:title=""/>
            </v:shape>
            <v:shape id="_x0000_s1038" type="#_x0000_t202" style="width:2238;height:317;left:2927;position:absolute;top:1755" filled="f" stroked="f">
              <v:textbox inset="0,0,0,0">
                <w:txbxContent>
                  <w:p>
                    <w:pPr>
                      <w:spacing w:before="0" w:line="317" w:lineRule="exact"/>
                      <w:ind w:left="0" w:right="0" w:firstLine="0"/>
                      <w:jc w:val="left"/>
                      <w:rPr>
                        <w:sz w:val="31"/>
                      </w:rPr>
                    </w:pPr>
                    <w:r>
                      <w:rPr>
                        <w:sz w:val="31"/>
                      </w:rPr>
                      <w:t>套电缆分支手套</w:t>
                    </w:r>
                  </w:p>
                </w:txbxContent>
              </v:textbox>
            </v:shape>
            <v:shape id="_x0000_s1039" type="#_x0000_t202" style="width:1604;height:317;left:6395;position:absolute;top:1755" filled="f" stroked="f">
              <v:textbox inset="0,0,0,0">
                <w:txbxContent>
                  <w:p>
                    <w:pPr>
                      <w:spacing w:before="0" w:line="317" w:lineRule="exact"/>
                      <w:ind w:left="0" w:right="0" w:firstLine="0"/>
                      <w:jc w:val="left"/>
                      <w:rPr>
                        <w:sz w:val="31"/>
                      </w:rPr>
                    </w:pPr>
                    <w:r>
                      <w:rPr>
                        <w:sz w:val="31"/>
                      </w:rPr>
                      <w:t>压接线端子</w:t>
                    </w:r>
                  </w:p>
                </w:txbxContent>
              </v:textbox>
            </v:shape>
            <v:shape id="_x0000_s1040" type="#_x0000_t202" style="width:1604;height:317;left:9228;position:absolute;top:1755" filled="f" stroked="f">
              <v:textbox inset="0,0,0,0">
                <w:txbxContent>
                  <w:p>
                    <w:pPr>
                      <w:spacing w:before="0" w:line="317" w:lineRule="exact"/>
                      <w:ind w:left="0" w:right="0" w:firstLine="0"/>
                      <w:jc w:val="left"/>
                      <w:rPr>
                        <w:sz w:val="31"/>
                      </w:rPr>
                    </w:pPr>
                    <w:r>
                      <w:rPr>
                        <w:sz w:val="31"/>
                      </w:rPr>
                      <w:t>固定热缩管</w:t>
                    </w:r>
                  </w:p>
                </w:txbxContent>
              </v:textbox>
            </v:shape>
            <v:shape id="_x0000_s1041" type="#_x0000_t202" style="width:1288;height:317;left:12695;position:absolute;top:1755" filled="f" stroked="f">
              <v:textbox inset="0,0,0,0">
                <w:txbxContent>
                  <w:p>
                    <w:pPr>
                      <w:spacing w:before="0" w:line="317" w:lineRule="exact"/>
                      <w:ind w:left="0" w:right="0" w:firstLine="0"/>
                      <w:jc w:val="left"/>
                      <w:rPr>
                        <w:sz w:val="31"/>
                      </w:rPr>
                    </w:pPr>
                    <w:r>
                      <w:rPr>
                        <w:sz w:val="31"/>
                      </w:rPr>
                      <w:t>连接设备</w:t>
                    </w:r>
                  </w:p>
                </w:txbxContent>
              </v:textbox>
            </v:shape>
            <w10:wrap type="topAndBottom"/>
          </v:group>
        </w:pict>
      </w:r>
    </w:p>
    <w:p>
      <w:pPr>
        <w:pStyle w:val="BodyText"/>
        <w:rPr>
          <w:sz w:val="29"/>
        </w:rPr>
      </w:pPr>
    </w:p>
    <w:p>
      <w:pPr>
        <w:pStyle w:val="ListParagraph"/>
        <w:numPr>
          <w:ilvl w:val="3"/>
          <w:numId w:val="17"/>
        </w:numPr>
        <w:tabs>
          <w:tab w:val="left" w:pos="2591"/>
        </w:tabs>
        <w:spacing w:before="80" w:after="0" w:line="240" w:lineRule="auto"/>
        <w:ind w:left="2590" w:right="0" w:hanging="1351"/>
        <w:jc w:val="left"/>
        <w:rPr>
          <w:sz w:val="36"/>
        </w:rPr>
      </w:pPr>
      <w:r>
        <w:rPr>
          <w:sz w:val="36"/>
        </w:rPr>
        <w:t>操作工艺</w:t>
      </w:r>
    </w:p>
    <w:p>
      <w:pPr>
        <w:pStyle w:val="BodyText"/>
        <w:spacing w:before="241"/>
        <w:ind w:left="1240"/>
      </w:pPr>
      <w:r>
        <w:t>1、准备工作：准备材料和工具，核对电缆型号、规格、检查电缆是否受潮。</w:t>
      </w:r>
    </w:p>
    <w:p>
      <w:pPr>
        <w:pStyle w:val="BodyText"/>
        <w:spacing w:before="241" w:line="364" w:lineRule="auto"/>
        <w:ind w:left="520" w:right="1441" w:firstLine="719"/>
        <w:jc w:val="both"/>
      </w:pPr>
      <w:r>
        <w:t>2</w:t>
      </w:r>
      <w:r>
        <w:rPr>
          <w:spacing w:val="-8"/>
        </w:rPr>
        <w:t xml:space="preserve">、电缆绝缘摇测：用 </w:t>
      </w:r>
      <w:r>
        <w:t>1000V</w:t>
      </w:r>
      <w:r>
        <w:rPr>
          <w:spacing w:val="-10"/>
        </w:rPr>
        <w:t xml:space="preserve"> 兆欧表，对低压电缆进行绝缘摇测，绝缘电阻</w:t>
      </w:r>
      <w:r>
        <w:rPr>
          <w:spacing w:val="-19"/>
        </w:rPr>
        <w:t xml:space="preserve">应大于 </w:t>
      </w:r>
      <w:r>
        <w:t>10</w:t>
      </w:r>
      <w:r>
        <w:rPr>
          <w:spacing w:val="-10"/>
        </w:rPr>
        <w:t xml:space="preserve"> 兆欧，如不符合要求，检查电缆是否受损或受潮；摇测完毕后，应将</w:t>
      </w:r>
      <w:r>
        <w:t>芯线分别对地放电。</w:t>
      </w:r>
    </w:p>
    <w:p>
      <w:pPr>
        <w:pStyle w:val="BodyText"/>
        <w:spacing w:before="3"/>
        <w:ind w:left="1420"/>
      </w:pPr>
      <w:r>
        <w:t>3、剥切铠装层、打卡子。</w:t>
      </w:r>
    </w:p>
    <w:p>
      <w:pPr>
        <w:pStyle w:val="ListParagraph"/>
        <w:numPr>
          <w:ilvl w:val="0"/>
          <w:numId w:val="16"/>
        </w:numPr>
        <w:tabs>
          <w:tab w:val="left" w:pos="2142"/>
        </w:tabs>
        <w:spacing w:before="241" w:after="0" w:line="364" w:lineRule="auto"/>
        <w:ind w:left="520" w:right="1298" w:firstLine="719"/>
        <w:jc w:val="left"/>
        <w:rPr>
          <w:sz w:val="36"/>
        </w:rPr>
      </w:pPr>
      <w:r>
        <w:rPr>
          <w:sz w:val="36"/>
        </w:rPr>
        <w:t>、绝缘合格后，根据电缆与设备连接的具体尺寸，确定剥除长度，剥</w:t>
      </w:r>
      <w:r>
        <w:rPr>
          <w:spacing w:val="-5"/>
          <w:sz w:val="36"/>
        </w:rPr>
        <w:t>除外护套。</w:t>
      </w:r>
    </w:p>
    <w:p>
      <w:pPr>
        <w:pStyle w:val="ListParagraph"/>
        <w:numPr>
          <w:ilvl w:val="1"/>
          <w:numId w:val="16"/>
        </w:numPr>
        <w:tabs>
          <w:tab w:val="left" w:pos="2322"/>
        </w:tabs>
        <w:spacing w:before="2" w:after="0" w:line="364" w:lineRule="auto"/>
        <w:ind w:left="520" w:right="1259" w:firstLine="899"/>
        <w:jc w:val="left"/>
        <w:rPr>
          <w:sz w:val="36"/>
        </w:rPr>
      </w:pPr>
      <w:r>
        <w:rPr>
          <w:spacing w:val="-15"/>
          <w:sz w:val="36"/>
        </w:rPr>
        <w:t xml:space="preserve">剥电缆铠装钢带，用钢锯在第一道卡子向上 </w:t>
      </w:r>
      <w:r>
        <w:rPr>
          <w:sz w:val="36"/>
        </w:rPr>
        <w:t>3~5mm</w:t>
      </w:r>
      <w:r>
        <w:rPr>
          <w:spacing w:val="-24"/>
          <w:sz w:val="36"/>
        </w:rPr>
        <w:t xml:space="preserve"> 处，锯一环形深痕</w:t>
      </w:r>
      <w:r>
        <w:rPr>
          <w:spacing w:val="-13"/>
          <w:sz w:val="36"/>
        </w:rPr>
        <w:t xml:space="preserve">，深度为钢带厚度的 </w:t>
      </w:r>
      <w:r>
        <w:rPr>
          <w:sz w:val="36"/>
        </w:rPr>
        <w:t>2/3，不得锯透。</w:t>
      </w:r>
    </w:p>
    <w:p>
      <w:pPr>
        <w:pStyle w:val="ListParagraph"/>
        <w:numPr>
          <w:ilvl w:val="1"/>
          <w:numId w:val="16"/>
        </w:numPr>
        <w:tabs>
          <w:tab w:val="left" w:pos="2322"/>
        </w:tabs>
        <w:spacing w:before="2" w:after="0" w:line="240" w:lineRule="auto"/>
        <w:ind w:left="2321" w:right="0" w:hanging="902"/>
        <w:jc w:val="left"/>
        <w:rPr>
          <w:sz w:val="36"/>
        </w:rPr>
      </w:pPr>
      <w:r>
        <w:rPr>
          <w:spacing w:val="-5"/>
          <w:sz w:val="36"/>
        </w:rPr>
        <w:t>用螺丝刀在锯痕尖角处将钢带挑起，用钳子将钢带撕掉，完后用钢锉</w:t>
      </w:r>
    </w:p>
    <w:p>
      <w:pPr>
        <w:spacing w:after="0" w:line="240" w:lineRule="auto"/>
        <w:jc w:val="left"/>
        <w:rPr>
          <w:sz w:val="36"/>
        </w:rPr>
        <w:sectPr>
          <w:pgSz w:w="17860" w:h="25260"/>
          <w:pgMar w:top="1920" w:right="1260" w:bottom="280" w:left="2180" w:header="708" w:footer="708"/>
          <w:pgNumType w:start="8"/>
          <w:cols w:space="708"/>
        </w:sectPr>
      </w:pPr>
    </w:p>
    <w:p>
      <w:pPr>
        <w:pStyle w:val="BodyText"/>
        <w:spacing w:before="32"/>
        <w:ind w:left="520"/>
      </w:pPr>
      <w:r>
        <w:drawing>
          <wp:anchor distT="0" distB="0" distL="0" distR="0" simplePos="0" relativeHeight="251670528" behindDoc="1" locked="0" layoutInCell="1" allowOverlap="1">
            <wp:simplePos x="0" y="0"/>
            <wp:positionH relativeFrom="page">
              <wp:posOffset>0</wp:posOffset>
            </wp:positionH>
            <wp:positionV relativeFrom="page">
              <wp:posOffset>0</wp:posOffset>
            </wp:positionV>
            <wp:extent cx="11340845" cy="158496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将钢带毛刺去掉，使其光滑。</w:t>
      </w:r>
    </w:p>
    <w:p>
      <w:pPr>
        <w:pStyle w:val="ListParagraph"/>
        <w:numPr>
          <w:ilvl w:val="1"/>
          <w:numId w:val="24"/>
        </w:numPr>
        <w:tabs>
          <w:tab w:val="left" w:pos="2322"/>
        </w:tabs>
        <w:spacing w:before="241" w:after="0" w:line="240" w:lineRule="auto"/>
        <w:ind w:left="2321" w:right="0" w:hanging="902"/>
        <w:jc w:val="left"/>
        <w:rPr>
          <w:sz w:val="36"/>
        </w:rPr>
      </w:pPr>
      <w:r>
        <w:rPr>
          <w:sz w:val="36"/>
        </w:rPr>
        <w:t>将地线的焊接部位用钢锉处理，以备焊接。</w:t>
      </w:r>
    </w:p>
    <w:p>
      <w:pPr>
        <w:pStyle w:val="ListParagraph"/>
        <w:numPr>
          <w:ilvl w:val="1"/>
          <w:numId w:val="24"/>
        </w:numPr>
        <w:tabs>
          <w:tab w:val="left" w:pos="2322"/>
        </w:tabs>
        <w:spacing w:before="241" w:after="0" w:line="240" w:lineRule="auto"/>
        <w:ind w:left="2321" w:right="0" w:hanging="902"/>
        <w:jc w:val="left"/>
        <w:rPr>
          <w:sz w:val="36"/>
        </w:rPr>
      </w:pPr>
      <w:r>
        <w:rPr>
          <w:sz w:val="36"/>
        </w:rPr>
        <w:t>在打钢带卡子的同时，将接地线一端卡在卡子里。</w:t>
      </w:r>
    </w:p>
    <w:p>
      <w:pPr>
        <w:pStyle w:val="ListParagraph"/>
        <w:numPr>
          <w:ilvl w:val="1"/>
          <w:numId w:val="24"/>
        </w:numPr>
        <w:tabs>
          <w:tab w:val="left" w:pos="2322"/>
        </w:tabs>
        <w:spacing w:before="241" w:after="0" w:line="364" w:lineRule="auto"/>
        <w:ind w:left="520" w:right="1421" w:firstLine="899"/>
        <w:jc w:val="both"/>
        <w:rPr>
          <w:sz w:val="36"/>
        </w:rPr>
      </w:pPr>
      <w:r>
        <w:rPr>
          <w:spacing w:val="2"/>
          <w:sz w:val="36"/>
        </w:rPr>
        <w:t>利用电缆本身钢带做卡子，卡子宽度为钢带宽的</w:t>
      </w:r>
      <w:r>
        <w:rPr>
          <w:sz w:val="36"/>
        </w:rPr>
        <w:t>1/2</w:t>
      </w:r>
      <w:r>
        <w:rPr>
          <w:spacing w:val="-3"/>
          <w:sz w:val="36"/>
        </w:rPr>
        <w:t>。采用咬口的方</w:t>
      </w:r>
      <w:r>
        <w:rPr>
          <w:spacing w:val="1"/>
          <w:sz w:val="36"/>
        </w:rPr>
        <w:t xml:space="preserve">法将卡子打牢，必须打两道，防止钢带松开，两道卡子的间距为 </w:t>
      </w:r>
      <w:r>
        <w:rPr>
          <w:sz w:val="36"/>
        </w:rPr>
        <w:t>15mm，也可采用铜丝缠绕的方式固定接地线。</w:t>
      </w:r>
    </w:p>
    <w:p>
      <w:pPr>
        <w:pStyle w:val="BodyText"/>
        <w:spacing w:before="2" w:line="364" w:lineRule="auto"/>
        <w:ind w:left="520" w:right="1257" w:firstLine="899"/>
        <w:jc w:val="right"/>
      </w:pPr>
      <w:r>
        <w:t>4</w:t>
      </w:r>
      <w:r>
        <w:rPr>
          <w:spacing w:val="-4"/>
        </w:rPr>
        <w:t xml:space="preserve">、接地线焊接：接地线采用镀锡铜编织带，截面积应符合 </w:t>
      </w:r>
      <w:r>
        <w:t>4.1.1</w:t>
      </w:r>
      <w:r>
        <w:rPr>
          <w:spacing w:val="-19"/>
        </w:rPr>
        <w:t xml:space="preserve"> 的规定，</w:t>
      </w:r>
      <w:r>
        <w:rPr>
          <w:spacing w:val="-26"/>
        </w:rPr>
        <w:t>长度根据实际需要而定。将接地线焊接于钢带上，焊接应牢固，不应有虚焊现象。</w:t>
      </w:r>
      <w:r>
        <w:t xml:space="preserve"> 5</w:t>
      </w:r>
      <w:r>
        <w:rPr>
          <w:spacing w:val="-20"/>
        </w:rPr>
        <w:t>、套电缆分支手套：用填充胶填堵线芯根部的间隙，然后选用与电缆规格、</w:t>
      </w:r>
    </w:p>
    <w:p>
      <w:pPr>
        <w:pStyle w:val="BodyText"/>
        <w:spacing w:before="4"/>
        <w:ind w:left="520"/>
      </w:pPr>
      <w:r>
        <w:t>型号相适应的热缩分支手套，套入线芯根部，均匀加热使手套收缩。</w:t>
      </w:r>
    </w:p>
    <w:p>
      <w:pPr>
        <w:pStyle w:val="BodyText"/>
        <w:spacing w:before="240"/>
        <w:ind w:left="1420"/>
      </w:pPr>
      <w:r>
        <w:t>6、压接接线端子</w:t>
      </w:r>
    </w:p>
    <w:p>
      <w:pPr>
        <w:pStyle w:val="ListParagraph"/>
        <w:numPr>
          <w:ilvl w:val="0"/>
          <w:numId w:val="15"/>
        </w:numPr>
        <w:tabs>
          <w:tab w:val="left" w:pos="2322"/>
        </w:tabs>
        <w:spacing w:before="241" w:after="0" w:line="364" w:lineRule="auto"/>
        <w:ind w:left="520" w:right="1260" w:firstLine="899"/>
        <w:jc w:val="left"/>
        <w:rPr>
          <w:sz w:val="36"/>
        </w:rPr>
      </w:pPr>
      <w:r>
        <w:rPr>
          <w:spacing w:val="-9"/>
          <w:sz w:val="36"/>
        </w:rPr>
        <w:t xml:space="preserve">量取接线端子孔深加 </w:t>
      </w:r>
      <w:r>
        <w:rPr>
          <w:sz w:val="36"/>
        </w:rPr>
        <w:t>5mm</w:t>
      </w:r>
      <w:r>
        <w:rPr>
          <w:spacing w:val="-15"/>
          <w:sz w:val="36"/>
        </w:rPr>
        <w:t xml:space="preserve"> 作为剥切长度，剥去电缆芯线绝缘，将接线</w:t>
      </w:r>
      <w:r>
        <w:rPr>
          <w:spacing w:val="-25"/>
          <w:sz w:val="36"/>
        </w:rPr>
        <w:t>端子内壁和芯线表面擦拭干净，除去氧化层和油渍，并在芯线上涂上电力复合脂。</w:t>
      </w:r>
    </w:p>
    <w:p>
      <w:pPr>
        <w:pStyle w:val="ListParagraph"/>
        <w:numPr>
          <w:ilvl w:val="0"/>
          <w:numId w:val="15"/>
        </w:numPr>
        <w:tabs>
          <w:tab w:val="left" w:pos="2322"/>
        </w:tabs>
        <w:spacing w:before="2" w:after="0" w:line="364" w:lineRule="auto"/>
        <w:ind w:left="520" w:right="1437" w:firstLine="899"/>
        <w:jc w:val="left"/>
        <w:rPr>
          <w:sz w:val="36"/>
        </w:rPr>
      </w:pPr>
      <w:r>
        <w:rPr>
          <w:spacing w:val="-7"/>
          <w:sz w:val="36"/>
        </w:rPr>
        <w:t>将芯线插入接线端子内，调节接线端子孔的方向到合适位置，用压</w:t>
      </w:r>
      <w:r>
        <w:rPr>
          <w:spacing w:val="-4"/>
          <w:sz w:val="36"/>
        </w:rPr>
        <w:t>线钳压紧接线端子，压接应在两道以上。</w:t>
      </w:r>
    </w:p>
    <w:p>
      <w:pPr>
        <w:pStyle w:val="BodyText"/>
        <w:spacing w:before="2"/>
        <w:ind w:left="1420"/>
      </w:pPr>
      <w:r>
        <w:t>7、固定热缩管</w:t>
      </w:r>
    </w:p>
    <w:p>
      <w:pPr>
        <w:pStyle w:val="ListParagraph"/>
        <w:numPr>
          <w:ilvl w:val="0"/>
          <w:numId w:val="14"/>
        </w:numPr>
        <w:tabs>
          <w:tab w:val="left" w:pos="2322"/>
        </w:tabs>
        <w:spacing w:before="241" w:after="0" w:line="240" w:lineRule="auto"/>
        <w:ind w:left="2321" w:right="0" w:hanging="902"/>
        <w:jc w:val="left"/>
        <w:rPr>
          <w:sz w:val="36"/>
        </w:rPr>
      </w:pPr>
      <w:r>
        <w:rPr>
          <w:sz w:val="36"/>
        </w:rPr>
        <w:t>用填充胶填满接线端子根部裸露的间隙和压坑。</w:t>
      </w:r>
    </w:p>
    <w:p>
      <w:pPr>
        <w:pStyle w:val="ListParagraph"/>
        <w:numPr>
          <w:ilvl w:val="0"/>
          <w:numId w:val="14"/>
        </w:numPr>
        <w:tabs>
          <w:tab w:val="left" w:pos="2322"/>
        </w:tabs>
        <w:spacing w:before="241" w:after="0" w:line="364" w:lineRule="auto"/>
        <w:ind w:left="520" w:right="1262" w:firstLine="899"/>
        <w:jc w:val="left"/>
        <w:rPr>
          <w:sz w:val="36"/>
        </w:rPr>
      </w:pPr>
      <w:r>
        <w:rPr>
          <w:spacing w:val="-8"/>
          <w:sz w:val="36"/>
        </w:rPr>
        <w:t>将热缩管套入电缆各芯线与接线端子的连接部位，用喷灯沿轴向加热</w:t>
      </w:r>
      <w:r>
        <w:rPr>
          <w:spacing w:val="-5"/>
          <w:sz w:val="36"/>
        </w:rPr>
        <w:t>，使热缩管均匀收缩，包紧接头，加热收缩时不至产生褶皱和裂缝。</w:t>
      </w:r>
    </w:p>
    <w:p>
      <w:pPr>
        <w:pStyle w:val="BodyText"/>
        <w:spacing w:before="2" w:line="364" w:lineRule="auto"/>
        <w:ind w:left="520" w:right="1257" w:firstLine="899"/>
        <w:jc w:val="both"/>
      </w:pPr>
      <w:r>
        <w:t>8</w:t>
      </w:r>
      <w:r>
        <w:rPr>
          <w:spacing w:val="-19"/>
        </w:rPr>
        <w:t xml:space="preserve">、连接设备：将已制作好终端头的电缆，固定在预先做好的电缆头支架上， </w:t>
      </w:r>
      <w:r>
        <w:t>并将芯线分开。根据接线端子的型号选用螺栓，将电缆接线端子压接在设备上， 注意应使螺栓由下向上或从内向外穿，平垫和弹簧垫应安装齐全。</w:t>
      </w:r>
    </w:p>
    <w:p>
      <w:pPr>
        <w:pStyle w:val="ListParagraph"/>
        <w:numPr>
          <w:ilvl w:val="2"/>
          <w:numId w:val="13"/>
        </w:numPr>
        <w:tabs>
          <w:tab w:val="left" w:pos="2231"/>
        </w:tabs>
        <w:spacing w:before="2" w:after="0" w:line="240" w:lineRule="auto"/>
        <w:ind w:left="2230" w:right="0" w:hanging="991"/>
        <w:jc w:val="left"/>
        <w:rPr>
          <w:sz w:val="36"/>
        </w:rPr>
      </w:pPr>
      <w:r>
        <w:rPr>
          <w:sz w:val="36"/>
        </w:rPr>
        <w:t>路灯安装</w:t>
      </w:r>
    </w:p>
    <w:p>
      <w:pPr>
        <w:pStyle w:val="ListParagraph"/>
        <w:numPr>
          <w:ilvl w:val="3"/>
          <w:numId w:val="13"/>
        </w:numPr>
        <w:tabs>
          <w:tab w:val="left" w:pos="2591"/>
        </w:tabs>
        <w:spacing w:before="242" w:after="0" w:line="240" w:lineRule="auto"/>
        <w:ind w:left="2590" w:right="0" w:hanging="1351"/>
        <w:jc w:val="left"/>
        <w:rPr>
          <w:sz w:val="36"/>
        </w:rPr>
      </w:pPr>
      <w:r>
        <w:rPr>
          <w:sz w:val="36"/>
        </w:rPr>
        <w:t>施工准备</w:t>
      </w:r>
    </w:p>
    <w:p>
      <w:pPr>
        <w:pStyle w:val="ListParagraph"/>
        <w:numPr>
          <w:ilvl w:val="4"/>
          <w:numId w:val="13"/>
        </w:numPr>
        <w:tabs>
          <w:tab w:val="left" w:pos="2951"/>
        </w:tabs>
        <w:spacing w:before="241" w:after="0" w:line="240" w:lineRule="auto"/>
        <w:ind w:left="2950" w:right="0" w:hanging="1711"/>
        <w:jc w:val="left"/>
        <w:rPr>
          <w:sz w:val="36"/>
        </w:rPr>
      </w:pPr>
      <w:r>
        <w:rPr>
          <w:sz w:val="36"/>
        </w:rPr>
        <w:t>材料</w:t>
      </w:r>
    </w:p>
    <w:p>
      <w:pPr>
        <w:pStyle w:val="BodyText"/>
        <w:spacing w:before="241" w:line="364" w:lineRule="auto"/>
        <w:ind w:left="520" w:right="1388" w:firstLine="719"/>
      </w:pPr>
      <w:r>
        <w:t>3.1.3.1.1.1</w:t>
      </w:r>
      <w:r>
        <w:rPr>
          <w:spacing w:val="-11"/>
        </w:rPr>
        <w:t xml:space="preserve"> 各种路灯灯具的型号、规格必须符合设计要求，灯具应有产品</w:t>
      </w:r>
      <w:r>
        <w:rPr>
          <w:spacing w:val="-18"/>
        </w:rPr>
        <w:t>合格证、生产许可证、</w:t>
      </w:r>
      <w:r>
        <w:t>“CCC”认证标识。且应符合下列规定：</w:t>
      </w:r>
    </w:p>
    <w:p>
      <w:pPr>
        <w:pStyle w:val="BodyText"/>
        <w:spacing w:before="1"/>
        <w:ind w:left="1780"/>
      </w:pPr>
      <w:r>
        <w:t>1、常规路灯灯具的效率不应低于 60%。</w:t>
      </w:r>
    </w:p>
    <w:p>
      <w:pPr>
        <w:pStyle w:val="BodyText"/>
        <w:spacing w:before="241" w:line="364" w:lineRule="auto"/>
        <w:ind w:left="520" w:right="1298" w:firstLine="1259"/>
      </w:pPr>
      <w:r>
        <w:t>2、灯具配件应齐全，无机械损伤、变形、油漆剥落、灯罩破裂等现象。路灯灯具的防护等级、密封性能必须在 IP55 以上。</w:t>
      </w:r>
    </w:p>
    <w:p>
      <w:pPr>
        <w:spacing w:after="0" w:line="364" w:lineRule="auto"/>
        <w:sectPr>
          <w:pgSz w:w="17860" w:h="25260"/>
          <w:pgMar w:top="1920" w:right="1260" w:bottom="280" w:left="2180" w:header="708" w:footer="708"/>
          <w:pgNumType w:start="9"/>
          <w:cols w:space="708"/>
        </w:sectPr>
      </w:pPr>
    </w:p>
    <w:p>
      <w:pPr>
        <w:pStyle w:val="BodyText"/>
        <w:spacing w:before="32" w:line="364" w:lineRule="auto"/>
        <w:ind w:left="520" w:right="1478" w:firstLine="1439"/>
      </w:pPr>
      <w:r>
        <w:drawing>
          <wp:anchor distT="0" distB="0" distL="0" distR="0" simplePos="0" relativeHeight="251671552" behindDoc="1" locked="0" layoutInCell="1" allowOverlap="1">
            <wp:simplePos x="0" y="0"/>
            <wp:positionH relativeFrom="page">
              <wp:posOffset>0</wp:posOffset>
            </wp:positionH>
            <wp:positionV relativeFrom="page">
              <wp:posOffset>0</wp:posOffset>
            </wp:positionV>
            <wp:extent cx="11340845" cy="158496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3、反光器应干净整洁，并应进行抛光氧化或镀镆处理，反光器表面应无明显划痕和裂纹。</w:t>
      </w:r>
    </w:p>
    <w:p>
      <w:pPr>
        <w:pStyle w:val="BodyText"/>
        <w:spacing w:before="2"/>
        <w:ind w:left="1960"/>
      </w:pPr>
      <w:r>
        <w:t>4、透明罩的透光率应达到 90%以上，并无气泡、明显的划痕和裂纹。</w:t>
      </w:r>
    </w:p>
    <w:p>
      <w:pPr>
        <w:pStyle w:val="BodyText"/>
        <w:spacing w:before="241" w:line="364" w:lineRule="auto"/>
        <w:ind w:left="520" w:right="1478" w:firstLine="1439"/>
      </w:pPr>
      <w:r>
        <w:t>5、封闭路灯灯具的灯头引线应采用耐热绝缘管保护，灯罩与尾座的连接配合应无间隙。</w:t>
      </w:r>
    </w:p>
    <w:p>
      <w:pPr>
        <w:pStyle w:val="BodyText"/>
        <w:spacing w:before="2" w:line="364" w:lineRule="auto"/>
        <w:ind w:left="520" w:right="1241" w:firstLine="1439"/>
      </w:pPr>
      <w:r>
        <w:t>6、灯内配线严禁外露，且相线、零线</w:t>
      </w:r>
      <w:r>
        <w:rPr>
          <w:spacing w:val="-82"/>
        </w:rPr>
        <w:t>（</w:t>
      </w:r>
      <w:r>
        <w:t>N</w:t>
      </w:r>
      <w:r>
        <w:rPr>
          <w:spacing w:val="-180"/>
        </w:rPr>
        <w:t>）</w:t>
      </w:r>
      <w:r>
        <w:t>、接地线</w:t>
      </w:r>
      <w:r>
        <w:rPr>
          <w:spacing w:val="-44"/>
        </w:rPr>
        <w:t>（</w:t>
      </w:r>
      <w:r>
        <w:t>PE）</w:t>
      </w:r>
      <w:r>
        <w:rPr>
          <w:spacing w:val="-3"/>
        </w:rPr>
        <w:t xml:space="preserve">用不同颜色，金属网无扭曲变形，密封垫完好。灯头线应使用额定电压不低于 </w:t>
      </w:r>
      <w:r>
        <w:t>500V</w:t>
      </w:r>
      <w:r>
        <w:rPr>
          <w:spacing w:val="-15"/>
        </w:rPr>
        <w:t xml:space="preserve"> 的铜芯绝缘线。</w:t>
      </w:r>
    </w:p>
    <w:p>
      <w:pPr>
        <w:pStyle w:val="ListParagraph"/>
        <w:numPr>
          <w:ilvl w:val="5"/>
          <w:numId w:val="12"/>
        </w:numPr>
        <w:tabs>
          <w:tab w:val="left" w:pos="3311"/>
        </w:tabs>
        <w:spacing w:before="3" w:after="0" w:line="364" w:lineRule="auto"/>
        <w:ind w:left="520" w:right="1256" w:firstLine="719"/>
        <w:jc w:val="left"/>
        <w:rPr>
          <w:sz w:val="36"/>
        </w:rPr>
      </w:pPr>
      <w:r>
        <w:rPr>
          <w:sz w:val="36"/>
        </w:rPr>
        <w:t>路灯安装使用的灯杆、灯臂、抱箍、螺栓、压板等金属构件应</w:t>
      </w:r>
      <w:r>
        <w:rPr>
          <w:spacing w:val="-12"/>
          <w:sz w:val="36"/>
        </w:rPr>
        <w:t>进行热镀锌处理，防腐质量应符合现行国家标准《金属覆盖及其他有关覆盖层维</w:t>
      </w:r>
      <w:r>
        <w:rPr>
          <w:spacing w:val="-26"/>
          <w:sz w:val="36"/>
        </w:rPr>
        <w:t>氏和努氏显微硬度试验》</w:t>
      </w:r>
      <w:r>
        <w:rPr>
          <w:sz w:val="36"/>
        </w:rPr>
        <w:t>GB/T</w:t>
      </w:r>
      <w:r>
        <w:rPr>
          <w:spacing w:val="-91"/>
          <w:sz w:val="36"/>
        </w:rPr>
        <w:t xml:space="preserve"> </w:t>
      </w:r>
      <w:r>
        <w:rPr>
          <w:sz w:val="36"/>
        </w:rPr>
        <w:t>9790</w:t>
      </w:r>
      <w:r>
        <w:rPr>
          <w:spacing w:val="-35"/>
          <w:sz w:val="36"/>
        </w:rPr>
        <w:t>、《热喷涂金属件表面预处理通则》</w:t>
      </w:r>
      <w:r>
        <w:rPr>
          <w:sz w:val="36"/>
        </w:rPr>
        <w:t>GB/T</w:t>
      </w:r>
      <w:r>
        <w:rPr>
          <w:spacing w:val="-90"/>
          <w:sz w:val="36"/>
        </w:rPr>
        <w:t xml:space="preserve"> </w:t>
      </w:r>
      <w:r>
        <w:rPr>
          <w:sz w:val="36"/>
        </w:rPr>
        <w:t>11373</w:t>
      </w:r>
      <w:r>
        <w:rPr>
          <w:spacing w:val="-17"/>
          <w:sz w:val="36"/>
        </w:rPr>
        <w:t>、</w:t>
      </w:r>
      <w:r>
        <w:rPr>
          <w:sz w:val="36"/>
        </w:rPr>
        <w:t>国家现行标准《钢铁热浸铝工艺及质量检验》ZBJ 36011</w:t>
      </w:r>
      <w:r>
        <w:rPr>
          <w:spacing w:val="-15"/>
          <w:sz w:val="36"/>
        </w:rPr>
        <w:t xml:space="preserve"> 的有关规定。</w:t>
      </w:r>
    </w:p>
    <w:p>
      <w:pPr>
        <w:pStyle w:val="ListParagraph"/>
        <w:numPr>
          <w:ilvl w:val="5"/>
          <w:numId w:val="12"/>
        </w:numPr>
        <w:tabs>
          <w:tab w:val="left" w:pos="3311"/>
        </w:tabs>
        <w:spacing w:before="4" w:after="0" w:line="364" w:lineRule="auto"/>
        <w:ind w:left="520" w:right="1257" w:firstLine="719"/>
        <w:jc w:val="left"/>
        <w:rPr>
          <w:sz w:val="36"/>
        </w:rPr>
      </w:pPr>
      <w:r>
        <w:rPr>
          <w:spacing w:val="-16"/>
          <w:sz w:val="36"/>
        </w:rPr>
        <w:t>灯杆、灯臂等热镀锌后应进行油漆涂层处理，其外观、附着力、</w:t>
      </w:r>
      <w:r>
        <w:rPr>
          <w:spacing w:val="1"/>
          <w:sz w:val="36"/>
        </w:rPr>
        <w:t>耐湿热性应符合国家现行标准《灯具油漆涂层》</w:t>
      </w:r>
      <w:r>
        <w:rPr>
          <w:sz w:val="36"/>
        </w:rPr>
        <w:t>QB1551 的有关规定；进行喷塑处理后覆盖层应无鼓包、针孔、粗糙、裂纹或漏喷区缺陷，覆盖层与基体应有牢固的结合强度。</w:t>
      </w:r>
    </w:p>
    <w:p>
      <w:pPr>
        <w:pStyle w:val="ListParagraph"/>
        <w:numPr>
          <w:ilvl w:val="4"/>
          <w:numId w:val="13"/>
        </w:numPr>
        <w:tabs>
          <w:tab w:val="left" w:pos="2951"/>
        </w:tabs>
        <w:spacing w:before="4" w:after="0" w:line="240" w:lineRule="auto"/>
        <w:ind w:left="2950" w:right="0" w:hanging="1711"/>
        <w:jc w:val="left"/>
        <w:rPr>
          <w:sz w:val="36"/>
        </w:rPr>
      </w:pPr>
      <w:r>
        <w:rPr>
          <w:sz w:val="36"/>
        </w:rPr>
        <w:t>机具设备</w:t>
      </w:r>
    </w:p>
    <w:p>
      <w:pPr>
        <w:pStyle w:val="ListParagraph"/>
        <w:numPr>
          <w:ilvl w:val="5"/>
          <w:numId w:val="13"/>
        </w:numPr>
        <w:tabs>
          <w:tab w:val="left" w:pos="3311"/>
        </w:tabs>
        <w:spacing w:before="241" w:after="0" w:line="364" w:lineRule="auto"/>
        <w:ind w:left="520" w:right="1388" w:firstLine="719"/>
        <w:jc w:val="left"/>
        <w:rPr>
          <w:sz w:val="36"/>
        </w:rPr>
      </w:pPr>
      <w:r>
        <w:rPr>
          <w:spacing w:val="-1"/>
          <w:sz w:val="36"/>
        </w:rPr>
        <w:t>手动工具：电工组合工具、钢锯、扁锉、圆锉、台钳、压力案</w:t>
      </w:r>
      <w:r>
        <w:rPr>
          <w:sz w:val="36"/>
        </w:rPr>
        <w:t>子、活扳手、套丝板、喷灯等。</w:t>
      </w:r>
    </w:p>
    <w:p>
      <w:pPr>
        <w:pStyle w:val="ListParagraph"/>
        <w:numPr>
          <w:ilvl w:val="5"/>
          <w:numId w:val="13"/>
        </w:numPr>
        <w:tabs>
          <w:tab w:val="left" w:pos="3401"/>
        </w:tabs>
        <w:spacing w:before="2" w:after="0" w:line="240" w:lineRule="auto"/>
        <w:ind w:left="3400" w:right="0" w:hanging="2161"/>
        <w:jc w:val="left"/>
        <w:rPr>
          <w:sz w:val="36"/>
        </w:rPr>
      </w:pPr>
      <w:r>
        <w:rPr>
          <w:sz w:val="36"/>
        </w:rPr>
        <w:t>电动工具：台钻、电钻等。</w:t>
      </w:r>
    </w:p>
    <w:p>
      <w:pPr>
        <w:pStyle w:val="ListParagraph"/>
        <w:numPr>
          <w:ilvl w:val="5"/>
          <w:numId w:val="13"/>
        </w:numPr>
        <w:tabs>
          <w:tab w:val="left" w:pos="3401"/>
        </w:tabs>
        <w:spacing w:before="240" w:after="0" w:line="364" w:lineRule="auto"/>
        <w:ind w:left="520" w:right="1298" w:firstLine="719"/>
        <w:jc w:val="left"/>
        <w:rPr>
          <w:sz w:val="36"/>
        </w:rPr>
      </w:pPr>
      <w:r>
        <w:rPr>
          <w:spacing w:val="-1"/>
          <w:sz w:val="36"/>
        </w:rPr>
        <w:t>测试工具：兆欧表、万用表、试电笔、卷尺、角尺、水平尺、</w:t>
      </w:r>
      <w:r>
        <w:rPr>
          <w:sz w:val="36"/>
        </w:rPr>
        <w:t>小线、线坠等。</w:t>
      </w:r>
    </w:p>
    <w:p>
      <w:pPr>
        <w:pStyle w:val="ListParagraph"/>
        <w:numPr>
          <w:ilvl w:val="5"/>
          <w:numId w:val="13"/>
        </w:numPr>
        <w:tabs>
          <w:tab w:val="left" w:pos="3401"/>
        </w:tabs>
        <w:spacing w:before="2" w:after="0" w:line="364" w:lineRule="auto"/>
        <w:ind w:left="520" w:right="1298" w:firstLine="719"/>
        <w:jc w:val="left"/>
        <w:rPr>
          <w:sz w:val="36"/>
        </w:rPr>
      </w:pPr>
      <w:r>
        <w:rPr>
          <w:spacing w:val="-1"/>
          <w:sz w:val="36"/>
        </w:rPr>
        <w:t>其他工具：起重机、梯子、移动升降梯、锡锅、锡勺、电炉、</w:t>
      </w:r>
      <w:r>
        <w:rPr>
          <w:sz w:val="36"/>
        </w:rPr>
        <w:t>电烙铁等。</w:t>
      </w:r>
    </w:p>
    <w:p>
      <w:pPr>
        <w:pStyle w:val="ListParagraph"/>
        <w:numPr>
          <w:ilvl w:val="4"/>
          <w:numId w:val="13"/>
        </w:numPr>
        <w:tabs>
          <w:tab w:val="left" w:pos="2951"/>
        </w:tabs>
        <w:spacing w:before="3" w:after="0" w:line="240" w:lineRule="auto"/>
        <w:ind w:left="2950" w:right="0" w:hanging="1711"/>
        <w:jc w:val="left"/>
        <w:rPr>
          <w:sz w:val="36"/>
        </w:rPr>
      </w:pPr>
      <w:r>
        <w:rPr>
          <w:sz w:val="36"/>
        </w:rPr>
        <w:t>作业条件</w:t>
      </w:r>
    </w:p>
    <w:p>
      <w:pPr>
        <w:pStyle w:val="ListParagraph"/>
        <w:numPr>
          <w:ilvl w:val="5"/>
          <w:numId w:val="13"/>
        </w:numPr>
        <w:tabs>
          <w:tab w:val="left" w:pos="3311"/>
        </w:tabs>
        <w:spacing w:before="241" w:after="0" w:line="240" w:lineRule="auto"/>
        <w:ind w:left="3310" w:right="0" w:hanging="2071"/>
        <w:jc w:val="left"/>
        <w:rPr>
          <w:sz w:val="36"/>
        </w:rPr>
      </w:pPr>
      <w:r>
        <w:rPr>
          <w:sz w:val="36"/>
        </w:rPr>
        <w:t>电源电缆敷设到位，并绝缘测试合格。</w:t>
      </w:r>
    </w:p>
    <w:p>
      <w:pPr>
        <w:pStyle w:val="ListParagraph"/>
        <w:numPr>
          <w:ilvl w:val="5"/>
          <w:numId w:val="13"/>
        </w:numPr>
        <w:tabs>
          <w:tab w:val="left" w:pos="3311"/>
        </w:tabs>
        <w:spacing w:before="240" w:after="0" w:line="240" w:lineRule="auto"/>
        <w:ind w:left="3310" w:right="0" w:hanging="2071"/>
        <w:jc w:val="left"/>
        <w:rPr>
          <w:sz w:val="36"/>
        </w:rPr>
      </w:pPr>
      <w:r>
        <w:rPr>
          <w:sz w:val="36"/>
        </w:rPr>
        <w:t>场地平整，具备施工条件。</w:t>
      </w:r>
    </w:p>
    <w:p>
      <w:pPr>
        <w:pStyle w:val="ListParagraph"/>
        <w:numPr>
          <w:ilvl w:val="5"/>
          <w:numId w:val="13"/>
        </w:numPr>
        <w:tabs>
          <w:tab w:val="left" w:pos="3311"/>
        </w:tabs>
        <w:spacing w:before="241" w:after="0" w:line="240" w:lineRule="auto"/>
        <w:ind w:left="3310" w:right="0" w:hanging="2071"/>
        <w:jc w:val="left"/>
        <w:rPr>
          <w:sz w:val="36"/>
        </w:rPr>
      </w:pPr>
      <w:r>
        <w:rPr>
          <w:sz w:val="36"/>
        </w:rPr>
        <w:t>高空安装的灯具，地面通断电实验合格。</w:t>
      </w:r>
    </w:p>
    <w:p>
      <w:pPr>
        <w:pStyle w:val="ListParagraph"/>
        <w:numPr>
          <w:ilvl w:val="4"/>
          <w:numId w:val="13"/>
        </w:numPr>
        <w:tabs>
          <w:tab w:val="left" w:pos="2951"/>
        </w:tabs>
        <w:spacing w:before="241" w:after="0" w:line="240" w:lineRule="auto"/>
        <w:ind w:left="2950" w:right="0" w:hanging="1711"/>
        <w:jc w:val="left"/>
        <w:rPr>
          <w:sz w:val="36"/>
        </w:rPr>
      </w:pPr>
      <w:r>
        <w:rPr>
          <w:sz w:val="36"/>
        </w:rPr>
        <w:t>技术准备</w:t>
      </w:r>
    </w:p>
    <w:p>
      <w:pPr>
        <w:pStyle w:val="BodyText"/>
        <w:spacing w:before="240"/>
        <w:ind w:left="1240"/>
      </w:pPr>
      <w:r>
        <w:t>1、施工图纸和技术资料齐全。</w:t>
      </w:r>
    </w:p>
    <w:p>
      <w:pPr>
        <w:spacing w:after="0"/>
        <w:sectPr>
          <w:pgSz w:w="17860" w:h="25260"/>
          <w:pgMar w:top="1920" w:right="1260" w:bottom="280" w:left="2180" w:header="708" w:footer="708"/>
          <w:pgNumType w:start="10"/>
          <w:cols w:space="708"/>
        </w:sectPr>
      </w:pPr>
    </w:p>
    <w:p>
      <w:pPr>
        <w:pStyle w:val="BodyText"/>
        <w:spacing w:before="32"/>
        <w:ind w:left="1240"/>
      </w:pPr>
      <w:r>
        <w:drawing>
          <wp:anchor distT="0" distB="0" distL="0" distR="0" simplePos="0" relativeHeight="251672576" behindDoc="1" locked="0" layoutInCell="1" allowOverlap="1">
            <wp:simplePos x="0" y="0"/>
            <wp:positionH relativeFrom="page">
              <wp:posOffset>0</wp:posOffset>
            </wp:positionH>
            <wp:positionV relativeFrom="page">
              <wp:posOffset>0</wp:posOffset>
            </wp:positionV>
            <wp:extent cx="11340845" cy="15849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2、施工方案编制完毕并经审批。</w:t>
      </w:r>
    </w:p>
    <w:p>
      <w:pPr>
        <w:pStyle w:val="BodyText"/>
        <w:spacing w:before="241"/>
        <w:ind w:left="1240"/>
      </w:pPr>
      <w:r>
        <w:t>3、施工前应组织参施人员熟悉图纸、方案，并进行安全、技术交底。</w:t>
      </w:r>
    </w:p>
    <w:p>
      <w:pPr>
        <w:pStyle w:val="ListParagraph"/>
        <w:numPr>
          <w:ilvl w:val="3"/>
          <w:numId w:val="11"/>
        </w:numPr>
        <w:tabs>
          <w:tab w:val="left" w:pos="2681"/>
        </w:tabs>
        <w:spacing w:before="241" w:after="0" w:line="240" w:lineRule="auto"/>
        <w:ind w:left="2680" w:right="0" w:hanging="1441"/>
        <w:jc w:val="left"/>
        <w:rPr>
          <w:sz w:val="36"/>
        </w:rPr>
      </w:pPr>
      <w:r>
        <w:rPr>
          <w:sz w:val="36"/>
        </w:rPr>
        <w:t>操作工艺</w:t>
      </w:r>
    </w:p>
    <w:p>
      <w:pPr>
        <w:pStyle w:val="ListParagraph"/>
        <w:numPr>
          <w:ilvl w:val="4"/>
          <w:numId w:val="11"/>
        </w:numPr>
        <w:tabs>
          <w:tab w:val="left" w:pos="3041"/>
        </w:tabs>
        <w:spacing w:before="241" w:after="0" w:line="240" w:lineRule="auto"/>
        <w:ind w:left="3040" w:right="0" w:hanging="1801"/>
        <w:jc w:val="left"/>
        <w:rPr>
          <w:sz w:val="36"/>
        </w:rPr>
      </w:pPr>
      <w:r>
        <w:rPr>
          <w:sz w:val="36"/>
        </w:rPr>
        <w:t>工艺流程</w:t>
      </w:r>
    </w:p>
    <w:p>
      <w:pPr>
        <w:pStyle w:val="BodyText"/>
        <w:spacing w:before="3"/>
        <w:rPr>
          <w:sz w:val="25"/>
        </w:rPr>
      </w:pPr>
      <w:r>
        <w:pict>
          <v:group id="_x0000_s1042" style="width:624pt;height:36pt;margin-top:18.12pt;margin-left:135pt;mso-position-horizontal-relative:page;mso-wrap-distance-left:0;mso-wrap-distance-right:0;position:absolute;z-index:-251642880" coordorigin="2700,362" coordsize="12480,720">
            <v:shape id="_x0000_s1043" type="#_x0000_t75" style="width:12480;height:720;left:2700;position:absolute;top:362" stroked="f">
              <v:imagedata r:id="rId9" o:title=""/>
            </v:shape>
            <v:shape id="_x0000_s1044" type="#_x0000_t202" style="width:1288;height:317;left:2927;position:absolute;top:584" filled="f" stroked="f">
              <v:textbox inset="0,0,0,0">
                <w:txbxContent>
                  <w:p>
                    <w:pPr>
                      <w:spacing w:before="0" w:line="317" w:lineRule="exact"/>
                      <w:ind w:left="0" w:right="0" w:firstLine="0"/>
                      <w:jc w:val="left"/>
                      <w:rPr>
                        <w:sz w:val="31"/>
                      </w:rPr>
                    </w:pPr>
                    <w:r>
                      <w:rPr>
                        <w:sz w:val="31"/>
                      </w:rPr>
                      <w:t>测量定位</w:t>
                    </w:r>
                  </w:p>
                </w:txbxContent>
              </v:textbox>
            </v:shape>
            <v:shape id="_x0000_s1045" type="#_x0000_t202" style="width:1288;height:317;left:5447;position:absolute;top:584" filled="f" stroked="f">
              <v:textbox inset="0,0,0,0">
                <w:txbxContent>
                  <w:p>
                    <w:pPr>
                      <w:spacing w:before="0" w:line="317" w:lineRule="exact"/>
                      <w:ind w:left="0" w:right="0" w:firstLine="0"/>
                      <w:jc w:val="left"/>
                      <w:rPr>
                        <w:sz w:val="31"/>
                      </w:rPr>
                    </w:pPr>
                    <w:r>
                      <w:rPr>
                        <w:sz w:val="31"/>
                      </w:rPr>
                      <w:t>基础施工</w:t>
                    </w:r>
                  </w:p>
                </w:txbxContent>
              </v:textbox>
            </v:shape>
            <v:shape id="_x0000_s1046" type="#_x0000_t202" style="width:3188;height:317;left:8126;position:absolute;top:584" filled="f" stroked="f">
              <v:textbox inset="0,0,0,0">
                <w:txbxContent>
                  <w:p>
                    <w:pPr>
                      <w:spacing w:before="0" w:line="317" w:lineRule="exact"/>
                      <w:ind w:left="0" w:right="0" w:firstLine="0"/>
                      <w:jc w:val="left"/>
                      <w:rPr>
                        <w:sz w:val="31"/>
                      </w:rPr>
                    </w:pPr>
                    <w:r>
                      <w:rPr>
                        <w:sz w:val="31"/>
                      </w:rPr>
                      <w:t>灯杆、灯臂及灯具安装</w:t>
                    </w:r>
                  </w:p>
                </w:txbxContent>
              </v:textbox>
            </v:shape>
            <v:shape id="_x0000_s1047" type="#_x0000_t202" style="width:1921;height:317;left:12378;position:absolute;top:584" filled="f" stroked="f">
              <v:textbox inset="0,0,0,0">
                <w:txbxContent>
                  <w:p>
                    <w:pPr>
                      <w:spacing w:before="0" w:line="317" w:lineRule="exact"/>
                      <w:ind w:left="0" w:right="0" w:firstLine="0"/>
                      <w:jc w:val="left"/>
                      <w:rPr>
                        <w:sz w:val="31"/>
                      </w:rPr>
                    </w:pPr>
                    <w:r>
                      <w:rPr>
                        <w:sz w:val="31"/>
                      </w:rPr>
                      <w:t>接地接零保护</w:t>
                    </w:r>
                  </w:p>
                </w:txbxContent>
              </v:textbox>
            </v:shape>
            <w10:wrap type="topAndBottom"/>
          </v:group>
        </w:pict>
      </w:r>
      <w:r>
        <w:pict>
          <v:group id="_x0000_s1048" style="width:505pt;height:36pt;margin-top:76.12pt;margin-left:135pt;mso-position-horizontal-relative:page;mso-wrap-distance-left:0;mso-wrap-distance-right:0;position:absolute;z-index:-251641856" coordorigin="2700,1522" coordsize="10100,720">
            <v:shape id="_x0000_s1049" type="#_x0000_t75" style="width:10100;height:720;left:2700;position:absolute;top:1522" stroked="f">
              <v:imagedata r:id="rId10" o:title=""/>
            </v:shape>
            <v:shape id="_x0000_s1050" type="#_x0000_t202" style="width:654;height:317;left:2927;position:absolute;top:1754" filled="f" stroked="f">
              <v:textbox inset="0,0,0,0">
                <w:txbxContent>
                  <w:p>
                    <w:pPr>
                      <w:spacing w:before="0" w:line="317" w:lineRule="exact"/>
                      <w:ind w:left="0" w:right="0" w:firstLine="0"/>
                      <w:jc w:val="left"/>
                      <w:rPr>
                        <w:sz w:val="31"/>
                      </w:rPr>
                    </w:pPr>
                    <w:r>
                      <w:rPr>
                        <w:sz w:val="31"/>
                      </w:rPr>
                      <w:t>接线</w:t>
                    </w:r>
                  </w:p>
                </w:txbxContent>
              </v:textbox>
            </v:shape>
            <v:shape id="_x0000_s1051" type="#_x0000_t202" style="width:2555;height:317;left:4975;position:absolute;top:1754" filled="f" stroked="f">
              <v:textbox inset="0,0,0,0">
                <w:txbxContent>
                  <w:p>
                    <w:pPr>
                      <w:spacing w:before="0" w:line="317" w:lineRule="exact"/>
                      <w:ind w:left="0" w:right="0" w:firstLine="0"/>
                      <w:jc w:val="left"/>
                      <w:rPr>
                        <w:sz w:val="31"/>
                      </w:rPr>
                    </w:pPr>
                    <w:r>
                      <w:rPr>
                        <w:sz w:val="31"/>
                      </w:rPr>
                      <w:t>路灯控制系统安装</w:t>
                    </w:r>
                  </w:p>
                </w:txbxContent>
              </v:textbox>
            </v:shape>
            <v:shape id="_x0000_s1052" type="#_x0000_t202" style="width:1288;height:317;left:9073;position:absolute;top:1754" filled="f" stroked="f">
              <v:textbox inset="0,0,0,0">
                <w:txbxContent>
                  <w:p>
                    <w:pPr>
                      <w:spacing w:before="0" w:line="317" w:lineRule="exact"/>
                      <w:ind w:left="0" w:right="0" w:firstLine="0"/>
                      <w:jc w:val="left"/>
                      <w:rPr>
                        <w:sz w:val="31"/>
                      </w:rPr>
                    </w:pPr>
                    <w:r>
                      <w:rPr>
                        <w:sz w:val="31"/>
                      </w:rPr>
                      <w:t>绝缘测试</w:t>
                    </w:r>
                  </w:p>
                </w:txbxContent>
              </v:textbox>
            </v:shape>
            <v:shape id="_x0000_s1053" type="#_x0000_t202" style="width:971;height:317;left:11594;position:absolute;top:1754" filled="f" stroked="f">
              <v:textbox inset="0,0,0,0">
                <w:txbxContent>
                  <w:p>
                    <w:pPr>
                      <w:spacing w:before="0" w:line="317" w:lineRule="exact"/>
                      <w:ind w:left="0" w:right="0" w:firstLine="0"/>
                      <w:jc w:val="left"/>
                      <w:rPr>
                        <w:sz w:val="31"/>
                      </w:rPr>
                    </w:pPr>
                    <w:r>
                      <w:rPr>
                        <w:sz w:val="31"/>
                      </w:rPr>
                      <w:t>试运行</w:t>
                    </w:r>
                  </w:p>
                </w:txbxContent>
              </v:textbox>
            </v:shape>
            <w10:wrap type="topAndBottom"/>
          </v:group>
        </w:pict>
      </w:r>
    </w:p>
    <w:p>
      <w:pPr>
        <w:pStyle w:val="BodyText"/>
        <w:rPr>
          <w:sz w:val="29"/>
        </w:rPr>
      </w:pPr>
    </w:p>
    <w:p>
      <w:pPr>
        <w:pStyle w:val="BodyText"/>
        <w:spacing w:before="75" w:line="364" w:lineRule="auto"/>
        <w:ind w:left="1240" w:right="9668"/>
      </w:pPr>
      <w:r>
        <w:t>3.1.3.2.2</w:t>
      </w:r>
      <w:r>
        <w:rPr>
          <w:spacing w:val="-19"/>
        </w:rPr>
        <w:t xml:space="preserve"> 操作方法3.1.3.2.2.1</w:t>
      </w:r>
      <w:r>
        <w:rPr>
          <w:spacing w:val="-23"/>
        </w:rPr>
        <w:t xml:space="preserve"> 测量定位</w:t>
      </w:r>
    </w:p>
    <w:p>
      <w:pPr>
        <w:pStyle w:val="BodyText"/>
        <w:spacing w:before="3" w:line="364" w:lineRule="auto"/>
        <w:ind w:left="520" w:right="1478" w:firstLine="719"/>
      </w:pPr>
      <w:r>
        <w:t>1、根据路灯安装施工图及道路中心线和参考点等，确定路灯的安装位置及基础高度，并标出基础安装位置。基础顶面标高应提供标桩。</w:t>
      </w:r>
    </w:p>
    <w:p>
      <w:pPr>
        <w:pStyle w:val="BodyText"/>
        <w:spacing w:before="1" w:line="364" w:lineRule="auto"/>
        <w:ind w:left="520" w:right="1410" w:firstLine="719"/>
        <w:jc w:val="both"/>
      </w:pPr>
      <w:r>
        <w:t>2</w:t>
      </w:r>
      <w:r>
        <w:rPr>
          <w:spacing w:val="-6"/>
        </w:rPr>
        <w:t xml:space="preserve">、直线杆顺线路方向位移不应超过设计档距的 </w:t>
      </w:r>
      <w:r>
        <w:t>3%；</w:t>
      </w:r>
      <w:r>
        <w:rPr>
          <w:spacing w:val="-2"/>
        </w:rPr>
        <w:t>直线杆沿线路方向横向</w:t>
      </w:r>
      <w:r>
        <w:t>位移不应超过 50mm；转角杆、分支杆的横线路、顺线路方向的位移均不应超过50mm。</w:t>
      </w:r>
    </w:p>
    <w:p>
      <w:pPr>
        <w:pStyle w:val="ListParagraph"/>
        <w:numPr>
          <w:ilvl w:val="5"/>
          <w:numId w:val="10"/>
        </w:numPr>
        <w:tabs>
          <w:tab w:val="left" w:pos="3311"/>
        </w:tabs>
        <w:spacing w:before="3" w:after="0" w:line="240" w:lineRule="auto"/>
        <w:ind w:left="3310" w:right="0" w:hanging="2071"/>
        <w:jc w:val="left"/>
        <w:rPr>
          <w:sz w:val="36"/>
        </w:rPr>
      </w:pPr>
      <w:r>
        <w:rPr>
          <w:sz w:val="36"/>
        </w:rPr>
        <w:t>灯杆、灯臂及灯具安装</w:t>
      </w:r>
    </w:p>
    <w:p>
      <w:pPr>
        <w:pStyle w:val="BodyText"/>
        <w:spacing w:before="241" w:line="364" w:lineRule="auto"/>
        <w:ind w:left="520" w:right="1437" w:firstLine="719"/>
        <w:jc w:val="both"/>
      </w:pPr>
      <w:r>
        <w:t>1、根据产品说明书安装好灯杆组件，然后利用起重机将灯杆吊起到基础的</w:t>
      </w:r>
      <w:r>
        <w:rPr>
          <w:spacing w:val="-14"/>
        </w:rPr>
        <w:t>上方，缓缓下降至适当高度，调整灯杆，使灯杆底座的螺栓孔穿过预埋好的地脚</w:t>
      </w:r>
      <w:r>
        <w:rPr>
          <w:spacing w:val="-13"/>
        </w:rPr>
        <w:t>螺栓，并使电源电缆穿进灯杆至接线盒处，放下并扶正灯杆，将灯杆与底座固定牢固。立杆时应有防止杆身滚动、倾斜的措施。钢灯杆吊装时应采取防止钢缆擦</w:t>
      </w:r>
      <w:r>
        <w:t>伤灯杆表面油漆或喷塑防腐装饰层的措施。</w:t>
      </w:r>
    </w:p>
    <w:p>
      <w:pPr>
        <w:pStyle w:val="BodyText"/>
        <w:spacing w:before="5" w:line="364" w:lineRule="auto"/>
        <w:ind w:left="520" w:right="1450" w:firstLine="719"/>
        <w:jc w:val="both"/>
      </w:pPr>
      <w:r>
        <w:t>2、根据产品说明书安装好灯臂组件，然后将灯臂安装在灯杆上。杆上路灯灯臂的抱箍应紧固，不得松动，装灯方向与道路纵向应成 90°，误差不得大于3°。</w:t>
      </w:r>
    </w:p>
    <w:p>
      <w:pPr>
        <w:pStyle w:val="BodyText"/>
        <w:spacing w:before="4"/>
        <w:ind w:left="1240"/>
      </w:pPr>
      <w:r>
        <w:t>3、安装灯具组件：</w:t>
      </w:r>
    </w:p>
    <w:p>
      <w:pPr>
        <w:pStyle w:val="ListParagraph"/>
        <w:numPr>
          <w:ilvl w:val="0"/>
          <w:numId w:val="9"/>
        </w:numPr>
        <w:tabs>
          <w:tab w:val="left" w:pos="2142"/>
        </w:tabs>
        <w:spacing w:before="240" w:after="0" w:line="240" w:lineRule="auto"/>
        <w:ind w:left="2141" w:right="0" w:hanging="902"/>
        <w:jc w:val="left"/>
        <w:rPr>
          <w:sz w:val="36"/>
        </w:rPr>
      </w:pPr>
      <w:r>
        <w:rPr>
          <w:spacing w:val="-4"/>
          <w:sz w:val="36"/>
        </w:rPr>
        <w:t>根据厂家提供的说明书及组装图认真核对紧固件、连接件及其他附件。</w:t>
      </w:r>
    </w:p>
    <w:p>
      <w:pPr>
        <w:pStyle w:val="ListParagraph"/>
        <w:numPr>
          <w:ilvl w:val="0"/>
          <w:numId w:val="9"/>
        </w:numPr>
        <w:tabs>
          <w:tab w:val="left" w:pos="2142"/>
        </w:tabs>
        <w:spacing w:before="241" w:after="0" w:line="240" w:lineRule="auto"/>
        <w:ind w:left="2141" w:right="0" w:hanging="902"/>
        <w:jc w:val="left"/>
        <w:rPr>
          <w:sz w:val="36"/>
        </w:rPr>
      </w:pPr>
      <w:r>
        <w:rPr>
          <w:sz w:val="36"/>
        </w:rPr>
        <w:t>根据说明书穿各分支回路的绝缘电线。</w:t>
      </w:r>
    </w:p>
    <w:p>
      <w:pPr>
        <w:pStyle w:val="ListParagraph"/>
        <w:numPr>
          <w:ilvl w:val="0"/>
          <w:numId w:val="9"/>
        </w:numPr>
        <w:tabs>
          <w:tab w:val="left" w:pos="2142"/>
        </w:tabs>
        <w:spacing w:before="241" w:after="0" w:line="240" w:lineRule="auto"/>
        <w:ind w:left="2141" w:right="0" w:hanging="902"/>
        <w:jc w:val="left"/>
        <w:rPr>
          <w:sz w:val="36"/>
        </w:rPr>
      </w:pPr>
      <w:r>
        <w:rPr>
          <w:sz w:val="36"/>
        </w:rPr>
        <w:t>根据组装图组装并接线。</w:t>
      </w:r>
    </w:p>
    <w:p>
      <w:pPr>
        <w:pStyle w:val="ListParagraph"/>
        <w:numPr>
          <w:ilvl w:val="0"/>
          <w:numId w:val="9"/>
        </w:numPr>
        <w:tabs>
          <w:tab w:val="left" w:pos="2142"/>
        </w:tabs>
        <w:spacing w:before="241" w:after="0" w:line="240" w:lineRule="auto"/>
        <w:ind w:left="2141" w:right="0" w:hanging="902"/>
        <w:jc w:val="left"/>
        <w:rPr>
          <w:sz w:val="36"/>
        </w:rPr>
      </w:pPr>
      <w:r>
        <w:rPr>
          <w:sz w:val="36"/>
        </w:rPr>
        <w:t>安装各种附件。</w:t>
      </w:r>
    </w:p>
    <w:p>
      <w:pPr>
        <w:pStyle w:val="BodyText"/>
        <w:spacing w:before="240" w:line="364" w:lineRule="auto"/>
        <w:ind w:left="520" w:right="1440" w:firstLine="719"/>
      </w:pPr>
      <w:r>
        <w:t>4、将灯具安装在灯臂上，并将灯具电源线沿灯臂、灯杆敷设至灯杆内的接</w:t>
      </w:r>
      <w:r>
        <w:rPr>
          <w:spacing w:val="-13"/>
        </w:rPr>
        <w:t>线盒处。灯具安装纵向中心线和灯臂纵向中心线应一致，灯具横向水平线应与地</w:t>
      </w:r>
    </w:p>
    <w:p>
      <w:pPr>
        <w:spacing w:after="0" w:line="364" w:lineRule="auto"/>
        <w:sectPr>
          <w:pgSz w:w="17860" w:h="25260"/>
          <w:pgMar w:top="1920" w:right="1260" w:bottom="280" w:left="2180" w:header="708" w:footer="708"/>
          <w:pgNumType w:start="11"/>
          <w:cols w:space="708"/>
        </w:sectPr>
      </w:pPr>
    </w:p>
    <w:p>
      <w:pPr>
        <w:pStyle w:val="BodyText"/>
        <w:spacing w:before="32" w:line="364" w:lineRule="auto"/>
        <w:ind w:left="520" w:right="1257"/>
      </w:pPr>
      <w:r>
        <w:drawing>
          <wp:anchor distT="0" distB="0" distL="0" distR="0" simplePos="0" relativeHeight="251675648" behindDoc="1" locked="0" layoutInCell="1" allowOverlap="1">
            <wp:simplePos x="0" y="0"/>
            <wp:positionH relativeFrom="page">
              <wp:posOffset>0</wp:posOffset>
            </wp:positionH>
            <wp:positionV relativeFrom="page">
              <wp:posOffset>0</wp:posOffset>
            </wp:positionV>
            <wp:extent cx="11340845" cy="158496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pacing w:val="-3"/>
        </w:rPr>
        <w:t xml:space="preserve">面平行，紧固后目测应无歪斜。灯具的悬挑长度不宜超过灯具安装高度的 </w:t>
      </w:r>
      <w:r>
        <w:t xml:space="preserve">1/8， </w:t>
      </w:r>
      <w:r>
        <w:rPr>
          <w:spacing w:val="-16"/>
        </w:rPr>
        <w:t xml:space="preserve">且不宜超过 </w:t>
      </w:r>
      <w:r>
        <w:t>2m</w:t>
      </w:r>
      <w:r>
        <w:rPr>
          <w:spacing w:val="-17"/>
        </w:rPr>
        <w:t>。同一街道、公路、广场、桥梁的路灯安装高度</w:t>
      </w:r>
      <w:r>
        <w:t>（从光源到地面</w:t>
      </w:r>
      <w:r>
        <w:rPr>
          <w:spacing w:val="-180"/>
        </w:rPr>
        <w:t>）</w:t>
      </w:r>
      <w:r>
        <w:rPr>
          <w:spacing w:val="-15"/>
        </w:rPr>
        <w:t>、</w:t>
      </w:r>
      <w:r>
        <w:t>仰角、装灯方向宜保持一致。</w:t>
      </w:r>
    </w:p>
    <w:p>
      <w:pPr>
        <w:pStyle w:val="ListParagraph"/>
        <w:numPr>
          <w:ilvl w:val="5"/>
          <w:numId w:val="25"/>
        </w:numPr>
        <w:tabs>
          <w:tab w:val="left" w:pos="3311"/>
        </w:tabs>
        <w:spacing w:before="3" w:after="0" w:line="240" w:lineRule="auto"/>
        <w:ind w:left="3310" w:right="0" w:hanging="2071"/>
        <w:jc w:val="left"/>
        <w:rPr>
          <w:sz w:val="36"/>
        </w:rPr>
      </w:pPr>
      <w:r>
        <w:rPr>
          <w:sz w:val="36"/>
        </w:rPr>
        <w:t>接地接零保护</w:t>
      </w:r>
    </w:p>
    <w:p>
      <w:pPr>
        <w:pStyle w:val="BodyText"/>
        <w:spacing w:before="241" w:line="364" w:lineRule="auto"/>
        <w:ind w:left="520" w:right="1478" w:firstLine="719"/>
      </w:pPr>
      <w:r>
        <w:t>1、在中性点直接接地的路灯低压网中，金属灯杆及电气设备的外壳宜采用低压接零保护。</w:t>
      </w:r>
    </w:p>
    <w:p>
      <w:pPr>
        <w:pStyle w:val="ListParagraph"/>
        <w:numPr>
          <w:ilvl w:val="0"/>
          <w:numId w:val="8"/>
        </w:numPr>
        <w:tabs>
          <w:tab w:val="left" w:pos="2142"/>
        </w:tabs>
        <w:spacing w:before="2" w:after="0" w:line="364" w:lineRule="auto"/>
        <w:ind w:left="520" w:right="1441" w:firstLine="719"/>
        <w:jc w:val="both"/>
        <w:rPr>
          <w:sz w:val="36"/>
        </w:rPr>
      </w:pPr>
      <w:r>
        <w:rPr>
          <w:sz w:val="36"/>
        </w:rPr>
        <w:t>在保护接零系统中，用熔断器做保护装置时，单相短路电流不应小于</w:t>
      </w:r>
      <w:r>
        <w:rPr>
          <w:spacing w:val="-9"/>
          <w:sz w:val="36"/>
        </w:rPr>
        <w:t xml:space="preserve">熔断片额定熔断电流的 </w:t>
      </w:r>
      <w:r>
        <w:rPr>
          <w:sz w:val="36"/>
        </w:rPr>
        <w:t>4</w:t>
      </w:r>
      <w:r>
        <w:rPr>
          <w:spacing w:val="-17"/>
          <w:sz w:val="36"/>
        </w:rPr>
        <w:t xml:space="preserve"> 倍；用自动开关做保护装置时，单相短路电流不应小于</w:t>
      </w:r>
      <w:r>
        <w:rPr>
          <w:spacing w:val="-6"/>
          <w:sz w:val="36"/>
        </w:rPr>
        <w:t xml:space="preserve">自动开关瞬时或延时动作电流的 </w:t>
      </w:r>
      <w:r>
        <w:rPr>
          <w:sz w:val="36"/>
        </w:rPr>
        <w:t>1.5</w:t>
      </w:r>
      <w:r>
        <w:rPr>
          <w:spacing w:val="-30"/>
          <w:sz w:val="36"/>
        </w:rPr>
        <w:t xml:space="preserve"> 倍。</w:t>
      </w:r>
    </w:p>
    <w:p>
      <w:pPr>
        <w:pStyle w:val="ListParagraph"/>
        <w:numPr>
          <w:ilvl w:val="0"/>
          <w:numId w:val="8"/>
        </w:numPr>
        <w:tabs>
          <w:tab w:val="left" w:pos="2142"/>
        </w:tabs>
        <w:spacing w:before="3" w:after="0" w:line="364" w:lineRule="auto"/>
        <w:ind w:left="520" w:right="1435" w:firstLine="719"/>
        <w:jc w:val="both"/>
        <w:rPr>
          <w:sz w:val="36"/>
        </w:rPr>
      </w:pPr>
      <w:r>
        <w:rPr>
          <w:spacing w:val="-4"/>
          <w:sz w:val="36"/>
        </w:rPr>
        <w:t xml:space="preserve">保护零线和相线的材质应相同，当相线的截面在 </w:t>
      </w:r>
      <w:r>
        <w:rPr>
          <w:sz w:val="36"/>
        </w:rPr>
        <w:t>35mm2</w:t>
      </w:r>
      <w:r>
        <w:rPr>
          <w:spacing w:val="-13"/>
          <w:sz w:val="36"/>
        </w:rPr>
        <w:t xml:space="preserve"> 及以下时，保</w:t>
      </w:r>
      <w:r>
        <w:rPr>
          <w:spacing w:val="-5"/>
          <w:sz w:val="36"/>
        </w:rPr>
        <w:t xml:space="preserve">护零线的最小截面应为 </w:t>
      </w:r>
      <w:r>
        <w:rPr>
          <w:sz w:val="36"/>
        </w:rPr>
        <w:t>16 mm2；</w:t>
      </w:r>
      <w:r>
        <w:rPr>
          <w:spacing w:val="-6"/>
          <w:sz w:val="36"/>
        </w:rPr>
        <w:t xml:space="preserve">当相线的截面在 </w:t>
      </w:r>
      <w:r>
        <w:rPr>
          <w:sz w:val="36"/>
        </w:rPr>
        <w:t>35mm2</w:t>
      </w:r>
      <w:r>
        <w:rPr>
          <w:spacing w:val="-8"/>
          <w:sz w:val="36"/>
        </w:rPr>
        <w:t xml:space="preserve"> 及以上时，保护零线的</w:t>
      </w:r>
      <w:r>
        <w:rPr>
          <w:spacing w:val="-7"/>
          <w:sz w:val="36"/>
        </w:rPr>
        <w:t xml:space="preserve">最小截面不应小于相线截面的 </w:t>
      </w:r>
      <w:r>
        <w:rPr>
          <w:sz w:val="36"/>
        </w:rPr>
        <w:t>50%。</w:t>
      </w:r>
    </w:p>
    <w:p>
      <w:pPr>
        <w:pStyle w:val="ListParagraph"/>
        <w:numPr>
          <w:ilvl w:val="0"/>
          <w:numId w:val="8"/>
        </w:numPr>
        <w:tabs>
          <w:tab w:val="left" w:pos="2142"/>
        </w:tabs>
        <w:spacing w:before="3" w:after="0" w:line="364" w:lineRule="auto"/>
        <w:ind w:left="520" w:right="1478" w:firstLine="719"/>
        <w:jc w:val="both"/>
        <w:rPr>
          <w:sz w:val="36"/>
        </w:rPr>
      </w:pPr>
      <w:r>
        <w:rPr>
          <w:spacing w:val="-1"/>
          <w:sz w:val="36"/>
        </w:rPr>
        <w:t>保护接零时，在线路分支，首端及末端应安装重复接地装置，接地装</w:t>
      </w:r>
      <w:r>
        <w:rPr>
          <w:spacing w:val="-9"/>
          <w:sz w:val="36"/>
        </w:rPr>
        <w:t xml:space="preserve">置的接地电阻不应大于 </w:t>
      </w:r>
      <w:r>
        <w:rPr>
          <w:sz w:val="36"/>
        </w:rPr>
        <w:t>10</w:t>
      </w:r>
      <w:r>
        <w:rPr>
          <w:spacing w:val="-30"/>
          <w:sz w:val="36"/>
        </w:rPr>
        <w:t xml:space="preserve"> 欧。</w:t>
      </w:r>
    </w:p>
    <w:p>
      <w:pPr>
        <w:pStyle w:val="ListParagraph"/>
        <w:numPr>
          <w:ilvl w:val="0"/>
          <w:numId w:val="8"/>
        </w:numPr>
        <w:tabs>
          <w:tab w:val="left" w:pos="2142"/>
        </w:tabs>
        <w:spacing w:before="2" w:after="0" w:line="364" w:lineRule="auto"/>
        <w:ind w:left="520" w:right="1262" w:firstLine="719"/>
        <w:jc w:val="both"/>
        <w:rPr>
          <w:sz w:val="36"/>
        </w:rPr>
      </w:pPr>
      <w:r>
        <w:rPr>
          <w:spacing w:val="-7"/>
          <w:sz w:val="36"/>
        </w:rPr>
        <w:t>在用电设备较少且分散，采用接零保护确有困难且土壤电阻率较低时</w:t>
      </w:r>
      <w:r>
        <w:rPr>
          <w:spacing w:val="-9"/>
          <w:sz w:val="36"/>
        </w:rPr>
        <w:t xml:space="preserve">，可采用低压接地保护，金属灯杆的接地电阻不应大于 </w:t>
      </w:r>
      <w:r>
        <w:rPr>
          <w:sz w:val="36"/>
        </w:rPr>
        <w:t>4</w:t>
      </w:r>
      <w:r>
        <w:rPr>
          <w:spacing w:val="-30"/>
          <w:sz w:val="36"/>
        </w:rPr>
        <w:t xml:space="preserve"> 欧。</w:t>
      </w:r>
    </w:p>
    <w:p>
      <w:pPr>
        <w:pStyle w:val="ListParagraph"/>
        <w:numPr>
          <w:ilvl w:val="5"/>
          <w:numId w:val="25"/>
        </w:numPr>
        <w:tabs>
          <w:tab w:val="left" w:pos="3401"/>
        </w:tabs>
        <w:spacing w:before="2" w:after="0" w:line="240" w:lineRule="auto"/>
        <w:ind w:left="3400" w:right="0" w:hanging="2161"/>
        <w:jc w:val="both"/>
        <w:rPr>
          <w:sz w:val="36"/>
        </w:rPr>
      </w:pPr>
      <w:r>
        <w:rPr>
          <w:sz w:val="36"/>
        </w:rPr>
        <w:t>接线</w:t>
      </w:r>
    </w:p>
    <w:p>
      <w:pPr>
        <w:pStyle w:val="BodyText"/>
        <w:spacing w:before="241" w:line="364" w:lineRule="auto"/>
        <w:ind w:left="520" w:right="1478" w:firstLine="719"/>
      </w:pPr>
      <w:r>
        <w:t>1、调整电源电缆和灯具配电导线在接线盒内的位置，并截取适当长度，削好线芯。</w:t>
      </w:r>
    </w:p>
    <w:p>
      <w:pPr>
        <w:pStyle w:val="BodyText"/>
        <w:spacing w:before="2"/>
        <w:ind w:left="1240"/>
      </w:pPr>
      <w:r>
        <w:t>2、将电源电缆和灯具配电导线分别压接在短路器的进出线两侧。</w:t>
      </w:r>
    </w:p>
    <w:p>
      <w:pPr>
        <w:pStyle w:val="BodyText"/>
        <w:spacing w:before="240"/>
        <w:ind w:left="1240"/>
      </w:pPr>
      <w:r>
        <w:t>3、有关接线标准必须综合《城市道路照明工程施工及验收规范》的规定。</w:t>
      </w:r>
    </w:p>
    <w:p>
      <w:pPr>
        <w:pStyle w:val="ListParagraph"/>
        <w:numPr>
          <w:ilvl w:val="5"/>
          <w:numId w:val="25"/>
        </w:numPr>
        <w:tabs>
          <w:tab w:val="left" w:pos="3311"/>
        </w:tabs>
        <w:spacing w:before="241" w:after="0" w:line="240" w:lineRule="auto"/>
        <w:ind w:left="3310" w:right="0" w:hanging="2071"/>
        <w:jc w:val="left"/>
        <w:rPr>
          <w:sz w:val="36"/>
        </w:rPr>
      </w:pPr>
      <w:r>
        <w:rPr>
          <w:sz w:val="36"/>
        </w:rPr>
        <w:t>路灯控制系统安装</w:t>
      </w:r>
    </w:p>
    <w:p>
      <w:pPr>
        <w:pStyle w:val="BodyText"/>
        <w:spacing w:before="241"/>
        <w:ind w:left="1240"/>
      </w:pPr>
      <w:r>
        <w:t>1、路灯运行控制采用自动及手动控制的方式。</w:t>
      </w:r>
    </w:p>
    <w:p>
      <w:pPr>
        <w:pStyle w:val="BodyText"/>
        <w:spacing w:before="241"/>
        <w:ind w:left="1240"/>
      </w:pPr>
      <w:r>
        <w:t>2、路灯的开、关灯动作，宜设在自然光的照度值 2~10LX。</w:t>
      </w:r>
    </w:p>
    <w:p>
      <w:pPr>
        <w:pStyle w:val="BodyText"/>
        <w:spacing w:before="241" w:line="364" w:lineRule="auto"/>
        <w:ind w:left="520" w:right="1478" w:firstLine="719"/>
      </w:pPr>
      <w:r>
        <w:t>3、路灯控制系统的安装应符合国家现行标准《城市道路照明工程施工及验收规程》的规定。</w:t>
      </w:r>
    </w:p>
    <w:p>
      <w:pPr>
        <w:pStyle w:val="ListParagraph"/>
        <w:numPr>
          <w:ilvl w:val="5"/>
          <w:numId w:val="25"/>
        </w:numPr>
        <w:tabs>
          <w:tab w:val="left" w:pos="3311"/>
        </w:tabs>
        <w:spacing w:before="2" w:after="0" w:line="364" w:lineRule="auto"/>
        <w:ind w:left="520" w:right="1388" w:firstLine="719"/>
        <w:jc w:val="left"/>
        <w:rPr>
          <w:sz w:val="36"/>
        </w:rPr>
      </w:pPr>
      <w:r>
        <w:rPr>
          <w:spacing w:val="-1"/>
          <w:sz w:val="36"/>
        </w:rPr>
        <w:t>绝缘测试：接、焊、包全部完成后，应检查导线接、焊、包是</w:t>
      </w:r>
      <w:r>
        <w:rPr>
          <w:sz w:val="36"/>
        </w:rPr>
        <w:t>否符合施工验收规范及质量验评标准的规定。检查无误后再进行绝缘测试。</w:t>
      </w:r>
    </w:p>
    <w:p>
      <w:pPr>
        <w:pStyle w:val="BodyText"/>
        <w:spacing w:before="2" w:line="364" w:lineRule="auto"/>
        <w:ind w:left="520" w:right="1421" w:firstLine="719"/>
      </w:pPr>
      <w:r>
        <w:t>1</w:t>
      </w:r>
      <w:r>
        <w:rPr>
          <w:spacing w:val="-8"/>
        </w:rPr>
        <w:t xml:space="preserve">、照明线路的绝缘摇测一般选用 </w:t>
      </w:r>
      <w:r>
        <w:t>500V，</w:t>
      </w:r>
      <w:r>
        <w:rPr>
          <w:spacing w:val="-27"/>
        </w:rPr>
        <w:t xml:space="preserve">量程为 </w:t>
      </w:r>
      <w:r>
        <w:t>1~500</w:t>
      </w:r>
      <w:r>
        <w:rPr>
          <w:spacing w:val="-13"/>
        </w:rPr>
        <w:t xml:space="preserve"> 兆欧兆欧表。绝缘阻</w:t>
      </w:r>
      <w:r>
        <w:rPr>
          <w:spacing w:val="-16"/>
        </w:rPr>
        <w:t xml:space="preserve">值应不小于 </w:t>
      </w:r>
      <w:r>
        <w:t>1</w:t>
      </w:r>
      <w:r>
        <w:rPr>
          <w:spacing w:val="-23"/>
        </w:rPr>
        <w:t xml:space="preserve"> 兆欧。</w:t>
      </w:r>
    </w:p>
    <w:p>
      <w:pPr>
        <w:spacing w:after="0" w:line="364" w:lineRule="auto"/>
        <w:sectPr>
          <w:pgSz w:w="17860" w:h="25260"/>
          <w:pgMar w:top="1920" w:right="1260" w:bottom="280" w:left="2180" w:header="708" w:footer="708"/>
          <w:pgNumType w:start="12"/>
          <w:cols w:space="708"/>
        </w:sectPr>
      </w:pPr>
    </w:p>
    <w:p>
      <w:pPr>
        <w:pStyle w:val="BodyText"/>
        <w:spacing w:before="32"/>
        <w:ind w:left="1240"/>
      </w:pPr>
      <w:r>
        <w:drawing>
          <wp:anchor distT="0" distB="0" distL="0" distR="0" simplePos="0" relativeHeight="251676672"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2、照明绝缘线路绝缘摇测按下面的两步进行：</w:t>
      </w:r>
    </w:p>
    <w:p>
      <w:pPr>
        <w:pStyle w:val="BodyText"/>
        <w:spacing w:before="241" w:line="364" w:lineRule="auto"/>
        <w:ind w:left="520" w:right="1262" w:firstLine="719"/>
      </w:pPr>
      <w:r>
        <w:rPr>
          <w:spacing w:val="-19"/>
        </w:rPr>
        <w:t xml:space="preserve">首先将路灯接线盒内导线分开，开关处导线连通。摇测应将干线和支线分开， </w:t>
      </w:r>
      <w:r>
        <w:t>一人摇测，一人应及时读数并记录。</w:t>
      </w:r>
    </w:p>
    <w:p>
      <w:pPr>
        <w:pStyle w:val="BodyText"/>
        <w:spacing w:before="2" w:line="364" w:lineRule="auto"/>
        <w:ind w:left="520" w:right="1296" w:firstLine="719"/>
      </w:pPr>
      <w:r>
        <w:t>电气器具全部安装完在送电前进行绝缘摇测时，按系统、按线路摇测绝缘电阻。应先将线路上的开关、刀闸、仪表、设备等用电开关全部置于断开位置，摇测方法同上所述，确认绝缘摇测无误后再进行送电试运行。</w:t>
      </w:r>
    </w:p>
    <w:p>
      <w:pPr>
        <w:pStyle w:val="ListParagraph"/>
        <w:numPr>
          <w:ilvl w:val="5"/>
          <w:numId w:val="10"/>
        </w:numPr>
        <w:tabs>
          <w:tab w:val="left" w:pos="3311"/>
        </w:tabs>
        <w:spacing w:before="3" w:after="0" w:line="364" w:lineRule="auto"/>
        <w:ind w:left="520" w:right="1296" w:firstLine="719"/>
        <w:jc w:val="left"/>
        <w:rPr>
          <w:sz w:val="36"/>
        </w:rPr>
      </w:pPr>
      <w:r>
        <w:rPr>
          <w:sz w:val="36"/>
        </w:rPr>
        <w:t>试运行：试运行时首先通电，通电后应仔细检查和巡视，检查</w:t>
      </w:r>
      <w:r>
        <w:rPr>
          <w:spacing w:val="-1"/>
          <w:sz w:val="36"/>
        </w:rPr>
        <w:t>灯具的控制是否灵活、准确；电器元件是否正常，如果发现问题必须先断电，然</w:t>
      </w:r>
      <w:r>
        <w:rPr>
          <w:spacing w:val="-10"/>
          <w:sz w:val="36"/>
        </w:rPr>
        <w:t>后查找原因进行修复。修复后，重新进行通电试运行，合格后填写通电试运行记录。</w:t>
      </w:r>
    </w:p>
    <w:p>
      <w:pPr>
        <w:pStyle w:val="ListParagraph"/>
        <w:numPr>
          <w:ilvl w:val="3"/>
          <w:numId w:val="7"/>
        </w:numPr>
        <w:tabs>
          <w:tab w:val="left" w:pos="2591"/>
        </w:tabs>
        <w:spacing w:before="4" w:after="0" w:line="240" w:lineRule="auto"/>
        <w:ind w:left="2590" w:right="0" w:hanging="1351"/>
        <w:jc w:val="left"/>
        <w:rPr>
          <w:sz w:val="36"/>
        </w:rPr>
      </w:pPr>
      <w:r>
        <w:rPr>
          <w:sz w:val="36"/>
        </w:rPr>
        <w:t>质量标准</w:t>
      </w:r>
    </w:p>
    <w:p>
      <w:pPr>
        <w:pStyle w:val="ListParagraph"/>
        <w:numPr>
          <w:ilvl w:val="4"/>
          <w:numId w:val="7"/>
        </w:numPr>
        <w:tabs>
          <w:tab w:val="left" w:pos="2951"/>
        </w:tabs>
        <w:spacing w:before="241" w:after="0" w:line="240" w:lineRule="auto"/>
        <w:ind w:left="2950" w:right="0" w:hanging="1711"/>
        <w:jc w:val="left"/>
        <w:rPr>
          <w:sz w:val="36"/>
        </w:rPr>
      </w:pPr>
      <w:r>
        <w:rPr>
          <w:sz w:val="36"/>
        </w:rPr>
        <w:t>主控项目</w:t>
      </w:r>
    </w:p>
    <w:p>
      <w:pPr>
        <w:pStyle w:val="ListParagraph"/>
        <w:numPr>
          <w:ilvl w:val="5"/>
          <w:numId w:val="7"/>
        </w:numPr>
        <w:tabs>
          <w:tab w:val="left" w:pos="3311"/>
        </w:tabs>
        <w:spacing w:before="240" w:after="0" w:line="240" w:lineRule="auto"/>
        <w:ind w:left="3310" w:right="0" w:hanging="2071"/>
        <w:jc w:val="left"/>
        <w:rPr>
          <w:sz w:val="36"/>
        </w:rPr>
      </w:pPr>
      <w:r>
        <w:rPr>
          <w:sz w:val="36"/>
        </w:rPr>
        <w:t>电杆及金属附件均应可靠接地。</w:t>
      </w:r>
    </w:p>
    <w:p>
      <w:pPr>
        <w:pStyle w:val="ListParagraph"/>
        <w:numPr>
          <w:ilvl w:val="5"/>
          <w:numId w:val="7"/>
        </w:numPr>
        <w:tabs>
          <w:tab w:val="left" w:pos="3311"/>
        </w:tabs>
        <w:spacing w:before="241" w:after="0" w:line="364" w:lineRule="auto"/>
        <w:ind w:left="520" w:right="1436" w:firstLine="719"/>
        <w:jc w:val="left"/>
        <w:rPr>
          <w:sz w:val="36"/>
        </w:rPr>
      </w:pPr>
      <w:r>
        <w:rPr>
          <w:spacing w:val="-4"/>
          <w:sz w:val="36"/>
        </w:rPr>
        <w:t>不的用落铝导线以及电缆金属护套层做接地线。接地线不得兼</w:t>
      </w:r>
      <w:r>
        <w:rPr>
          <w:sz w:val="36"/>
        </w:rPr>
        <w:t>作他用。</w:t>
      </w:r>
    </w:p>
    <w:p>
      <w:pPr>
        <w:pStyle w:val="ListParagraph"/>
        <w:numPr>
          <w:ilvl w:val="5"/>
          <w:numId w:val="7"/>
        </w:numPr>
        <w:tabs>
          <w:tab w:val="left" w:pos="3311"/>
        </w:tabs>
        <w:spacing w:before="2" w:after="0" w:line="364" w:lineRule="auto"/>
        <w:ind w:left="520" w:right="1388" w:firstLine="719"/>
        <w:jc w:val="left"/>
        <w:rPr>
          <w:sz w:val="36"/>
        </w:rPr>
      </w:pPr>
      <w:r>
        <w:rPr>
          <w:spacing w:val="-1"/>
          <w:sz w:val="36"/>
        </w:rPr>
        <w:t>采用接零保护时，单相开关应装在相线上，保护零线上严禁装</w:t>
      </w:r>
      <w:r>
        <w:rPr>
          <w:sz w:val="36"/>
        </w:rPr>
        <w:t>设开关或熔断器。</w:t>
      </w:r>
    </w:p>
    <w:p>
      <w:pPr>
        <w:pStyle w:val="ListParagraph"/>
        <w:numPr>
          <w:ilvl w:val="5"/>
          <w:numId w:val="7"/>
        </w:numPr>
        <w:tabs>
          <w:tab w:val="left" w:pos="3408"/>
        </w:tabs>
        <w:spacing w:before="2" w:after="0" w:line="364" w:lineRule="auto"/>
        <w:ind w:left="520" w:right="1649" w:firstLine="719"/>
        <w:jc w:val="left"/>
        <w:rPr>
          <w:sz w:val="36"/>
        </w:rPr>
      </w:pPr>
      <w:r>
        <w:rPr>
          <w:spacing w:val="-1"/>
          <w:sz w:val="36"/>
        </w:rPr>
        <w:t>采用法兰底座固定金属灯杆的螺栓数量不少于灯杆法兰底座</w:t>
      </w:r>
      <w:r>
        <w:rPr>
          <w:sz w:val="36"/>
        </w:rPr>
        <w:t>上的固定孔数，且螺栓直径与底座孔径相适配；螺栓采用双螺母锁固。</w:t>
      </w:r>
    </w:p>
    <w:p>
      <w:pPr>
        <w:pStyle w:val="ListParagraph"/>
        <w:numPr>
          <w:ilvl w:val="4"/>
          <w:numId w:val="7"/>
        </w:numPr>
        <w:tabs>
          <w:tab w:val="left" w:pos="3041"/>
        </w:tabs>
        <w:spacing w:before="2" w:after="0" w:line="240" w:lineRule="auto"/>
        <w:ind w:left="3040" w:right="0" w:hanging="1801"/>
        <w:jc w:val="left"/>
        <w:rPr>
          <w:sz w:val="36"/>
        </w:rPr>
      </w:pPr>
      <w:r>
        <w:rPr>
          <w:sz w:val="36"/>
        </w:rPr>
        <w:t>一般项目</w:t>
      </w:r>
    </w:p>
    <w:p>
      <w:pPr>
        <w:pStyle w:val="ListParagraph"/>
        <w:numPr>
          <w:ilvl w:val="5"/>
          <w:numId w:val="7"/>
        </w:numPr>
        <w:tabs>
          <w:tab w:val="left" w:pos="3311"/>
        </w:tabs>
        <w:spacing w:before="241" w:after="0" w:line="364" w:lineRule="auto"/>
        <w:ind w:left="520" w:right="1388" w:firstLine="719"/>
        <w:jc w:val="left"/>
        <w:rPr>
          <w:sz w:val="36"/>
        </w:rPr>
      </w:pPr>
      <w:r>
        <w:rPr>
          <w:spacing w:val="-1"/>
          <w:sz w:val="36"/>
        </w:rPr>
        <w:t>在灯臂、灯盘、灯杆内穿线不得有接头，穿线孔口或管口应光</w:t>
      </w:r>
      <w:r>
        <w:rPr>
          <w:sz w:val="36"/>
        </w:rPr>
        <w:t>滑、无毛刺。</w:t>
      </w:r>
    </w:p>
    <w:p>
      <w:pPr>
        <w:pStyle w:val="ListParagraph"/>
        <w:numPr>
          <w:ilvl w:val="5"/>
          <w:numId w:val="7"/>
        </w:numPr>
        <w:tabs>
          <w:tab w:val="left" w:pos="3401"/>
        </w:tabs>
        <w:spacing w:before="2" w:after="0" w:line="240" w:lineRule="auto"/>
        <w:ind w:left="3400" w:right="0" w:hanging="2161"/>
        <w:jc w:val="left"/>
        <w:rPr>
          <w:sz w:val="36"/>
        </w:rPr>
      </w:pPr>
      <w:r>
        <w:rPr>
          <w:sz w:val="36"/>
        </w:rPr>
        <w:t>进入接线盒垂直管子上口穿缆后管口应密封处理良好。</w:t>
      </w:r>
    </w:p>
    <w:p>
      <w:pPr>
        <w:pStyle w:val="ListParagraph"/>
        <w:numPr>
          <w:ilvl w:val="5"/>
          <w:numId w:val="7"/>
        </w:numPr>
        <w:tabs>
          <w:tab w:val="left" w:pos="3311"/>
        </w:tabs>
        <w:spacing w:before="241" w:after="0" w:line="364" w:lineRule="auto"/>
        <w:ind w:left="520" w:right="1388" w:firstLine="719"/>
        <w:jc w:val="left"/>
        <w:rPr>
          <w:sz w:val="36"/>
        </w:rPr>
      </w:pPr>
      <w:r>
        <w:rPr>
          <w:spacing w:val="-1"/>
          <w:sz w:val="36"/>
        </w:rPr>
        <w:t>保护接地线、中性线截面选用正确，线色符合规定，连接牢固</w:t>
      </w:r>
      <w:r>
        <w:rPr>
          <w:sz w:val="36"/>
        </w:rPr>
        <w:t>紧密。</w:t>
      </w:r>
    </w:p>
    <w:p>
      <w:pPr>
        <w:pStyle w:val="ListParagraph"/>
        <w:numPr>
          <w:ilvl w:val="5"/>
          <w:numId w:val="7"/>
        </w:numPr>
        <w:tabs>
          <w:tab w:val="left" w:pos="3311"/>
        </w:tabs>
        <w:spacing w:before="2" w:after="0" w:line="364" w:lineRule="auto"/>
        <w:ind w:left="520" w:right="1388" w:firstLine="719"/>
        <w:jc w:val="both"/>
        <w:rPr>
          <w:sz w:val="36"/>
        </w:rPr>
      </w:pPr>
      <w:r>
        <w:rPr>
          <w:spacing w:val="-1"/>
          <w:sz w:val="36"/>
        </w:rPr>
        <w:t>直线路段安装单、双挑路灯时，在无障碍等特殊情况下，灯间</w:t>
      </w:r>
      <w:r>
        <w:rPr>
          <w:sz w:val="36"/>
        </w:rPr>
        <w:t>距与设计间距的偏差应小于 2%。等感垂直偏差应小于半个杆稍，直线路段单、</w:t>
      </w:r>
      <w:r>
        <w:rPr>
          <w:spacing w:val="-10"/>
          <w:sz w:val="36"/>
        </w:rPr>
        <w:t>双挑灯排列成一直线时，灯杆横向位置偏移应小于半个杆根。钢灯杆安装时接线</w:t>
      </w:r>
      <w:r>
        <w:rPr>
          <w:spacing w:val="-15"/>
          <w:sz w:val="36"/>
        </w:rPr>
        <w:t>手孔朝向应一致，宜朝向人行道或慢车道侧。灯臂应固定牢靠，与道路纵向垂直</w:t>
      </w:r>
      <w:r>
        <w:rPr>
          <w:spacing w:val="-26"/>
          <w:sz w:val="36"/>
        </w:rPr>
        <w:t xml:space="preserve">偏差不应大于 </w:t>
      </w:r>
      <w:r>
        <w:rPr>
          <w:sz w:val="36"/>
        </w:rPr>
        <w:t>3°。</w:t>
      </w:r>
    </w:p>
    <w:p>
      <w:pPr>
        <w:spacing w:after="0" w:line="364" w:lineRule="auto"/>
        <w:jc w:val="both"/>
        <w:rPr>
          <w:sz w:val="36"/>
        </w:rPr>
        <w:sectPr>
          <w:pgSz w:w="17860" w:h="25260"/>
          <w:pgMar w:top="1920" w:right="1260" w:bottom="280" w:left="2180" w:header="708" w:footer="708"/>
          <w:pgNumType w:start="13"/>
          <w:cols w:space="708"/>
        </w:sectPr>
      </w:pPr>
    </w:p>
    <w:p>
      <w:pPr>
        <w:pStyle w:val="ListParagraph"/>
        <w:numPr>
          <w:ilvl w:val="2"/>
          <w:numId w:val="6"/>
        </w:numPr>
        <w:tabs>
          <w:tab w:val="left" w:pos="2321"/>
        </w:tabs>
        <w:spacing w:before="32" w:after="0" w:line="240" w:lineRule="auto"/>
        <w:ind w:left="2320" w:right="0" w:hanging="1081"/>
        <w:jc w:val="left"/>
        <w:rPr>
          <w:sz w:val="36"/>
        </w:rPr>
      </w:pPr>
      <w:r>
        <w:drawing>
          <wp:anchor distT="0" distB="0" distL="0" distR="0" simplePos="0" relativeHeight="251677696" behindDoc="1" locked="0" layoutInCell="1" allowOverlap="1">
            <wp:simplePos x="0" y="0"/>
            <wp:positionH relativeFrom="page">
              <wp:posOffset>0</wp:posOffset>
            </wp:positionH>
            <wp:positionV relativeFrom="page">
              <wp:posOffset>0</wp:posOffset>
            </wp:positionV>
            <wp:extent cx="11340845" cy="1584960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6"/>
        </w:rPr>
        <w:t>电气安全保护</w:t>
      </w:r>
    </w:p>
    <w:p>
      <w:pPr>
        <w:pStyle w:val="ListParagraph"/>
        <w:numPr>
          <w:ilvl w:val="3"/>
          <w:numId w:val="6"/>
        </w:numPr>
        <w:tabs>
          <w:tab w:val="left" w:pos="2861"/>
        </w:tabs>
        <w:spacing w:before="241" w:after="0" w:line="240" w:lineRule="auto"/>
        <w:ind w:left="2860" w:right="0" w:hanging="1621"/>
        <w:jc w:val="left"/>
        <w:rPr>
          <w:sz w:val="36"/>
        </w:rPr>
      </w:pPr>
      <w:r>
        <w:rPr>
          <w:sz w:val="36"/>
        </w:rPr>
        <w:t>注意事项</w:t>
      </w:r>
    </w:p>
    <w:p>
      <w:pPr>
        <w:pStyle w:val="ListParagraph"/>
        <w:numPr>
          <w:ilvl w:val="4"/>
          <w:numId w:val="6"/>
        </w:numPr>
        <w:tabs>
          <w:tab w:val="left" w:pos="3221"/>
        </w:tabs>
        <w:spacing w:before="241" w:after="0" w:line="364" w:lineRule="auto"/>
        <w:ind w:left="520" w:right="1478" w:firstLine="719"/>
        <w:jc w:val="left"/>
        <w:rPr>
          <w:sz w:val="36"/>
        </w:rPr>
      </w:pPr>
      <w:r>
        <w:rPr>
          <w:spacing w:val="-1"/>
          <w:sz w:val="36"/>
        </w:rPr>
        <w:t>电气设备的带电部分应有直接触摸保护装置，当设屏护时可用</w:t>
      </w:r>
      <w:r>
        <w:rPr>
          <w:sz w:val="36"/>
        </w:rPr>
        <w:t>绝缘措施。</w:t>
      </w:r>
    </w:p>
    <w:p>
      <w:pPr>
        <w:pStyle w:val="ListParagraph"/>
        <w:numPr>
          <w:ilvl w:val="4"/>
          <w:numId w:val="6"/>
        </w:numPr>
        <w:tabs>
          <w:tab w:val="left" w:pos="3221"/>
        </w:tabs>
        <w:spacing w:before="2" w:after="0" w:line="240" w:lineRule="auto"/>
        <w:ind w:left="3220" w:right="0" w:hanging="1981"/>
        <w:jc w:val="left"/>
        <w:rPr>
          <w:sz w:val="36"/>
        </w:rPr>
      </w:pPr>
      <w:r>
        <w:rPr>
          <w:sz w:val="36"/>
        </w:rPr>
        <w:t>电气装置下列金属部份应接零或接地：</w:t>
      </w:r>
    </w:p>
    <w:p>
      <w:pPr>
        <w:pStyle w:val="BodyText"/>
        <w:spacing w:before="240"/>
        <w:ind w:left="1240"/>
      </w:pPr>
      <w:r>
        <w:t>..配电箱的金属底座或壳应接地；</w:t>
      </w:r>
    </w:p>
    <w:p>
      <w:pPr>
        <w:pStyle w:val="BodyText"/>
        <w:spacing w:before="241"/>
        <w:ind w:left="1240"/>
      </w:pPr>
      <w:r>
        <w:t>..室外配电装置金属构架及靠近带电部位的金属遮拦和金属门；</w:t>
      </w:r>
    </w:p>
    <w:p>
      <w:pPr>
        <w:pStyle w:val="BodyText"/>
        <w:spacing w:before="241"/>
        <w:ind w:left="1240"/>
      </w:pPr>
      <w:r>
        <w:t>..电力电缆的金属护套、接线盒和保护管；</w:t>
      </w:r>
    </w:p>
    <w:p>
      <w:pPr>
        <w:pStyle w:val="BodyText"/>
        <w:spacing w:before="241"/>
        <w:ind w:left="1240"/>
      </w:pPr>
      <w:r>
        <w:t>..配电和路灯的金属灯塔</w:t>
      </w:r>
    </w:p>
    <w:p>
      <w:pPr>
        <w:pStyle w:val="BodyText"/>
        <w:spacing w:before="241"/>
        <w:ind w:left="1240"/>
      </w:pPr>
      <w:r>
        <w:t>..其它因绝缘破坏可能使其带电的外露导体。</w:t>
      </w:r>
    </w:p>
    <w:p>
      <w:pPr>
        <w:pStyle w:val="ListParagraph"/>
        <w:numPr>
          <w:ilvl w:val="4"/>
          <w:numId w:val="6"/>
        </w:numPr>
        <w:tabs>
          <w:tab w:val="left" w:pos="3221"/>
        </w:tabs>
        <w:spacing w:before="241" w:after="0" w:line="364" w:lineRule="auto"/>
        <w:ind w:left="1240" w:right="1478" w:firstLine="0"/>
        <w:jc w:val="left"/>
        <w:rPr>
          <w:sz w:val="36"/>
        </w:rPr>
      </w:pPr>
      <w:r>
        <w:rPr>
          <w:spacing w:val="-1"/>
          <w:sz w:val="36"/>
        </w:rPr>
        <w:t>不得利用蛇皮管、裸铝导线以及电缆金属护套层做接地线，接</w:t>
      </w:r>
      <w:r>
        <w:rPr>
          <w:sz w:val="36"/>
        </w:rPr>
        <w:t>地线不得兼做他用。</w:t>
      </w:r>
    </w:p>
    <w:p>
      <w:pPr>
        <w:pStyle w:val="ListParagraph"/>
        <w:numPr>
          <w:ilvl w:val="3"/>
          <w:numId w:val="6"/>
        </w:numPr>
        <w:tabs>
          <w:tab w:val="left" w:pos="2861"/>
        </w:tabs>
        <w:spacing w:before="2" w:after="0" w:line="240" w:lineRule="auto"/>
        <w:ind w:left="2860" w:right="0" w:hanging="1621"/>
        <w:jc w:val="left"/>
        <w:rPr>
          <w:sz w:val="36"/>
        </w:rPr>
      </w:pPr>
      <w:r>
        <w:rPr>
          <w:sz w:val="36"/>
        </w:rPr>
        <w:t>接零和接地保护</w:t>
      </w:r>
    </w:p>
    <w:p>
      <w:pPr>
        <w:pStyle w:val="ListParagraph"/>
        <w:numPr>
          <w:ilvl w:val="4"/>
          <w:numId w:val="6"/>
        </w:numPr>
        <w:tabs>
          <w:tab w:val="left" w:pos="3221"/>
        </w:tabs>
        <w:spacing w:before="240" w:after="0" w:line="364" w:lineRule="auto"/>
        <w:ind w:left="520" w:right="1478" w:firstLine="719"/>
        <w:jc w:val="left"/>
        <w:rPr>
          <w:sz w:val="36"/>
        </w:rPr>
      </w:pPr>
      <w:r>
        <w:rPr>
          <w:spacing w:val="-1"/>
          <w:sz w:val="36"/>
        </w:rPr>
        <w:t>在中性点直接接地的路灯低压网中，金属灯杆、配电箱等电气</w:t>
      </w:r>
      <w:r>
        <w:rPr>
          <w:sz w:val="36"/>
        </w:rPr>
        <w:t>设备的外壳采用低压接零保护。</w:t>
      </w:r>
    </w:p>
    <w:p>
      <w:pPr>
        <w:pStyle w:val="ListParagraph"/>
        <w:numPr>
          <w:ilvl w:val="4"/>
          <w:numId w:val="6"/>
        </w:numPr>
        <w:tabs>
          <w:tab w:val="left" w:pos="3221"/>
        </w:tabs>
        <w:spacing w:before="2" w:after="0" w:line="364" w:lineRule="auto"/>
        <w:ind w:left="520" w:right="1478" w:firstLine="719"/>
        <w:jc w:val="left"/>
        <w:rPr>
          <w:sz w:val="36"/>
        </w:rPr>
      </w:pPr>
      <w:r>
        <w:rPr>
          <w:spacing w:val="-1"/>
          <w:sz w:val="36"/>
        </w:rPr>
        <w:t>采用接零保护时，单相开关装在相线上，保护零线上严禁设开</w:t>
      </w:r>
      <w:r>
        <w:rPr>
          <w:sz w:val="36"/>
        </w:rPr>
        <w:t>关或熔断器。</w:t>
      </w:r>
    </w:p>
    <w:p>
      <w:pPr>
        <w:pStyle w:val="ListParagraph"/>
        <w:numPr>
          <w:ilvl w:val="4"/>
          <w:numId w:val="6"/>
        </w:numPr>
        <w:tabs>
          <w:tab w:val="left" w:pos="3221"/>
        </w:tabs>
        <w:spacing w:before="3" w:after="0" w:line="364" w:lineRule="auto"/>
        <w:ind w:left="520" w:right="1478" w:firstLine="719"/>
        <w:jc w:val="left"/>
        <w:rPr>
          <w:sz w:val="36"/>
        </w:rPr>
      </w:pPr>
      <w:r>
        <w:rPr>
          <w:spacing w:val="-1"/>
          <w:sz w:val="36"/>
        </w:rPr>
        <w:t xml:space="preserve">保护接零时，在线路分支、首端及末端应安装重复接地装置， </w:t>
      </w:r>
      <w:r>
        <w:rPr>
          <w:sz w:val="36"/>
        </w:rPr>
        <w:t>接地装置的接地电阻不应＞10</w:t>
      </w:r>
      <w:r>
        <w:rPr>
          <w:rFonts w:ascii="Arial" w:eastAsia="Arial" w:hAnsi="Arial"/>
          <w:sz w:val="36"/>
        </w:rPr>
        <w:t>Ω</w:t>
      </w:r>
      <w:r>
        <w:rPr>
          <w:rFonts w:ascii="Arial" w:eastAsia="Arial" w:hAnsi="Arial"/>
          <w:spacing w:val="-10"/>
          <w:sz w:val="36"/>
        </w:rPr>
        <w:t xml:space="preserve"> </w:t>
      </w:r>
      <w:r>
        <w:rPr>
          <w:sz w:val="36"/>
        </w:rPr>
        <w:t>。</w:t>
      </w:r>
    </w:p>
    <w:p>
      <w:pPr>
        <w:pStyle w:val="ListParagraph"/>
        <w:numPr>
          <w:ilvl w:val="4"/>
          <w:numId w:val="6"/>
        </w:numPr>
        <w:tabs>
          <w:tab w:val="left" w:pos="3221"/>
        </w:tabs>
        <w:spacing w:before="1" w:after="0" w:line="364" w:lineRule="auto"/>
        <w:ind w:left="520" w:right="1478" w:firstLine="719"/>
        <w:jc w:val="left"/>
        <w:rPr>
          <w:sz w:val="36"/>
        </w:rPr>
      </w:pPr>
      <w:r>
        <w:rPr>
          <w:spacing w:val="-1"/>
          <w:sz w:val="36"/>
        </w:rPr>
        <w:t>灯杆、配电箱等金属电力设备采用接地保护时，其接地电阻不</w:t>
      </w:r>
      <w:r>
        <w:rPr>
          <w:sz w:val="36"/>
        </w:rPr>
        <w:t>应＞4</w:t>
      </w:r>
      <w:r>
        <w:rPr>
          <w:rFonts w:ascii="Arial" w:eastAsia="Arial" w:hAnsi="Arial"/>
          <w:sz w:val="36"/>
        </w:rPr>
        <w:t>Ω</w:t>
      </w:r>
      <w:r>
        <w:rPr>
          <w:rFonts w:ascii="Arial" w:eastAsia="Arial" w:hAnsi="Arial"/>
          <w:spacing w:val="-10"/>
          <w:sz w:val="36"/>
        </w:rPr>
        <w:t xml:space="preserve"> </w:t>
      </w:r>
      <w:r>
        <w:rPr>
          <w:sz w:val="36"/>
        </w:rPr>
        <w:t>。</w:t>
      </w:r>
    </w:p>
    <w:p>
      <w:pPr>
        <w:pStyle w:val="ListParagraph"/>
        <w:numPr>
          <w:ilvl w:val="3"/>
          <w:numId w:val="6"/>
        </w:numPr>
        <w:tabs>
          <w:tab w:val="left" w:pos="2861"/>
        </w:tabs>
        <w:spacing w:before="2" w:after="0" w:line="240" w:lineRule="auto"/>
        <w:ind w:left="2860" w:right="0" w:hanging="1621"/>
        <w:jc w:val="left"/>
        <w:rPr>
          <w:sz w:val="36"/>
        </w:rPr>
      </w:pPr>
      <w:r>
        <w:rPr>
          <w:sz w:val="36"/>
        </w:rPr>
        <w:t>接地装置</w:t>
      </w:r>
    </w:p>
    <w:p>
      <w:pPr>
        <w:pStyle w:val="ListParagraph"/>
        <w:numPr>
          <w:ilvl w:val="4"/>
          <w:numId w:val="6"/>
        </w:numPr>
        <w:tabs>
          <w:tab w:val="left" w:pos="3235"/>
        </w:tabs>
        <w:spacing w:before="241" w:after="0" w:line="364" w:lineRule="auto"/>
        <w:ind w:left="520" w:right="1822" w:firstLine="719"/>
        <w:jc w:val="left"/>
        <w:rPr>
          <w:sz w:val="36"/>
        </w:rPr>
      </w:pPr>
      <w:r>
        <w:rPr>
          <w:spacing w:val="-1"/>
          <w:sz w:val="36"/>
        </w:rPr>
        <w:t>接地装置可利用配电装置的金属外壳和保护配电线路的金属</w:t>
      </w:r>
      <w:r>
        <w:rPr>
          <w:sz w:val="36"/>
        </w:rPr>
        <w:t>管。</w:t>
      </w:r>
    </w:p>
    <w:p>
      <w:pPr>
        <w:pStyle w:val="Heading2"/>
        <w:spacing w:before="122"/>
      </w:pPr>
      <w:r>
        <w:t>5、重点(关键)工序的施工方案、方法及措施</w:t>
      </w:r>
    </w:p>
    <w:p>
      <w:pPr>
        <w:pStyle w:val="BodyText"/>
        <w:spacing w:before="9"/>
        <w:rPr>
          <w:b/>
          <w:sz w:val="27"/>
        </w:rPr>
      </w:pPr>
    </w:p>
    <w:p>
      <w:pPr>
        <w:pStyle w:val="BodyText"/>
        <w:tabs>
          <w:tab w:val="left" w:pos="4124"/>
        </w:tabs>
        <w:spacing w:before="1" w:line="364" w:lineRule="auto"/>
        <w:ind w:left="520" w:right="2145" w:firstLine="781"/>
      </w:pPr>
      <w:r>
        <w:t>交通标志标牌制</w:t>
        <w:tab/>
      </w:r>
      <w:r>
        <w:rPr>
          <w:spacing w:val="43"/>
        </w:rPr>
        <w:t>安</w:t>
      </w:r>
      <w:r>
        <w:t>中</w:t>
      </w:r>
      <w:r>
        <w:rPr>
          <w:spacing w:val="83"/>
        </w:rPr>
        <w:t>钢</w:t>
      </w:r>
      <w:r>
        <w:rPr>
          <w:spacing w:val="28"/>
        </w:rPr>
        <w:t>(</w:t>
      </w:r>
      <w:r>
        <w:rPr>
          <w:spacing w:val="43"/>
        </w:rPr>
        <w:t>铁</w:t>
      </w:r>
      <w:r>
        <w:rPr>
          <w:spacing w:val="28"/>
        </w:rPr>
        <w:t>)</w:t>
      </w:r>
      <w:r>
        <w:t>构件镀锌、铝合金板表面处理、反光</w:t>
      </w:r>
      <w:r>
        <w:rPr>
          <w:spacing w:val="-15"/>
        </w:rPr>
        <w:t>膜</w:t>
      </w:r>
      <w:r>
        <w:t>的粘贴是确保施工质量的关键工序。</w:t>
      </w:r>
    </w:p>
    <w:p>
      <w:pPr>
        <w:pStyle w:val="ListParagraph"/>
        <w:numPr>
          <w:ilvl w:val="1"/>
          <w:numId w:val="5"/>
        </w:numPr>
        <w:tabs>
          <w:tab w:val="left" w:pos="1062"/>
        </w:tabs>
        <w:spacing w:before="1" w:after="0" w:line="240" w:lineRule="auto"/>
        <w:ind w:left="1061" w:right="0" w:hanging="542"/>
        <w:jc w:val="left"/>
        <w:rPr>
          <w:sz w:val="36"/>
        </w:rPr>
      </w:pPr>
      <w:r>
        <w:rPr>
          <w:sz w:val="36"/>
        </w:rPr>
        <w:t>、热浸镀锌</w:t>
      </w:r>
    </w:p>
    <w:p>
      <w:pPr>
        <w:pStyle w:val="BodyText"/>
        <w:spacing w:before="241"/>
        <w:ind w:left="1402"/>
      </w:pPr>
      <w:r>
        <w:t>⑴钢构件在镀锌处理前应进行除锈、酸洗等预处理，再将其浸入温度</w:t>
      </w:r>
    </w:p>
    <w:p>
      <w:pPr>
        <w:pStyle w:val="BodyText"/>
        <w:spacing w:before="241"/>
        <w:ind w:left="520"/>
      </w:pPr>
      <w:r>
        <w:t>450~480℃的锌液中，浸镀数分钟后再冷却存放。</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1" w:history="1">
        <w:r>
          <w:rPr>
            <w:rFonts w:ascii="SimSun" w:eastAsia="SimSun" w:hAnsi="SimSun" w:cs="SimSun"/>
            <w:b/>
            <w:bCs/>
            <w:color w:val="0000EE"/>
            <w:sz w:val="30"/>
            <w:szCs w:val="30"/>
            <w:u w:val="single" w:color="0000EE"/>
          </w:rPr>
          <w:t>https://d.book118.com/187101051166006042</w:t>
        </w:r>
      </w:hyperlink>
    </w:p>
    <w:p>
      <w:pPr>
        <w:spacing w:after="0"/>
      </w:pPr>
    </w:p>
    <w:sectPr>
      <w:pgSz w:w="17860" w:h="25260"/>
      <w:pgMar w:top="1920" w:right="1260" w:bottom="280" w:left="218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91094"/>
    <w:multiLevelType w:val="hybridMultilevel"/>
    <w:tmpl w:val="00000000"/>
    <w:lvl w:ilvl="0">
      <w:start w:val="3"/>
      <w:numFmt w:val="decimal"/>
      <w:lvlText w:val="%1"/>
      <w:lvlJc w:val="left"/>
      <w:pPr>
        <w:ind w:left="520" w:hanging="541"/>
        <w:jc w:val="left"/>
      </w:pPr>
      <w:rPr>
        <w:rFonts w:hint="default"/>
      </w:rPr>
    </w:lvl>
    <w:lvl w:ilvl="1">
      <w:start w:val="1"/>
      <w:numFmt w:val="decimal"/>
      <w:lvlText w:val="%1.%2"/>
      <w:lvlJc w:val="left"/>
      <w:pPr>
        <w:ind w:left="520" w:hanging="541"/>
        <w:jc w:val="left"/>
      </w:pPr>
      <w:rPr>
        <w:rFonts w:ascii="宋体" w:eastAsia="宋体" w:hAnsi="宋体" w:cs="宋体" w:hint="default"/>
        <w:spacing w:val="-11"/>
        <w:w w:val="100"/>
        <w:sz w:val="34"/>
        <w:szCs w:val="34"/>
      </w:rPr>
    </w:lvl>
    <w:lvl w:ilvl="2">
      <w:start w:val="1"/>
      <w:numFmt w:val="decimal"/>
      <w:lvlText w:val="(%3)"/>
      <w:lvlJc w:val="left"/>
      <w:pPr>
        <w:ind w:left="520" w:hanging="544"/>
        <w:jc w:val="right"/>
      </w:pPr>
      <w:rPr>
        <w:rFonts w:ascii="宋体" w:eastAsia="宋体" w:hAnsi="宋体" w:cs="宋体" w:hint="default"/>
        <w:w w:val="100"/>
        <w:sz w:val="34"/>
        <w:szCs w:val="34"/>
      </w:rPr>
    </w:lvl>
    <w:lvl w:ilvl="3">
      <w:start w:val="0"/>
      <w:numFmt w:val="bullet"/>
      <w:lvlText w:val="•"/>
      <w:lvlJc w:val="left"/>
      <w:pPr>
        <w:ind w:left="4573" w:hanging="544"/>
      </w:pPr>
      <w:rPr>
        <w:rFonts w:hint="default"/>
      </w:rPr>
    </w:lvl>
    <w:lvl w:ilvl="4">
      <w:start w:val="0"/>
      <w:numFmt w:val="bullet"/>
      <w:lvlText w:val="•"/>
      <w:lvlJc w:val="left"/>
      <w:pPr>
        <w:ind w:left="5979" w:hanging="544"/>
      </w:pPr>
      <w:rPr>
        <w:rFonts w:hint="default"/>
      </w:rPr>
    </w:lvl>
    <w:lvl w:ilvl="5">
      <w:start w:val="0"/>
      <w:numFmt w:val="bullet"/>
      <w:lvlText w:val="•"/>
      <w:lvlJc w:val="left"/>
      <w:pPr>
        <w:ind w:left="7386" w:hanging="544"/>
      </w:pPr>
      <w:rPr>
        <w:rFonts w:hint="default"/>
      </w:rPr>
    </w:lvl>
    <w:lvl w:ilvl="6">
      <w:start w:val="0"/>
      <w:numFmt w:val="bullet"/>
      <w:lvlText w:val="•"/>
      <w:lvlJc w:val="left"/>
      <w:pPr>
        <w:ind w:left="8793" w:hanging="544"/>
      </w:pPr>
      <w:rPr>
        <w:rFonts w:hint="default"/>
      </w:rPr>
    </w:lvl>
    <w:lvl w:ilvl="7">
      <w:start w:val="0"/>
      <w:numFmt w:val="bullet"/>
      <w:lvlText w:val="•"/>
      <w:lvlJc w:val="left"/>
      <w:pPr>
        <w:ind w:left="10199" w:hanging="544"/>
      </w:pPr>
      <w:rPr>
        <w:rFonts w:hint="default"/>
      </w:rPr>
    </w:lvl>
    <w:lvl w:ilvl="8">
      <w:start w:val="0"/>
      <w:numFmt w:val="bullet"/>
      <w:lvlText w:val="•"/>
      <w:lvlJc w:val="left"/>
      <w:pPr>
        <w:ind w:left="11606" w:hanging="544"/>
      </w:pPr>
      <w:rPr>
        <w:rFonts w:hint="default"/>
      </w:rPr>
    </w:lvl>
  </w:abstractNum>
  <w:abstractNum w:abstractNumId="1">
    <w:nsid w:val="02F239F6"/>
    <w:multiLevelType w:val="hybridMultilevel"/>
    <w:tmpl w:val="00000000"/>
    <w:lvl w:ilvl="0">
      <w:start w:val="3"/>
      <w:numFmt w:val="decimal"/>
      <w:lvlText w:val="%1"/>
      <w:lvlJc w:val="left"/>
      <w:pPr>
        <w:ind w:left="1240" w:hanging="720"/>
        <w:jc w:val="left"/>
      </w:pPr>
      <w:rPr>
        <w:rFonts w:hint="default"/>
      </w:rPr>
    </w:lvl>
    <w:lvl w:ilvl="1">
      <w:start w:val="1"/>
      <w:numFmt w:val="decimal"/>
      <w:lvlText w:val="%1.%2"/>
      <w:lvlJc w:val="left"/>
      <w:pPr>
        <w:ind w:left="1240" w:hanging="720"/>
        <w:jc w:val="left"/>
      </w:pPr>
      <w:rPr>
        <w:rFonts w:ascii="宋体" w:eastAsia="宋体" w:hAnsi="宋体" w:cs="宋体" w:hint="default"/>
        <w:w w:val="100"/>
        <w:sz w:val="36"/>
        <w:szCs w:val="36"/>
      </w:rPr>
    </w:lvl>
    <w:lvl w:ilvl="2">
      <w:start w:val="0"/>
      <w:numFmt w:val="bullet"/>
      <w:lvlText w:val="•"/>
      <w:lvlJc w:val="left"/>
      <w:pPr>
        <w:ind w:left="3875" w:hanging="720"/>
      </w:pPr>
      <w:rPr>
        <w:rFonts w:hint="default"/>
      </w:rPr>
    </w:lvl>
    <w:lvl w:ilvl="3">
      <w:start w:val="0"/>
      <w:numFmt w:val="bullet"/>
      <w:lvlText w:val="•"/>
      <w:lvlJc w:val="left"/>
      <w:pPr>
        <w:ind w:left="5193" w:hanging="720"/>
      </w:pPr>
      <w:rPr>
        <w:rFonts w:hint="default"/>
      </w:rPr>
    </w:lvl>
    <w:lvl w:ilvl="4">
      <w:start w:val="0"/>
      <w:numFmt w:val="bullet"/>
      <w:lvlText w:val="•"/>
      <w:lvlJc w:val="left"/>
      <w:pPr>
        <w:ind w:left="6511" w:hanging="720"/>
      </w:pPr>
      <w:rPr>
        <w:rFonts w:hint="default"/>
      </w:rPr>
    </w:lvl>
    <w:lvl w:ilvl="5">
      <w:start w:val="0"/>
      <w:numFmt w:val="bullet"/>
      <w:lvlText w:val="•"/>
      <w:lvlJc w:val="left"/>
      <w:pPr>
        <w:ind w:left="7829" w:hanging="720"/>
      </w:pPr>
      <w:rPr>
        <w:rFonts w:hint="default"/>
      </w:rPr>
    </w:lvl>
    <w:lvl w:ilvl="6">
      <w:start w:val="0"/>
      <w:numFmt w:val="bullet"/>
      <w:lvlText w:val="•"/>
      <w:lvlJc w:val="left"/>
      <w:pPr>
        <w:ind w:left="9147" w:hanging="720"/>
      </w:pPr>
      <w:rPr>
        <w:rFonts w:hint="default"/>
      </w:rPr>
    </w:lvl>
    <w:lvl w:ilvl="7">
      <w:start w:val="0"/>
      <w:numFmt w:val="bullet"/>
      <w:lvlText w:val="•"/>
      <w:lvlJc w:val="left"/>
      <w:pPr>
        <w:ind w:left="10465" w:hanging="720"/>
      </w:pPr>
      <w:rPr>
        <w:rFonts w:hint="default"/>
      </w:rPr>
    </w:lvl>
    <w:lvl w:ilvl="8">
      <w:start w:val="0"/>
      <w:numFmt w:val="bullet"/>
      <w:lvlText w:val="•"/>
      <w:lvlJc w:val="left"/>
      <w:pPr>
        <w:ind w:left="11783" w:hanging="720"/>
      </w:pPr>
      <w:rPr>
        <w:rFonts w:hint="default"/>
      </w:rPr>
    </w:lvl>
  </w:abstractNum>
  <w:abstractNum w:abstractNumId="2">
    <w:nsid w:val="08A25E84"/>
    <w:multiLevelType w:val="hybridMultilevel"/>
    <w:tmpl w:val="00000000"/>
    <w:lvl w:ilvl="0">
      <w:start w:val="4"/>
      <w:numFmt w:val="decimal"/>
      <w:lvlText w:val="%1"/>
      <w:lvlJc w:val="left"/>
      <w:pPr>
        <w:ind w:left="2230" w:hanging="990"/>
        <w:jc w:val="left"/>
      </w:pPr>
      <w:rPr>
        <w:rFonts w:hint="default"/>
      </w:rPr>
    </w:lvl>
    <w:lvl w:ilvl="1">
      <w:start w:val="1"/>
      <w:numFmt w:val="decimal"/>
      <w:lvlText w:val="%1.%2"/>
      <w:lvlJc w:val="left"/>
      <w:pPr>
        <w:ind w:left="2230" w:hanging="990"/>
        <w:jc w:val="left"/>
      </w:pPr>
      <w:rPr>
        <w:rFonts w:hint="default"/>
      </w:rPr>
    </w:lvl>
    <w:lvl w:ilvl="2">
      <w:start w:val="3"/>
      <w:numFmt w:val="decimal"/>
      <w:lvlText w:val="%1.%2.%3"/>
      <w:lvlJc w:val="left"/>
      <w:pPr>
        <w:ind w:left="2230" w:hanging="990"/>
        <w:jc w:val="left"/>
      </w:pPr>
      <w:rPr>
        <w:rFonts w:ascii="宋体" w:eastAsia="宋体" w:hAnsi="宋体" w:cs="宋体" w:hint="default"/>
        <w:w w:val="100"/>
        <w:sz w:val="36"/>
        <w:szCs w:val="36"/>
      </w:rPr>
    </w:lvl>
    <w:lvl w:ilvl="3">
      <w:start w:val="1"/>
      <w:numFmt w:val="decimal"/>
      <w:lvlText w:val="%1.%2.%3.%4"/>
      <w:lvlJc w:val="left"/>
      <w:pPr>
        <w:ind w:left="2590" w:hanging="1350"/>
        <w:jc w:val="left"/>
      </w:pPr>
      <w:rPr>
        <w:rFonts w:ascii="宋体" w:eastAsia="宋体" w:hAnsi="宋体" w:cs="宋体" w:hint="default"/>
        <w:w w:val="100"/>
        <w:sz w:val="36"/>
        <w:szCs w:val="36"/>
      </w:rPr>
    </w:lvl>
    <w:lvl w:ilvl="4">
      <w:start w:val="1"/>
      <w:numFmt w:val="decimal"/>
      <w:lvlText w:val="%1.%2.%3.%4.%5"/>
      <w:lvlJc w:val="left"/>
      <w:pPr>
        <w:ind w:left="2950" w:hanging="1710"/>
        <w:jc w:val="left"/>
      </w:pPr>
      <w:rPr>
        <w:rFonts w:ascii="宋体" w:eastAsia="宋体" w:hAnsi="宋体" w:cs="宋体" w:hint="default"/>
        <w:w w:val="100"/>
        <w:sz w:val="36"/>
        <w:szCs w:val="36"/>
      </w:rPr>
    </w:lvl>
    <w:lvl w:ilvl="5">
      <w:start w:val="1"/>
      <w:numFmt w:val="decimal"/>
      <w:lvlText w:val="%1.%2.%3.%4.%5.%6"/>
      <w:lvlJc w:val="left"/>
      <w:pPr>
        <w:ind w:left="520" w:hanging="2070"/>
        <w:jc w:val="left"/>
      </w:pPr>
      <w:rPr>
        <w:rFonts w:ascii="宋体" w:eastAsia="宋体" w:hAnsi="宋体" w:cs="宋体" w:hint="default"/>
        <w:w w:val="100"/>
        <w:sz w:val="36"/>
        <w:szCs w:val="36"/>
      </w:rPr>
    </w:lvl>
    <w:lvl w:ilvl="6">
      <w:start w:val="0"/>
      <w:numFmt w:val="bullet"/>
      <w:lvlText w:val="•"/>
      <w:lvlJc w:val="left"/>
      <w:pPr>
        <w:ind w:left="7019" w:hanging="2070"/>
      </w:pPr>
      <w:rPr>
        <w:rFonts w:hint="default"/>
      </w:rPr>
    </w:lvl>
    <w:lvl w:ilvl="7">
      <w:start w:val="0"/>
      <w:numFmt w:val="bullet"/>
      <w:lvlText w:val="•"/>
      <w:lvlJc w:val="left"/>
      <w:pPr>
        <w:ind w:left="8869" w:hanging="2070"/>
      </w:pPr>
      <w:rPr>
        <w:rFonts w:hint="default"/>
      </w:rPr>
    </w:lvl>
    <w:lvl w:ilvl="8">
      <w:start w:val="0"/>
      <w:numFmt w:val="bullet"/>
      <w:lvlText w:val="•"/>
      <w:lvlJc w:val="left"/>
      <w:pPr>
        <w:ind w:left="10719" w:hanging="2070"/>
      </w:pPr>
      <w:rPr>
        <w:rFonts w:hint="default"/>
      </w:rPr>
    </w:lvl>
  </w:abstractNum>
  <w:abstractNum w:abstractNumId="3">
    <w:nsid w:val="128A706B"/>
    <w:multiLevelType w:val="hybridMultilevel"/>
    <w:tmpl w:val="00000000"/>
    <w:lvl w:ilvl="0">
      <w:start w:val="4"/>
      <w:numFmt w:val="decimal"/>
      <w:lvlText w:val="%1"/>
      <w:lvlJc w:val="left"/>
      <w:pPr>
        <w:ind w:left="2140" w:hanging="900"/>
        <w:jc w:val="left"/>
      </w:pPr>
      <w:rPr>
        <w:rFonts w:hint="default"/>
      </w:rPr>
    </w:lvl>
    <w:lvl w:ilvl="1">
      <w:start w:val="1"/>
      <w:numFmt w:val="decimal"/>
      <w:lvlText w:val="%1.%2"/>
      <w:lvlJc w:val="left"/>
      <w:pPr>
        <w:ind w:left="2140" w:hanging="900"/>
        <w:jc w:val="left"/>
      </w:pPr>
      <w:rPr>
        <w:rFonts w:ascii="宋体" w:eastAsia="宋体" w:hAnsi="宋体" w:cs="宋体" w:hint="default"/>
        <w:w w:val="100"/>
        <w:sz w:val="36"/>
        <w:szCs w:val="36"/>
      </w:rPr>
    </w:lvl>
    <w:lvl w:ilvl="2">
      <w:start w:val="1"/>
      <w:numFmt w:val="decimal"/>
      <w:lvlText w:val="%1.%2.%3"/>
      <w:lvlJc w:val="left"/>
      <w:pPr>
        <w:ind w:left="2320" w:hanging="1080"/>
        <w:jc w:val="left"/>
      </w:pPr>
      <w:rPr>
        <w:rFonts w:ascii="宋体" w:eastAsia="宋体" w:hAnsi="宋体" w:cs="宋体" w:hint="default"/>
        <w:w w:val="100"/>
        <w:sz w:val="36"/>
        <w:szCs w:val="36"/>
      </w:rPr>
    </w:lvl>
    <w:lvl w:ilvl="3">
      <w:start w:val="1"/>
      <w:numFmt w:val="decimal"/>
      <w:lvlText w:val="%1.%2.%3.%4"/>
      <w:lvlJc w:val="left"/>
      <w:pPr>
        <w:ind w:left="2590" w:hanging="1350"/>
        <w:jc w:val="left"/>
      </w:pPr>
      <w:rPr>
        <w:rFonts w:ascii="宋体" w:eastAsia="宋体" w:hAnsi="宋体" w:cs="宋体" w:hint="default"/>
        <w:w w:val="100"/>
        <w:sz w:val="36"/>
        <w:szCs w:val="36"/>
      </w:rPr>
    </w:lvl>
    <w:lvl w:ilvl="4">
      <w:start w:val="1"/>
      <w:numFmt w:val="decimal"/>
      <w:lvlText w:val="%1.%2.%3.%4.%5"/>
      <w:lvlJc w:val="left"/>
      <w:pPr>
        <w:ind w:left="2950" w:hanging="1710"/>
        <w:jc w:val="left"/>
      </w:pPr>
      <w:rPr>
        <w:rFonts w:ascii="宋体" w:eastAsia="宋体" w:hAnsi="宋体" w:cs="宋体" w:hint="default"/>
        <w:w w:val="100"/>
        <w:sz w:val="36"/>
        <w:szCs w:val="36"/>
      </w:rPr>
    </w:lvl>
    <w:lvl w:ilvl="5">
      <w:start w:val="0"/>
      <w:numFmt w:val="bullet"/>
      <w:lvlText w:val="•"/>
      <w:lvlJc w:val="left"/>
      <w:pPr>
        <w:ind w:left="6234" w:hanging="1710"/>
      </w:pPr>
      <w:rPr>
        <w:rFonts w:hint="default"/>
      </w:rPr>
    </w:lvl>
    <w:lvl w:ilvl="6">
      <w:start w:val="0"/>
      <w:numFmt w:val="bullet"/>
      <w:lvlText w:val="•"/>
      <w:lvlJc w:val="left"/>
      <w:pPr>
        <w:ind w:left="7871" w:hanging="1710"/>
      </w:pPr>
      <w:rPr>
        <w:rFonts w:hint="default"/>
      </w:rPr>
    </w:lvl>
    <w:lvl w:ilvl="7">
      <w:start w:val="0"/>
      <w:numFmt w:val="bullet"/>
      <w:lvlText w:val="•"/>
      <w:lvlJc w:val="left"/>
      <w:pPr>
        <w:ind w:left="9508" w:hanging="1710"/>
      </w:pPr>
      <w:rPr>
        <w:rFonts w:hint="default"/>
      </w:rPr>
    </w:lvl>
    <w:lvl w:ilvl="8">
      <w:start w:val="0"/>
      <w:numFmt w:val="bullet"/>
      <w:lvlText w:val="•"/>
      <w:lvlJc w:val="left"/>
      <w:pPr>
        <w:ind w:left="11145" w:hanging="1710"/>
      </w:pPr>
      <w:rPr>
        <w:rFonts w:hint="default"/>
      </w:rPr>
    </w:lvl>
  </w:abstractNum>
  <w:abstractNum w:abstractNumId="4">
    <w:nsid w:val="1309990B"/>
    <w:multiLevelType w:val="hybridMultilevel"/>
    <w:tmpl w:val="00000000"/>
    <w:lvl w:ilvl="0">
      <w:start w:val="1"/>
      <w:numFmt w:val="decimal"/>
      <w:lvlText w:val="（%1）"/>
      <w:lvlJc w:val="left"/>
      <w:pPr>
        <w:ind w:left="520" w:hanging="901"/>
        <w:jc w:val="left"/>
      </w:pPr>
      <w:rPr>
        <w:rFonts w:ascii="宋体" w:eastAsia="宋体" w:hAnsi="宋体" w:cs="宋体" w:hint="default"/>
        <w:w w:val="100"/>
        <w:sz w:val="34"/>
        <w:szCs w:val="34"/>
      </w:rPr>
    </w:lvl>
    <w:lvl w:ilvl="1">
      <w:start w:val="0"/>
      <w:numFmt w:val="bullet"/>
      <w:lvlText w:val="•"/>
      <w:lvlJc w:val="left"/>
      <w:pPr>
        <w:ind w:left="1909" w:hanging="901"/>
      </w:pPr>
      <w:rPr>
        <w:rFonts w:hint="default"/>
      </w:rPr>
    </w:lvl>
    <w:lvl w:ilvl="2">
      <w:start w:val="0"/>
      <w:numFmt w:val="bullet"/>
      <w:lvlText w:val="•"/>
      <w:lvlJc w:val="left"/>
      <w:pPr>
        <w:ind w:left="3299" w:hanging="901"/>
      </w:pPr>
      <w:rPr>
        <w:rFonts w:hint="default"/>
      </w:rPr>
    </w:lvl>
    <w:lvl w:ilvl="3">
      <w:start w:val="0"/>
      <w:numFmt w:val="bullet"/>
      <w:lvlText w:val="•"/>
      <w:lvlJc w:val="left"/>
      <w:pPr>
        <w:ind w:left="4689" w:hanging="901"/>
      </w:pPr>
      <w:rPr>
        <w:rFonts w:hint="default"/>
      </w:rPr>
    </w:lvl>
    <w:lvl w:ilvl="4">
      <w:start w:val="0"/>
      <w:numFmt w:val="bullet"/>
      <w:lvlText w:val="•"/>
      <w:lvlJc w:val="left"/>
      <w:pPr>
        <w:ind w:left="6079"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859" w:hanging="901"/>
      </w:pPr>
      <w:rPr>
        <w:rFonts w:hint="default"/>
      </w:rPr>
    </w:lvl>
    <w:lvl w:ilvl="7">
      <w:start w:val="0"/>
      <w:numFmt w:val="bullet"/>
      <w:lvlText w:val="•"/>
      <w:lvlJc w:val="left"/>
      <w:pPr>
        <w:ind w:left="10249" w:hanging="901"/>
      </w:pPr>
      <w:rPr>
        <w:rFonts w:hint="default"/>
      </w:rPr>
    </w:lvl>
    <w:lvl w:ilvl="8">
      <w:start w:val="0"/>
      <w:numFmt w:val="bullet"/>
      <w:lvlText w:val="•"/>
      <w:lvlJc w:val="left"/>
      <w:pPr>
        <w:ind w:left="11639" w:hanging="901"/>
      </w:pPr>
      <w:rPr>
        <w:rFonts w:hint="default"/>
      </w:rPr>
    </w:lvl>
  </w:abstractNum>
  <w:abstractNum w:abstractNumId="5">
    <w:nsid w:val="139D1B10"/>
    <w:multiLevelType w:val="hybridMultilevel"/>
    <w:tmpl w:val="00000000"/>
    <w:lvl w:ilvl="0">
      <w:start w:val="3"/>
      <w:numFmt w:val="decimal"/>
      <w:lvlText w:val="%1"/>
      <w:lvlJc w:val="left"/>
      <w:pPr>
        <w:ind w:left="2320" w:hanging="1080"/>
        <w:jc w:val="left"/>
      </w:pPr>
      <w:rPr>
        <w:rFonts w:hint="default"/>
      </w:rPr>
    </w:lvl>
    <w:lvl w:ilvl="1">
      <w:start w:val="1"/>
      <w:numFmt w:val="decimal"/>
      <w:lvlText w:val="%1.%2"/>
      <w:lvlJc w:val="left"/>
      <w:pPr>
        <w:ind w:left="2320" w:hanging="1080"/>
        <w:jc w:val="left"/>
      </w:pPr>
      <w:rPr>
        <w:rFonts w:hint="default"/>
      </w:rPr>
    </w:lvl>
    <w:lvl w:ilvl="2">
      <w:start w:val="4"/>
      <w:numFmt w:val="decimal"/>
      <w:lvlText w:val="%1.%2.%3"/>
      <w:lvlJc w:val="left"/>
      <w:pPr>
        <w:ind w:left="2320" w:hanging="1080"/>
        <w:jc w:val="left"/>
      </w:pPr>
      <w:rPr>
        <w:rFonts w:ascii="宋体" w:eastAsia="宋体" w:hAnsi="宋体" w:cs="宋体" w:hint="default"/>
        <w:w w:val="100"/>
        <w:sz w:val="36"/>
        <w:szCs w:val="36"/>
      </w:rPr>
    </w:lvl>
    <w:lvl w:ilvl="3">
      <w:start w:val="1"/>
      <w:numFmt w:val="decimal"/>
      <w:lvlText w:val="%1.%2.%3.%4."/>
      <w:lvlJc w:val="left"/>
      <w:pPr>
        <w:ind w:left="2860" w:hanging="1620"/>
        <w:jc w:val="left"/>
      </w:pPr>
      <w:rPr>
        <w:rFonts w:ascii="宋体" w:eastAsia="宋体" w:hAnsi="宋体" w:cs="宋体" w:hint="default"/>
        <w:w w:val="100"/>
        <w:sz w:val="36"/>
        <w:szCs w:val="36"/>
      </w:rPr>
    </w:lvl>
    <w:lvl w:ilvl="4">
      <w:start w:val="1"/>
      <w:numFmt w:val="decimal"/>
      <w:lvlText w:val="%1.%2.%3.%4.%5."/>
      <w:lvlJc w:val="left"/>
      <w:pPr>
        <w:ind w:left="520" w:hanging="1980"/>
        <w:jc w:val="left"/>
      </w:pPr>
      <w:rPr>
        <w:rFonts w:ascii="宋体" w:eastAsia="宋体" w:hAnsi="宋体" w:cs="宋体" w:hint="default"/>
        <w:w w:val="100"/>
        <w:sz w:val="36"/>
        <w:szCs w:val="36"/>
      </w:rPr>
    </w:lvl>
    <w:lvl w:ilvl="5">
      <w:start w:val="0"/>
      <w:numFmt w:val="bullet"/>
      <w:lvlText w:val="•"/>
      <w:lvlJc w:val="left"/>
      <w:pPr>
        <w:ind w:left="7194" w:hanging="1980"/>
      </w:pPr>
      <w:rPr>
        <w:rFonts w:hint="default"/>
      </w:rPr>
    </w:lvl>
    <w:lvl w:ilvl="6">
      <w:start w:val="0"/>
      <w:numFmt w:val="bullet"/>
      <w:lvlText w:val="•"/>
      <w:lvlJc w:val="left"/>
      <w:pPr>
        <w:ind w:left="8639" w:hanging="1980"/>
      </w:pPr>
      <w:rPr>
        <w:rFonts w:hint="default"/>
      </w:rPr>
    </w:lvl>
    <w:lvl w:ilvl="7">
      <w:start w:val="0"/>
      <w:numFmt w:val="bullet"/>
      <w:lvlText w:val="•"/>
      <w:lvlJc w:val="left"/>
      <w:pPr>
        <w:ind w:left="10084" w:hanging="1980"/>
      </w:pPr>
      <w:rPr>
        <w:rFonts w:hint="default"/>
      </w:rPr>
    </w:lvl>
    <w:lvl w:ilvl="8">
      <w:start w:val="0"/>
      <w:numFmt w:val="bullet"/>
      <w:lvlText w:val="•"/>
      <w:lvlJc w:val="left"/>
      <w:pPr>
        <w:ind w:left="11529" w:hanging="1980"/>
      </w:pPr>
      <w:rPr>
        <w:rFonts w:hint="default"/>
      </w:rPr>
    </w:lvl>
  </w:abstractNum>
  <w:abstractNum w:abstractNumId="6">
    <w:nsid w:val="181BDC18"/>
    <w:multiLevelType w:val="hybridMultilevel"/>
    <w:tmpl w:val="00000000"/>
    <w:lvl w:ilvl="0">
      <w:start w:val="1"/>
      <w:numFmt w:val="decimal"/>
      <w:lvlText w:val="（%1）"/>
      <w:lvlJc w:val="left"/>
      <w:pPr>
        <w:ind w:left="520" w:hanging="901"/>
        <w:jc w:val="left"/>
      </w:pPr>
      <w:rPr>
        <w:rFonts w:ascii="宋体" w:eastAsia="宋体" w:hAnsi="宋体" w:cs="宋体" w:hint="default"/>
        <w:w w:val="100"/>
        <w:sz w:val="34"/>
        <w:szCs w:val="34"/>
      </w:rPr>
    </w:lvl>
    <w:lvl w:ilvl="1">
      <w:start w:val="0"/>
      <w:numFmt w:val="bullet"/>
      <w:lvlText w:val="•"/>
      <w:lvlJc w:val="left"/>
      <w:pPr>
        <w:ind w:left="1909" w:hanging="901"/>
      </w:pPr>
      <w:rPr>
        <w:rFonts w:hint="default"/>
      </w:rPr>
    </w:lvl>
    <w:lvl w:ilvl="2">
      <w:start w:val="0"/>
      <w:numFmt w:val="bullet"/>
      <w:lvlText w:val="•"/>
      <w:lvlJc w:val="left"/>
      <w:pPr>
        <w:ind w:left="3299" w:hanging="901"/>
      </w:pPr>
      <w:rPr>
        <w:rFonts w:hint="default"/>
      </w:rPr>
    </w:lvl>
    <w:lvl w:ilvl="3">
      <w:start w:val="0"/>
      <w:numFmt w:val="bullet"/>
      <w:lvlText w:val="•"/>
      <w:lvlJc w:val="left"/>
      <w:pPr>
        <w:ind w:left="4689" w:hanging="901"/>
      </w:pPr>
      <w:rPr>
        <w:rFonts w:hint="default"/>
      </w:rPr>
    </w:lvl>
    <w:lvl w:ilvl="4">
      <w:start w:val="0"/>
      <w:numFmt w:val="bullet"/>
      <w:lvlText w:val="•"/>
      <w:lvlJc w:val="left"/>
      <w:pPr>
        <w:ind w:left="6079"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859" w:hanging="901"/>
      </w:pPr>
      <w:rPr>
        <w:rFonts w:hint="default"/>
      </w:rPr>
    </w:lvl>
    <w:lvl w:ilvl="7">
      <w:start w:val="0"/>
      <w:numFmt w:val="bullet"/>
      <w:lvlText w:val="•"/>
      <w:lvlJc w:val="left"/>
      <w:pPr>
        <w:ind w:left="10249" w:hanging="901"/>
      </w:pPr>
      <w:rPr>
        <w:rFonts w:hint="default"/>
      </w:rPr>
    </w:lvl>
    <w:lvl w:ilvl="8">
      <w:start w:val="0"/>
      <w:numFmt w:val="bullet"/>
      <w:lvlText w:val="•"/>
      <w:lvlJc w:val="left"/>
      <w:pPr>
        <w:ind w:left="11639" w:hanging="901"/>
      </w:pPr>
      <w:rPr>
        <w:rFonts w:hint="default"/>
      </w:rPr>
    </w:lvl>
  </w:abstractNum>
  <w:abstractNum w:abstractNumId="7">
    <w:nsid w:val="24F23E25"/>
    <w:multiLevelType w:val="hybridMultilevel"/>
    <w:tmpl w:val="00000000"/>
    <w:lvl w:ilvl="0">
      <w:start w:val="4"/>
      <w:numFmt w:val="decimal"/>
      <w:lvlText w:val="%1"/>
      <w:lvlJc w:val="left"/>
      <w:pPr>
        <w:ind w:left="1061" w:hanging="541"/>
        <w:jc w:val="left"/>
      </w:pPr>
      <w:rPr>
        <w:rFonts w:hint="default"/>
      </w:rPr>
    </w:lvl>
    <w:lvl w:ilvl="1">
      <w:start w:val="1"/>
      <w:numFmt w:val="decimal"/>
      <w:lvlText w:val="%1.%2"/>
      <w:lvlJc w:val="left"/>
      <w:pPr>
        <w:ind w:left="1061" w:hanging="541"/>
        <w:jc w:val="left"/>
      </w:pPr>
      <w:rPr>
        <w:rFonts w:ascii="宋体" w:eastAsia="宋体" w:hAnsi="宋体" w:cs="宋体" w:hint="default"/>
        <w:spacing w:val="-1"/>
        <w:w w:val="100"/>
        <w:sz w:val="34"/>
        <w:szCs w:val="34"/>
      </w:rPr>
    </w:lvl>
    <w:lvl w:ilvl="2">
      <w:start w:val="0"/>
      <w:numFmt w:val="bullet"/>
      <w:lvlText w:val="•"/>
      <w:lvlJc w:val="left"/>
      <w:pPr>
        <w:ind w:left="3731" w:hanging="541"/>
      </w:pPr>
      <w:rPr>
        <w:rFonts w:hint="default"/>
      </w:rPr>
    </w:lvl>
    <w:lvl w:ilvl="3">
      <w:start w:val="0"/>
      <w:numFmt w:val="bullet"/>
      <w:lvlText w:val="•"/>
      <w:lvlJc w:val="left"/>
      <w:pPr>
        <w:ind w:left="5067" w:hanging="541"/>
      </w:pPr>
      <w:rPr>
        <w:rFonts w:hint="default"/>
      </w:rPr>
    </w:lvl>
    <w:lvl w:ilvl="4">
      <w:start w:val="0"/>
      <w:numFmt w:val="bullet"/>
      <w:lvlText w:val="•"/>
      <w:lvlJc w:val="left"/>
      <w:pPr>
        <w:ind w:left="6403" w:hanging="541"/>
      </w:pPr>
      <w:rPr>
        <w:rFonts w:hint="default"/>
      </w:rPr>
    </w:lvl>
    <w:lvl w:ilvl="5">
      <w:start w:val="0"/>
      <w:numFmt w:val="bullet"/>
      <w:lvlText w:val="•"/>
      <w:lvlJc w:val="left"/>
      <w:pPr>
        <w:ind w:left="7739" w:hanging="541"/>
      </w:pPr>
      <w:rPr>
        <w:rFonts w:hint="default"/>
      </w:rPr>
    </w:lvl>
    <w:lvl w:ilvl="6">
      <w:start w:val="0"/>
      <w:numFmt w:val="bullet"/>
      <w:lvlText w:val="•"/>
      <w:lvlJc w:val="left"/>
      <w:pPr>
        <w:ind w:left="9075" w:hanging="541"/>
      </w:pPr>
      <w:rPr>
        <w:rFonts w:hint="default"/>
      </w:rPr>
    </w:lvl>
    <w:lvl w:ilvl="7">
      <w:start w:val="0"/>
      <w:numFmt w:val="bullet"/>
      <w:lvlText w:val="•"/>
      <w:lvlJc w:val="left"/>
      <w:pPr>
        <w:ind w:left="10411" w:hanging="541"/>
      </w:pPr>
      <w:rPr>
        <w:rFonts w:hint="default"/>
      </w:rPr>
    </w:lvl>
    <w:lvl w:ilvl="8">
      <w:start w:val="0"/>
      <w:numFmt w:val="bullet"/>
      <w:lvlText w:val="•"/>
      <w:lvlJc w:val="left"/>
      <w:pPr>
        <w:ind w:left="11747" w:hanging="541"/>
      </w:pPr>
      <w:rPr>
        <w:rFonts w:hint="default"/>
      </w:rPr>
    </w:lvl>
  </w:abstractNum>
  <w:abstractNum w:abstractNumId="8">
    <w:nsid w:val="33200AFA"/>
    <w:multiLevelType w:val="hybridMultilevel"/>
    <w:tmpl w:val="00000000"/>
    <w:lvl w:ilvl="0">
      <w:start w:val="1"/>
      <w:numFmt w:val="decimal"/>
      <w:lvlText w:val="（%1）"/>
      <w:lvlJc w:val="left"/>
      <w:pPr>
        <w:ind w:left="520" w:hanging="901"/>
        <w:jc w:val="left"/>
      </w:pPr>
      <w:rPr>
        <w:rFonts w:ascii="宋体" w:eastAsia="宋体" w:hAnsi="宋体" w:cs="宋体" w:hint="default"/>
        <w:spacing w:val="-180"/>
        <w:w w:val="100"/>
        <w:sz w:val="34"/>
        <w:szCs w:val="34"/>
      </w:rPr>
    </w:lvl>
    <w:lvl w:ilvl="1">
      <w:start w:val="0"/>
      <w:numFmt w:val="bullet"/>
      <w:lvlText w:val="•"/>
      <w:lvlJc w:val="left"/>
      <w:pPr>
        <w:ind w:left="1909" w:hanging="901"/>
      </w:pPr>
      <w:rPr>
        <w:rFonts w:hint="default"/>
      </w:rPr>
    </w:lvl>
    <w:lvl w:ilvl="2">
      <w:start w:val="0"/>
      <w:numFmt w:val="bullet"/>
      <w:lvlText w:val="•"/>
      <w:lvlJc w:val="left"/>
      <w:pPr>
        <w:ind w:left="3299" w:hanging="901"/>
      </w:pPr>
      <w:rPr>
        <w:rFonts w:hint="default"/>
      </w:rPr>
    </w:lvl>
    <w:lvl w:ilvl="3">
      <w:start w:val="0"/>
      <w:numFmt w:val="bullet"/>
      <w:lvlText w:val="•"/>
      <w:lvlJc w:val="left"/>
      <w:pPr>
        <w:ind w:left="4689" w:hanging="901"/>
      </w:pPr>
      <w:rPr>
        <w:rFonts w:hint="default"/>
      </w:rPr>
    </w:lvl>
    <w:lvl w:ilvl="4">
      <w:start w:val="0"/>
      <w:numFmt w:val="bullet"/>
      <w:lvlText w:val="•"/>
      <w:lvlJc w:val="left"/>
      <w:pPr>
        <w:ind w:left="6079"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859" w:hanging="901"/>
      </w:pPr>
      <w:rPr>
        <w:rFonts w:hint="default"/>
      </w:rPr>
    </w:lvl>
    <w:lvl w:ilvl="7">
      <w:start w:val="0"/>
      <w:numFmt w:val="bullet"/>
      <w:lvlText w:val="•"/>
      <w:lvlJc w:val="left"/>
      <w:pPr>
        <w:ind w:left="10249" w:hanging="901"/>
      </w:pPr>
      <w:rPr>
        <w:rFonts w:hint="default"/>
      </w:rPr>
    </w:lvl>
    <w:lvl w:ilvl="8">
      <w:start w:val="0"/>
      <w:numFmt w:val="bullet"/>
      <w:lvlText w:val="•"/>
      <w:lvlJc w:val="left"/>
      <w:pPr>
        <w:ind w:left="11639" w:hanging="901"/>
      </w:pPr>
      <w:rPr>
        <w:rFonts w:hint="default"/>
      </w:rPr>
    </w:lvl>
  </w:abstractNum>
  <w:abstractNum w:abstractNumId="9">
    <w:nsid w:val="34E01213"/>
    <w:multiLevelType w:val="hybridMultilevel"/>
    <w:tmpl w:val="00000000"/>
    <w:lvl w:ilvl="0">
      <w:start w:val="4"/>
      <w:numFmt w:val="decimal"/>
      <w:lvlText w:val="%1"/>
      <w:lvlJc w:val="left"/>
      <w:pPr>
        <w:ind w:left="520" w:hanging="2070"/>
        <w:jc w:val="left"/>
      </w:pPr>
      <w:rPr>
        <w:rFonts w:hint="default"/>
      </w:rPr>
    </w:lvl>
    <w:lvl w:ilvl="1">
      <w:start w:val="1"/>
      <w:numFmt w:val="decimal"/>
      <w:lvlText w:val="%1.%2"/>
      <w:lvlJc w:val="left"/>
      <w:pPr>
        <w:ind w:left="520" w:hanging="2070"/>
        <w:jc w:val="left"/>
      </w:pPr>
      <w:rPr>
        <w:rFonts w:hint="default"/>
      </w:rPr>
    </w:lvl>
    <w:lvl w:ilvl="2">
      <w:start w:val="3"/>
      <w:numFmt w:val="decimal"/>
      <w:lvlText w:val="%1.%2.%3"/>
      <w:lvlJc w:val="left"/>
      <w:pPr>
        <w:ind w:left="520" w:hanging="2070"/>
        <w:jc w:val="left"/>
      </w:pPr>
      <w:rPr>
        <w:rFonts w:hint="default"/>
      </w:rPr>
    </w:lvl>
    <w:lvl w:ilvl="3">
      <w:start w:val="1"/>
      <w:numFmt w:val="decimal"/>
      <w:lvlText w:val="%1.%2.%3.%4"/>
      <w:lvlJc w:val="left"/>
      <w:pPr>
        <w:ind w:left="520" w:hanging="2070"/>
        <w:jc w:val="left"/>
      </w:pPr>
      <w:rPr>
        <w:rFonts w:hint="default"/>
      </w:rPr>
    </w:lvl>
    <w:lvl w:ilvl="4">
      <w:start w:val="1"/>
      <w:numFmt w:val="decimal"/>
      <w:lvlText w:val="%1.%2.%3.%4.%5"/>
      <w:lvlJc w:val="left"/>
      <w:pPr>
        <w:ind w:left="520" w:hanging="2070"/>
        <w:jc w:val="left"/>
      </w:pPr>
      <w:rPr>
        <w:rFonts w:hint="default"/>
      </w:rPr>
    </w:lvl>
    <w:lvl w:ilvl="5">
      <w:start w:val="2"/>
      <w:numFmt w:val="decimal"/>
      <w:lvlText w:val="%1.%2.%3.%4.%5.%6"/>
      <w:lvlJc w:val="left"/>
      <w:pPr>
        <w:ind w:left="520" w:hanging="2070"/>
        <w:jc w:val="left"/>
      </w:pPr>
      <w:rPr>
        <w:rFonts w:ascii="宋体" w:eastAsia="宋体" w:hAnsi="宋体" w:cs="宋体" w:hint="default"/>
        <w:w w:val="100"/>
        <w:sz w:val="36"/>
        <w:szCs w:val="36"/>
      </w:rPr>
    </w:lvl>
    <w:lvl w:ilvl="6">
      <w:start w:val="0"/>
      <w:numFmt w:val="bullet"/>
      <w:lvlText w:val="•"/>
      <w:lvlJc w:val="left"/>
      <w:pPr>
        <w:ind w:left="8859" w:hanging="2070"/>
      </w:pPr>
      <w:rPr>
        <w:rFonts w:hint="default"/>
      </w:rPr>
    </w:lvl>
    <w:lvl w:ilvl="7">
      <w:start w:val="0"/>
      <w:numFmt w:val="bullet"/>
      <w:lvlText w:val="•"/>
      <w:lvlJc w:val="left"/>
      <w:pPr>
        <w:ind w:left="10249" w:hanging="2070"/>
      </w:pPr>
      <w:rPr>
        <w:rFonts w:hint="default"/>
      </w:rPr>
    </w:lvl>
    <w:lvl w:ilvl="8">
      <w:start w:val="0"/>
      <w:numFmt w:val="bullet"/>
      <w:lvlText w:val="•"/>
      <w:lvlJc w:val="left"/>
      <w:pPr>
        <w:ind w:left="11639" w:hanging="2070"/>
      </w:pPr>
      <w:rPr>
        <w:rFonts w:hint="default"/>
      </w:rPr>
    </w:lvl>
  </w:abstractNum>
  <w:abstractNum w:abstractNumId="10">
    <w:nsid w:val="3D2B1983"/>
    <w:multiLevelType w:val="hybridMultilevel"/>
    <w:tmpl w:val="00000000"/>
    <w:lvl w:ilvl="0">
      <w:start w:val="1"/>
      <w:numFmt w:val="decimal"/>
      <w:lvlText w:val="(%1)"/>
      <w:lvlJc w:val="left"/>
      <w:pPr>
        <w:ind w:left="1961" w:hanging="541"/>
        <w:jc w:val="left"/>
      </w:pPr>
      <w:rPr>
        <w:rFonts w:ascii="宋体" w:eastAsia="宋体" w:hAnsi="宋体" w:cs="宋体" w:hint="default"/>
        <w:w w:val="100"/>
        <w:sz w:val="34"/>
        <w:szCs w:val="34"/>
      </w:rPr>
    </w:lvl>
    <w:lvl w:ilvl="1">
      <w:start w:val="0"/>
      <w:numFmt w:val="bullet"/>
      <w:lvlText w:val="•"/>
      <w:lvlJc w:val="left"/>
      <w:pPr>
        <w:ind w:left="3205" w:hanging="541"/>
      </w:pPr>
      <w:rPr>
        <w:rFonts w:hint="default"/>
      </w:rPr>
    </w:lvl>
    <w:lvl w:ilvl="2">
      <w:start w:val="0"/>
      <w:numFmt w:val="bullet"/>
      <w:lvlText w:val="•"/>
      <w:lvlJc w:val="left"/>
      <w:pPr>
        <w:ind w:left="4451" w:hanging="541"/>
      </w:pPr>
      <w:rPr>
        <w:rFonts w:hint="default"/>
      </w:rPr>
    </w:lvl>
    <w:lvl w:ilvl="3">
      <w:start w:val="0"/>
      <w:numFmt w:val="bullet"/>
      <w:lvlText w:val="•"/>
      <w:lvlJc w:val="left"/>
      <w:pPr>
        <w:ind w:left="5697" w:hanging="541"/>
      </w:pPr>
      <w:rPr>
        <w:rFonts w:hint="default"/>
      </w:rPr>
    </w:lvl>
    <w:lvl w:ilvl="4">
      <w:start w:val="0"/>
      <w:numFmt w:val="bullet"/>
      <w:lvlText w:val="•"/>
      <w:lvlJc w:val="left"/>
      <w:pPr>
        <w:ind w:left="6943" w:hanging="541"/>
      </w:pPr>
      <w:rPr>
        <w:rFonts w:hint="default"/>
      </w:rPr>
    </w:lvl>
    <w:lvl w:ilvl="5">
      <w:start w:val="0"/>
      <w:numFmt w:val="bullet"/>
      <w:lvlText w:val="•"/>
      <w:lvlJc w:val="left"/>
      <w:pPr>
        <w:ind w:left="8189" w:hanging="541"/>
      </w:pPr>
      <w:rPr>
        <w:rFonts w:hint="default"/>
      </w:rPr>
    </w:lvl>
    <w:lvl w:ilvl="6">
      <w:start w:val="0"/>
      <w:numFmt w:val="bullet"/>
      <w:lvlText w:val="•"/>
      <w:lvlJc w:val="left"/>
      <w:pPr>
        <w:ind w:left="9435" w:hanging="541"/>
      </w:pPr>
      <w:rPr>
        <w:rFonts w:hint="default"/>
      </w:rPr>
    </w:lvl>
    <w:lvl w:ilvl="7">
      <w:start w:val="0"/>
      <w:numFmt w:val="bullet"/>
      <w:lvlText w:val="•"/>
      <w:lvlJc w:val="left"/>
      <w:pPr>
        <w:ind w:left="10681" w:hanging="541"/>
      </w:pPr>
      <w:rPr>
        <w:rFonts w:hint="default"/>
      </w:rPr>
    </w:lvl>
    <w:lvl w:ilvl="8">
      <w:start w:val="0"/>
      <w:numFmt w:val="bullet"/>
      <w:lvlText w:val="•"/>
      <w:lvlJc w:val="left"/>
      <w:pPr>
        <w:ind w:left="11927" w:hanging="541"/>
      </w:pPr>
      <w:rPr>
        <w:rFonts w:hint="default"/>
      </w:rPr>
    </w:lvl>
  </w:abstractNum>
  <w:abstractNum w:abstractNumId="11">
    <w:nsid w:val="40AF9EEB"/>
    <w:multiLevelType w:val="hybridMultilevel"/>
    <w:tmpl w:val="00000000"/>
    <w:lvl w:ilvl="0">
      <w:start w:val="2"/>
      <w:numFmt w:val="decimal"/>
      <w:lvlText w:val="%1"/>
      <w:lvlJc w:val="left"/>
      <w:pPr>
        <w:ind w:left="520" w:hanging="541"/>
        <w:jc w:val="left"/>
      </w:pPr>
      <w:rPr>
        <w:rFonts w:hint="default"/>
      </w:rPr>
    </w:lvl>
    <w:lvl w:ilvl="1">
      <w:start w:val="1"/>
      <w:numFmt w:val="decimal"/>
      <w:lvlText w:val="%1.%2"/>
      <w:lvlJc w:val="left"/>
      <w:pPr>
        <w:ind w:left="520" w:hanging="541"/>
        <w:jc w:val="left"/>
      </w:pPr>
      <w:rPr>
        <w:rFonts w:ascii="宋体" w:eastAsia="宋体" w:hAnsi="宋体" w:cs="宋体" w:hint="default"/>
        <w:spacing w:val="-11"/>
        <w:w w:val="100"/>
        <w:sz w:val="34"/>
        <w:szCs w:val="34"/>
      </w:rPr>
    </w:lvl>
    <w:lvl w:ilvl="2">
      <w:start w:val="0"/>
      <w:numFmt w:val="bullet"/>
      <w:lvlText w:val="•"/>
      <w:lvlJc w:val="left"/>
      <w:pPr>
        <w:ind w:left="3299" w:hanging="541"/>
      </w:pPr>
      <w:rPr>
        <w:rFonts w:hint="default"/>
      </w:rPr>
    </w:lvl>
    <w:lvl w:ilvl="3">
      <w:start w:val="0"/>
      <w:numFmt w:val="bullet"/>
      <w:lvlText w:val="•"/>
      <w:lvlJc w:val="left"/>
      <w:pPr>
        <w:ind w:left="4689" w:hanging="541"/>
      </w:pPr>
      <w:rPr>
        <w:rFonts w:hint="default"/>
      </w:rPr>
    </w:lvl>
    <w:lvl w:ilvl="4">
      <w:start w:val="0"/>
      <w:numFmt w:val="bullet"/>
      <w:lvlText w:val="•"/>
      <w:lvlJc w:val="left"/>
      <w:pPr>
        <w:ind w:left="6079" w:hanging="541"/>
      </w:pPr>
      <w:rPr>
        <w:rFonts w:hint="default"/>
      </w:rPr>
    </w:lvl>
    <w:lvl w:ilvl="5">
      <w:start w:val="0"/>
      <w:numFmt w:val="bullet"/>
      <w:lvlText w:val="•"/>
      <w:lvlJc w:val="left"/>
      <w:pPr>
        <w:ind w:left="7469" w:hanging="541"/>
      </w:pPr>
      <w:rPr>
        <w:rFonts w:hint="default"/>
      </w:rPr>
    </w:lvl>
    <w:lvl w:ilvl="6">
      <w:start w:val="0"/>
      <w:numFmt w:val="bullet"/>
      <w:lvlText w:val="•"/>
      <w:lvlJc w:val="left"/>
      <w:pPr>
        <w:ind w:left="8859" w:hanging="541"/>
      </w:pPr>
      <w:rPr>
        <w:rFonts w:hint="default"/>
      </w:rPr>
    </w:lvl>
    <w:lvl w:ilvl="7">
      <w:start w:val="0"/>
      <w:numFmt w:val="bullet"/>
      <w:lvlText w:val="•"/>
      <w:lvlJc w:val="left"/>
      <w:pPr>
        <w:ind w:left="10249" w:hanging="541"/>
      </w:pPr>
      <w:rPr>
        <w:rFonts w:hint="default"/>
      </w:rPr>
    </w:lvl>
    <w:lvl w:ilvl="8">
      <w:start w:val="0"/>
      <w:numFmt w:val="bullet"/>
      <w:lvlText w:val="•"/>
      <w:lvlJc w:val="left"/>
      <w:pPr>
        <w:ind w:left="11639" w:hanging="541"/>
      </w:pPr>
      <w:rPr>
        <w:rFonts w:hint="default"/>
      </w:rPr>
    </w:lvl>
  </w:abstractNum>
  <w:abstractNum w:abstractNumId="12">
    <w:nsid w:val="4248B2C7"/>
    <w:multiLevelType w:val="hybridMultilevel"/>
    <w:tmpl w:val="00000000"/>
    <w:lvl w:ilvl="0">
      <w:start w:val="1"/>
      <w:numFmt w:val="decimal"/>
      <w:lvlText w:val="（%1）"/>
      <w:lvlJc w:val="left"/>
      <w:pPr>
        <w:ind w:left="520" w:hanging="901"/>
        <w:jc w:val="left"/>
      </w:pPr>
      <w:rPr>
        <w:rFonts w:ascii="宋体" w:eastAsia="宋体" w:hAnsi="宋体" w:cs="宋体" w:hint="default"/>
        <w:spacing w:val="-180"/>
        <w:w w:val="100"/>
        <w:sz w:val="34"/>
        <w:szCs w:val="34"/>
      </w:rPr>
    </w:lvl>
    <w:lvl w:ilvl="1">
      <w:start w:val="2"/>
      <w:numFmt w:val="decimal"/>
      <w:lvlText w:val="（%2）"/>
      <w:lvlJc w:val="left"/>
      <w:pPr>
        <w:ind w:left="520" w:hanging="901"/>
        <w:jc w:val="left"/>
      </w:pPr>
      <w:rPr>
        <w:rFonts w:ascii="宋体" w:eastAsia="宋体" w:hAnsi="宋体" w:cs="宋体" w:hint="default"/>
        <w:spacing w:val="-108"/>
        <w:w w:val="100"/>
        <w:sz w:val="34"/>
        <w:szCs w:val="34"/>
      </w:rPr>
    </w:lvl>
    <w:lvl w:ilvl="2">
      <w:start w:val="0"/>
      <w:numFmt w:val="bullet"/>
      <w:lvlText w:val="•"/>
      <w:lvlJc w:val="left"/>
      <w:pPr>
        <w:ind w:left="3299" w:hanging="901"/>
      </w:pPr>
      <w:rPr>
        <w:rFonts w:hint="default"/>
      </w:rPr>
    </w:lvl>
    <w:lvl w:ilvl="3">
      <w:start w:val="0"/>
      <w:numFmt w:val="bullet"/>
      <w:lvlText w:val="•"/>
      <w:lvlJc w:val="left"/>
      <w:pPr>
        <w:ind w:left="4689" w:hanging="901"/>
      </w:pPr>
      <w:rPr>
        <w:rFonts w:hint="default"/>
      </w:rPr>
    </w:lvl>
    <w:lvl w:ilvl="4">
      <w:start w:val="0"/>
      <w:numFmt w:val="bullet"/>
      <w:lvlText w:val="•"/>
      <w:lvlJc w:val="left"/>
      <w:pPr>
        <w:ind w:left="6079"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859" w:hanging="901"/>
      </w:pPr>
      <w:rPr>
        <w:rFonts w:hint="default"/>
      </w:rPr>
    </w:lvl>
    <w:lvl w:ilvl="7">
      <w:start w:val="0"/>
      <w:numFmt w:val="bullet"/>
      <w:lvlText w:val="•"/>
      <w:lvlJc w:val="left"/>
      <w:pPr>
        <w:ind w:left="10249" w:hanging="901"/>
      </w:pPr>
      <w:rPr>
        <w:rFonts w:hint="default"/>
      </w:rPr>
    </w:lvl>
    <w:lvl w:ilvl="8">
      <w:start w:val="0"/>
      <w:numFmt w:val="bullet"/>
      <w:lvlText w:val="•"/>
      <w:lvlJc w:val="left"/>
      <w:pPr>
        <w:ind w:left="11639" w:hanging="901"/>
      </w:pPr>
      <w:rPr>
        <w:rFonts w:hint="default"/>
      </w:rPr>
    </w:lvl>
  </w:abstractNum>
  <w:abstractNum w:abstractNumId="13">
    <w:nsid w:val="460F6F05"/>
    <w:multiLevelType w:val="hybridMultilevel"/>
    <w:tmpl w:val="00000000"/>
    <w:lvl w:ilvl="0">
      <w:start w:val="2"/>
      <w:numFmt w:val="decimal"/>
      <w:lvlText w:val="%1"/>
      <w:lvlJc w:val="left"/>
      <w:pPr>
        <w:ind w:left="1240" w:hanging="720"/>
        <w:jc w:val="left"/>
      </w:pPr>
      <w:rPr>
        <w:rFonts w:hint="default"/>
      </w:rPr>
    </w:lvl>
    <w:lvl w:ilvl="1">
      <w:start w:val="1"/>
      <w:numFmt w:val="decimal"/>
      <w:lvlText w:val="%1.%2"/>
      <w:lvlJc w:val="left"/>
      <w:pPr>
        <w:ind w:left="1240" w:hanging="720"/>
        <w:jc w:val="left"/>
      </w:pPr>
      <w:rPr>
        <w:rFonts w:ascii="宋体" w:eastAsia="宋体" w:hAnsi="宋体" w:cs="宋体" w:hint="default"/>
        <w:w w:val="100"/>
        <w:sz w:val="36"/>
        <w:szCs w:val="36"/>
      </w:rPr>
    </w:lvl>
    <w:lvl w:ilvl="2">
      <w:start w:val="0"/>
      <w:numFmt w:val="bullet"/>
      <w:lvlText w:val="•"/>
      <w:lvlJc w:val="left"/>
      <w:pPr>
        <w:ind w:left="3875" w:hanging="720"/>
      </w:pPr>
      <w:rPr>
        <w:rFonts w:hint="default"/>
      </w:rPr>
    </w:lvl>
    <w:lvl w:ilvl="3">
      <w:start w:val="0"/>
      <w:numFmt w:val="bullet"/>
      <w:lvlText w:val="•"/>
      <w:lvlJc w:val="left"/>
      <w:pPr>
        <w:ind w:left="5193" w:hanging="720"/>
      </w:pPr>
      <w:rPr>
        <w:rFonts w:hint="default"/>
      </w:rPr>
    </w:lvl>
    <w:lvl w:ilvl="4">
      <w:start w:val="0"/>
      <w:numFmt w:val="bullet"/>
      <w:lvlText w:val="•"/>
      <w:lvlJc w:val="left"/>
      <w:pPr>
        <w:ind w:left="6511" w:hanging="720"/>
      </w:pPr>
      <w:rPr>
        <w:rFonts w:hint="default"/>
      </w:rPr>
    </w:lvl>
    <w:lvl w:ilvl="5">
      <w:start w:val="0"/>
      <w:numFmt w:val="bullet"/>
      <w:lvlText w:val="•"/>
      <w:lvlJc w:val="left"/>
      <w:pPr>
        <w:ind w:left="7829" w:hanging="720"/>
      </w:pPr>
      <w:rPr>
        <w:rFonts w:hint="default"/>
      </w:rPr>
    </w:lvl>
    <w:lvl w:ilvl="6">
      <w:start w:val="0"/>
      <w:numFmt w:val="bullet"/>
      <w:lvlText w:val="•"/>
      <w:lvlJc w:val="left"/>
      <w:pPr>
        <w:ind w:left="9147" w:hanging="720"/>
      </w:pPr>
      <w:rPr>
        <w:rFonts w:hint="default"/>
      </w:rPr>
    </w:lvl>
    <w:lvl w:ilvl="7">
      <w:start w:val="0"/>
      <w:numFmt w:val="bullet"/>
      <w:lvlText w:val="•"/>
      <w:lvlJc w:val="left"/>
      <w:pPr>
        <w:ind w:left="10465" w:hanging="720"/>
      </w:pPr>
      <w:rPr>
        <w:rFonts w:hint="default"/>
      </w:rPr>
    </w:lvl>
    <w:lvl w:ilvl="8">
      <w:start w:val="0"/>
      <w:numFmt w:val="bullet"/>
      <w:lvlText w:val="•"/>
      <w:lvlJc w:val="left"/>
      <w:pPr>
        <w:ind w:left="11783" w:hanging="720"/>
      </w:pPr>
      <w:rPr>
        <w:rFonts w:hint="default"/>
      </w:rPr>
    </w:lvl>
  </w:abstractNum>
  <w:abstractNum w:abstractNumId="14">
    <w:nsid w:val="4634C9D1"/>
    <w:multiLevelType w:val="hybridMultilevel"/>
    <w:tmpl w:val="00000000"/>
    <w:lvl w:ilvl="0">
      <w:start w:val="2"/>
      <w:numFmt w:val="decimal"/>
      <w:lvlText w:val="%1"/>
      <w:lvlJc w:val="left"/>
      <w:pPr>
        <w:ind w:left="1061" w:hanging="541"/>
        <w:jc w:val="left"/>
      </w:pPr>
      <w:rPr>
        <w:rFonts w:hint="default"/>
      </w:rPr>
    </w:lvl>
    <w:lvl w:ilvl="1">
      <w:start w:val="1"/>
      <w:numFmt w:val="decimal"/>
      <w:lvlText w:val="%1.%2"/>
      <w:lvlJc w:val="left"/>
      <w:pPr>
        <w:ind w:left="1061" w:hanging="541"/>
        <w:jc w:val="left"/>
      </w:pPr>
      <w:rPr>
        <w:rFonts w:ascii="宋体" w:eastAsia="宋体" w:hAnsi="宋体" w:cs="宋体" w:hint="default"/>
        <w:spacing w:val="-1"/>
        <w:w w:val="100"/>
        <w:sz w:val="34"/>
        <w:szCs w:val="34"/>
      </w:rPr>
    </w:lvl>
    <w:lvl w:ilvl="2">
      <w:start w:val="0"/>
      <w:numFmt w:val="bullet"/>
      <w:lvlText w:val="•"/>
      <w:lvlJc w:val="left"/>
      <w:pPr>
        <w:ind w:left="3731" w:hanging="541"/>
      </w:pPr>
      <w:rPr>
        <w:rFonts w:hint="default"/>
      </w:rPr>
    </w:lvl>
    <w:lvl w:ilvl="3">
      <w:start w:val="0"/>
      <w:numFmt w:val="bullet"/>
      <w:lvlText w:val="•"/>
      <w:lvlJc w:val="left"/>
      <w:pPr>
        <w:ind w:left="5067" w:hanging="541"/>
      </w:pPr>
      <w:rPr>
        <w:rFonts w:hint="default"/>
      </w:rPr>
    </w:lvl>
    <w:lvl w:ilvl="4">
      <w:start w:val="0"/>
      <w:numFmt w:val="bullet"/>
      <w:lvlText w:val="•"/>
      <w:lvlJc w:val="left"/>
      <w:pPr>
        <w:ind w:left="6403" w:hanging="541"/>
      </w:pPr>
      <w:rPr>
        <w:rFonts w:hint="default"/>
      </w:rPr>
    </w:lvl>
    <w:lvl w:ilvl="5">
      <w:start w:val="0"/>
      <w:numFmt w:val="bullet"/>
      <w:lvlText w:val="•"/>
      <w:lvlJc w:val="left"/>
      <w:pPr>
        <w:ind w:left="7739" w:hanging="541"/>
      </w:pPr>
      <w:rPr>
        <w:rFonts w:hint="default"/>
      </w:rPr>
    </w:lvl>
    <w:lvl w:ilvl="6">
      <w:start w:val="0"/>
      <w:numFmt w:val="bullet"/>
      <w:lvlText w:val="•"/>
      <w:lvlJc w:val="left"/>
      <w:pPr>
        <w:ind w:left="9075" w:hanging="541"/>
      </w:pPr>
      <w:rPr>
        <w:rFonts w:hint="default"/>
      </w:rPr>
    </w:lvl>
    <w:lvl w:ilvl="7">
      <w:start w:val="0"/>
      <w:numFmt w:val="bullet"/>
      <w:lvlText w:val="•"/>
      <w:lvlJc w:val="left"/>
      <w:pPr>
        <w:ind w:left="10411" w:hanging="541"/>
      </w:pPr>
      <w:rPr>
        <w:rFonts w:hint="default"/>
      </w:rPr>
    </w:lvl>
    <w:lvl w:ilvl="8">
      <w:start w:val="0"/>
      <w:numFmt w:val="bullet"/>
      <w:lvlText w:val="•"/>
      <w:lvlJc w:val="left"/>
      <w:pPr>
        <w:ind w:left="11747" w:hanging="541"/>
      </w:pPr>
      <w:rPr>
        <w:rFonts w:hint="default"/>
      </w:rPr>
    </w:lvl>
  </w:abstractNum>
  <w:abstractNum w:abstractNumId="15">
    <w:nsid w:val="4730056D"/>
    <w:multiLevelType w:val="hybridMultilevel"/>
    <w:tmpl w:val="00000000"/>
    <w:lvl w:ilvl="0">
      <w:start w:val="4"/>
      <w:numFmt w:val="decimal"/>
      <w:lvlText w:val="%1"/>
      <w:lvlJc w:val="left"/>
      <w:pPr>
        <w:ind w:left="2680" w:hanging="1440"/>
        <w:jc w:val="left"/>
      </w:pPr>
      <w:rPr>
        <w:rFonts w:hint="default"/>
      </w:rPr>
    </w:lvl>
    <w:lvl w:ilvl="1">
      <w:start w:val="1"/>
      <w:numFmt w:val="decimal"/>
      <w:lvlText w:val="%1.%2"/>
      <w:lvlJc w:val="left"/>
      <w:pPr>
        <w:ind w:left="2680" w:hanging="1440"/>
        <w:jc w:val="left"/>
      </w:pPr>
      <w:rPr>
        <w:rFonts w:hint="default"/>
      </w:rPr>
    </w:lvl>
    <w:lvl w:ilvl="2">
      <w:start w:val="3"/>
      <w:numFmt w:val="decimal"/>
      <w:lvlText w:val="%1.%2.%3"/>
      <w:lvlJc w:val="left"/>
      <w:pPr>
        <w:ind w:left="2680" w:hanging="1440"/>
        <w:jc w:val="left"/>
      </w:pPr>
      <w:rPr>
        <w:rFonts w:hint="default"/>
      </w:rPr>
    </w:lvl>
    <w:lvl w:ilvl="3">
      <w:start w:val="2"/>
      <w:numFmt w:val="decimal"/>
      <w:lvlText w:val="%1.%2.%3.%4"/>
      <w:lvlJc w:val="left"/>
      <w:pPr>
        <w:ind w:left="2680" w:hanging="1440"/>
        <w:jc w:val="left"/>
      </w:pPr>
      <w:rPr>
        <w:rFonts w:ascii="宋体" w:eastAsia="宋体" w:hAnsi="宋体" w:cs="宋体" w:hint="default"/>
        <w:w w:val="100"/>
        <w:sz w:val="36"/>
        <w:szCs w:val="36"/>
      </w:rPr>
    </w:lvl>
    <w:lvl w:ilvl="4">
      <w:start w:val="1"/>
      <w:numFmt w:val="decimal"/>
      <w:lvlText w:val="%1.%2.%3.%4.%5"/>
      <w:lvlJc w:val="left"/>
      <w:pPr>
        <w:ind w:left="3040" w:hanging="1800"/>
        <w:jc w:val="left"/>
      </w:pPr>
      <w:rPr>
        <w:rFonts w:ascii="宋体" w:eastAsia="宋体" w:hAnsi="宋体" w:cs="宋体" w:hint="default"/>
        <w:w w:val="100"/>
        <w:sz w:val="36"/>
        <w:szCs w:val="36"/>
      </w:rPr>
    </w:lvl>
    <w:lvl w:ilvl="5">
      <w:start w:val="0"/>
      <w:numFmt w:val="bullet"/>
      <w:lvlText w:val="•"/>
      <w:lvlJc w:val="left"/>
      <w:pPr>
        <w:ind w:left="8097" w:hanging="1800"/>
      </w:pPr>
      <w:rPr>
        <w:rFonts w:hint="default"/>
      </w:rPr>
    </w:lvl>
    <w:lvl w:ilvl="6">
      <w:start w:val="0"/>
      <w:numFmt w:val="bullet"/>
      <w:lvlText w:val="•"/>
      <w:lvlJc w:val="left"/>
      <w:pPr>
        <w:ind w:left="9362" w:hanging="1800"/>
      </w:pPr>
      <w:rPr>
        <w:rFonts w:hint="default"/>
      </w:rPr>
    </w:lvl>
    <w:lvl w:ilvl="7">
      <w:start w:val="0"/>
      <w:numFmt w:val="bullet"/>
      <w:lvlText w:val="•"/>
      <w:lvlJc w:val="left"/>
      <w:pPr>
        <w:ind w:left="10626" w:hanging="1800"/>
      </w:pPr>
      <w:rPr>
        <w:rFonts w:hint="default"/>
      </w:rPr>
    </w:lvl>
    <w:lvl w:ilvl="8">
      <w:start w:val="0"/>
      <w:numFmt w:val="bullet"/>
      <w:lvlText w:val="•"/>
      <w:lvlJc w:val="left"/>
      <w:pPr>
        <w:ind w:left="11890" w:hanging="1800"/>
      </w:pPr>
      <w:rPr>
        <w:rFonts w:hint="default"/>
      </w:rPr>
    </w:lvl>
  </w:abstractNum>
  <w:abstractNum w:abstractNumId="16">
    <w:nsid w:val="55A8501C"/>
    <w:multiLevelType w:val="hybridMultilevel"/>
    <w:tmpl w:val="00000000"/>
    <w:lvl w:ilvl="0">
      <w:start w:val="3"/>
      <w:numFmt w:val="decimal"/>
      <w:lvlText w:val="%1"/>
      <w:lvlJc w:val="left"/>
      <w:pPr>
        <w:ind w:left="2590" w:hanging="1350"/>
        <w:jc w:val="left"/>
      </w:pPr>
      <w:rPr>
        <w:rFonts w:hint="default"/>
      </w:rPr>
    </w:lvl>
    <w:lvl w:ilvl="1">
      <w:start w:val="1"/>
      <w:numFmt w:val="decimal"/>
      <w:lvlText w:val="%1.%2"/>
      <w:lvlJc w:val="left"/>
      <w:pPr>
        <w:ind w:left="2590" w:hanging="1350"/>
        <w:jc w:val="left"/>
      </w:pPr>
      <w:rPr>
        <w:rFonts w:hint="default"/>
      </w:rPr>
    </w:lvl>
    <w:lvl w:ilvl="2">
      <w:start w:val="3"/>
      <w:numFmt w:val="decimal"/>
      <w:lvlText w:val="%1.%2.%3"/>
      <w:lvlJc w:val="left"/>
      <w:pPr>
        <w:ind w:left="2590" w:hanging="1350"/>
        <w:jc w:val="left"/>
      </w:pPr>
      <w:rPr>
        <w:rFonts w:hint="default"/>
      </w:rPr>
    </w:lvl>
    <w:lvl w:ilvl="3">
      <w:start w:val="3"/>
      <w:numFmt w:val="decimal"/>
      <w:lvlText w:val="%1.%2.%3.%4"/>
      <w:lvlJc w:val="left"/>
      <w:pPr>
        <w:ind w:left="2590" w:hanging="1350"/>
        <w:jc w:val="left"/>
      </w:pPr>
      <w:rPr>
        <w:rFonts w:ascii="宋体" w:eastAsia="宋体" w:hAnsi="宋体" w:cs="宋体" w:hint="default"/>
        <w:w w:val="100"/>
        <w:sz w:val="36"/>
        <w:szCs w:val="36"/>
      </w:rPr>
    </w:lvl>
    <w:lvl w:ilvl="4">
      <w:start w:val="1"/>
      <w:numFmt w:val="decimal"/>
      <w:lvlText w:val="%1.%2.%3.%4.%5"/>
      <w:lvlJc w:val="left"/>
      <w:pPr>
        <w:ind w:left="2950" w:hanging="1710"/>
        <w:jc w:val="left"/>
      </w:pPr>
      <w:rPr>
        <w:rFonts w:ascii="宋体" w:eastAsia="宋体" w:hAnsi="宋体" w:cs="宋体" w:hint="default"/>
        <w:w w:val="100"/>
        <w:sz w:val="36"/>
        <w:szCs w:val="36"/>
      </w:rPr>
    </w:lvl>
    <w:lvl w:ilvl="5">
      <w:start w:val="1"/>
      <w:numFmt w:val="decimal"/>
      <w:lvlText w:val="%1.%2.%3.%4.%5.%6"/>
      <w:lvlJc w:val="left"/>
      <w:pPr>
        <w:ind w:left="3310" w:hanging="2070"/>
        <w:jc w:val="left"/>
      </w:pPr>
      <w:rPr>
        <w:rFonts w:ascii="宋体" w:eastAsia="宋体" w:hAnsi="宋体" w:cs="宋体" w:hint="default"/>
        <w:w w:val="100"/>
        <w:sz w:val="36"/>
        <w:szCs w:val="36"/>
      </w:rPr>
    </w:lvl>
    <w:lvl w:ilvl="6">
      <w:start w:val="0"/>
      <w:numFmt w:val="bullet"/>
      <w:lvlText w:val="•"/>
      <w:lvlJc w:val="left"/>
      <w:pPr>
        <w:ind w:left="8076" w:hanging="2070"/>
      </w:pPr>
      <w:rPr>
        <w:rFonts w:hint="default"/>
      </w:rPr>
    </w:lvl>
    <w:lvl w:ilvl="7">
      <w:start w:val="0"/>
      <w:numFmt w:val="bullet"/>
      <w:lvlText w:val="•"/>
      <w:lvlJc w:val="left"/>
      <w:pPr>
        <w:ind w:left="9662" w:hanging="2070"/>
      </w:pPr>
      <w:rPr>
        <w:rFonts w:hint="default"/>
      </w:rPr>
    </w:lvl>
    <w:lvl w:ilvl="8">
      <w:start w:val="0"/>
      <w:numFmt w:val="bullet"/>
      <w:lvlText w:val="•"/>
      <w:lvlJc w:val="left"/>
      <w:pPr>
        <w:ind w:left="11248" w:hanging="2070"/>
      </w:pPr>
      <w:rPr>
        <w:rFonts w:hint="default"/>
      </w:rPr>
    </w:lvl>
  </w:abstractNum>
  <w:abstractNum w:abstractNumId="17">
    <w:nsid w:val="55D9E49A"/>
    <w:multiLevelType w:val="hybridMultilevel"/>
    <w:tmpl w:val="00000000"/>
    <w:lvl w:ilvl="0">
      <w:start w:val="4"/>
      <w:numFmt w:val="decimal"/>
      <w:lvlText w:val="%1"/>
      <w:lvlJc w:val="left"/>
      <w:pPr>
        <w:ind w:left="2140" w:hanging="900"/>
        <w:jc w:val="left"/>
      </w:pPr>
      <w:rPr>
        <w:rFonts w:hint="default"/>
      </w:rPr>
    </w:lvl>
    <w:lvl w:ilvl="1">
      <w:start w:val="2"/>
      <w:numFmt w:val="decimal"/>
      <w:lvlText w:val="%1.%2"/>
      <w:lvlJc w:val="left"/>
      <w:pPr>
        <w:ind w:left="2140" w:hanging="900"/>
        <w:jc w:val="left"/>
      </w:pPr>
      <w:rPr>
        <w:rFonts w:ascii="宋体" w:eastAsia="宋体" w:hAnsi="宋体" w:cs="宋体" w:hint="default"/>
        <w:w w:val="100"/>
        <w:sz w:val="36"/>
        <w:szCs w:val="36"/>
      </w:rPr>
    </w:lvl>
    <w:lvl w:ilvl="2">
      <w:start w:val="1"/>
      <w:numFmt w:val="decimal"/>
      <w:lvlText w:val="%1.%2.%3"/>
      <w:lvlJc w:val="left"/>
      <w:pPr>
        <w:ind w:left="2230" w:hanging="990"/>
        <w:jc w:val="left"/>
      </w:pPr>
      <w:rPr>
        <w:rFonts w:ascii="宋体" w:eastAsia="宋体" w:hAnsi="宋体" w:cs="宋体" w:hint="default"/>
        <w:w w:val="100"/>
        <w:sz w:val="36"/>
        <w:szCs w:val="36"/>
      </w:rPr>
    </w:lvl>
    <w:lvl w:ilvl="3">
      <w:start w:val="1"/>
      <w:numFmt w:val="decimal"/>
      <w:lvlText w:val="%1.%2.%3.%4"/>
      <w:lvlJc w:val="left"/>
      <w:pPr>
        <w:ind w:left="2590" w:hanging="1350"/>
        <w:jc w:val="left"/>
      </w:pPr>
      <w:rPr>
        <w:rFonts w:ascii="宋体" w:eastAsia="宋体" w:hAnsi="宋体" w:cs="宋体" w:hint="default"/>
        <w:w w:val="100"/>
        <w:sz w:val="36"/>
        <w:szCs w:val="36"/>
      </w:rPr>
    </w:lvl>
    <w:lvl w:ilvl="4">
      <w:start w:val="0"/>
      <w:numFmt w:val="bullet"/>
      <w:lvlText w:val="•"/>
      <w:lvlJc w:val="left"/>
      <w:pPr>
        <w:ind w:left="4357" w:hanging="1350"/>
      </w:pPr>
      <w:rPr>
        <w:rFonts w:hint="default"/>
      </w:rPr>
    </w:lvl>
    <w:lvl w:ilvl="5">
      <w:start w:val="0"/>
      <w:numFmt w:val="bullet"/>
      <w:lvlText w:val="•"/>
      <w:lvlJc w:val="left"/>
      <w:pPr>
        <w:ind w:left="6034" w:hanging="1350"/>
      </w:pPr>
      <w:rPr>
        <w:rFonts w:hint="default"/>
      </w:rPr>
    </w:lvl>
    <w:lvl w:ilvl="6">
      <w:start w:val="0"/>
      <w:numFmt w:val="bullet"/>
      <w:lvlText w:val="•"/>
      <w:lvlJc w:val="left"/>
      <w:pPr>
        <w:ind w:left="7711" w:hanging="1350"/>
      </w:pPr>
      <w:rPr>
        <w:rFonts w:hint="default"/>
      </w:rPr>
    </w:lvl>
    <w:lvl w:ilvl="7">
      <w:start w:val="0"/>
      <w:numFmt w:val="bullet"/>
      <w:lvlText w:val="•"/>
      <w:lvlJc w:val="left"/>
      <w:pPr>
        <w:ind w:left="9388" w:hanging="1350"/>
      </w:pPr>
      <w:rPr>
        <w:rFonts w:hint="default"/>
      </w:rPr>
    </w:lvl>
    <w:lvl w:ilvl="8">
      <w:start w:val="0"/>
      <w:numFmt w:val="bullet"/>
      <w:lvlText w:val="•"/>
      <w:lvlJc w:val="left"/>
      <w:pPr>
        <w:ind w:left="11065" w:hanging="1350"/>
      </w:pPr>
      <w:rPr>
        <w:rFonts w:hint="default"/>
      </w:rPr>
    </w:lvl>
  </w:abstractNum>
  <w:abstractNum w:abstractNumId="18">
    <w:nsid w:val="58D32306"/>
    <w:multiLevelType w:val="hybridMultilevel"/>
    <w:tmpl w:val="00000000"/>
    <w:lvl w:ilvl="0">
      <w:start w:val="1"/>
      <w:numFmt w:val="decimal"/>
      <w:lvlText w:val="（%1）"/>
      <w:lvlJc w:val="left"/>
      <w:pPr>
        <w:ind w:left="2321" w:hanging="901"/>
        <w:jc w:val="left"/>
      </w:pPr>
      <w:rPr>
        <w:rFonts w:ascii="宋体" w:eastAsia="宋体" w:hAnsi="宋体" w:cs="宋体" w:hint="default"/>
        <w:w w:val="100"/>
        <w:sz w:val="34"/>
        <w:szCs w:val="34"/>
      </w:rPr>
    </w:lvl>
    <w:lvl w:ilvl="1">
      <w:start w:val="0"/>
      <w:numFmt w:val="bullet"/>
      <w:lvlText w:val="•"/>
      <w:lvlJc w:val="left"/>
      <w:pPr>
        <w:ind w:left="3529" w:hanging="901"/>
      </w:pPr>
      <w:rPr>
        <w:rFonts w:hint="default"/>
      </w:rPr>
    </w:lvl>
    <w:lvl w:ilvl="2">
      <w:start w:val="0"/>
      <w:numFmt w:val="bullet"/>
      <w:lvlText w:val="•"/>
      <w:lvlJc w:val="left"/>
      <w:pPr>
        <w:ind w:left="4739" w:hanging="901"/>
      </w:pPr>
      <w:rPr>
        <w:rFonts w:hint="default"/>
      </w:rPr>
    </w:lvl>
    <w:lvl w:ilvl="3">
      <w:start w:val="0"/>
      <w:numFmt w:val="bullet"/>
      <w:lvlText w:val="•"/>
      <w:lvlJc w:val="left"/>
      <w:pPr>
        <w:ind w:left="5949" w:hanging="901"/>
      </w:pPr>
      <w:rPr>
        <w:rFonts w:hint="default"/>
      </w:rPr>
    </w:lvl>
    <w:lvl w:ilvl="4">
      <w:start w:val="0"/>
      <w:numFmt w:val="bullet"/>
      <w:lvlText w:val="•"/>
      <w:lvlJc w:val="left"/>
      <w:pPr>
        <w:ind w:left="7159" w:hanging="901"/>
      </w:pPr>
      <w:rPr>
        <w:rFonts w:hint="default"/>
      </w:rPr>
    </w:lvl>
    <w:lvl w:ilvl="5">
      <w:start w:val="0"/>
      <w:numFmt w:val="bullet"/>
      <w:lvlText w:val="•"/>
      <w:lvlJc w:val="left"/>
      <w:pPr>
        <w:ind w:left="8369" w:hanging="901"/>
      </w:pPr>
      <w:rPr>
        <w:rFonts w:hint="default"/>
      </w:rPr>
    </w:lvl>
    <w:lvl w:ilvl="6">
      <w:start w:val="0"/>
      <w:numFmt w:val="bullet"/>
      <w:lvlText w:val="•"/>
      <w:lvlJc w:val="left"/>
      <w:pPr>
        <w:ind w:left="9579" w:hanging="901"/>
      </w:pPr>
      <w:rPr>
        <w:rFonts w:hint="default"/>
      </w:rPr>
    </w:lvl>
    <w:lvl w:ilvl="7">
      <w:start w:val="0"/>
      <w:numFmt w:val="bullet"/>
      <w:lvlText w:val="•"/>
      <w:lvlJc w:val="left"/>
      <w:pPr>
        <w:ind w:left="10789" w:hanging="901"/>
      </w:pPr>
      <w:rPr>
        <w:rFonts w:hint="default"/>
      </w:rPr>
    </w:lvl>
    <w:lvl w:ilvl="8">
      <w:start w:val="0"/>
      <w:numFmt w:val="bullet"/>
      <w:lvlText w:val="•"/>
      <w:lvlJc w:val="left"/>
      <w:pPr>
        <w:ind w:left="11999" w:hanging="901"/>
      </w:pPr>
      <w:rPr>
        <w:rFonts w:hint="default"/>
      </w:rPr>
    </w:lvl>
  </w:abstractNum>
  <w:abstractNum w:abstractNumId="19">
    <w:nsid w:val="5C539014"/>
    <w:multiLevelType w:val="hybridMultilevel"/>
    <w:tmpl w:val="00000000"/>
    <w:lvl w:ilvl="0">
      <w:start w:val="1"/>
      <w:numFmt w:val="decimal"/>
      <w:lvlText w:val="（%1）"/>
      <w:lvlJc w:val="left"/>
      <w:pPr>
        <w:ind w:left="2141" w:hanging="901"/>
        <w:jc w:val="left"/>
      </w:pPr>
      <w:rPr>
        <w:rFonts w:ascii="宋体" w:eastAsia="宋体" w:hAnsi="宋体" w:cs="宋体" w:hint="default"/>
        <w:spacing w:val="-72"/>
        <w:w w:val="100"/>
        <w:sz w:val="34"/>
        <w:szCs w:val="34"/>
      </w:rPr>
    </w:lvl>
    <w:lvl w:ilvl="1">
      <w:start w:val="0"/>
      <w:numFmt w:val="bullet"/>
      <w:lvlText w:val="•"/>
      <w:lvlJc w:val="left"/>
      <w:pPr>
        <w:ind w:left="3367" w:hanging="901"/>
      </w:pPr>
      <w:rPr>
        <w:rFonts w:hint="default"/>
      </w:rPr>
    </w:lvl>
    <w:lvl w:ilvl="2">
      <w:start w:val="0"/>
      <w:numFmt w:val="bullet"/>
      <w:lvlText w:val="•"/>
      <w:lvlJc w:val="left"/>
      <w:pPr>
        <w:ind w:left="4595" w:hanging="901"/>
      </w:pPr>
      <w:rPr>
        <w:rFonts w:hint="default"/>
      </w:rPr>
    </w:lvl>
    <w:lvl w:ilvl="3">
      <w:start w:val="0"/>
      <w:numFmt w:val="bullet"/>
      <w:lvlText w:val="•"/>
      <w:lvlJc w:val="left"/>
      <w:pPr>
        <w:ind w:left="5823" w:hanging="901"/>
      </w:pPr>
      <w:rPr>
        <w:rFonts w:hint="default"/>
      </w:rPr>
    </w:lvl>
    <w:lvl w:ilvl="4">
      <w:start w:val="0"/>
      <w:numFmt w:val="bullet"/>
      <w:lvlText w:val="•"/>
      <w:lvlJc w:val="left"/>
      <w:pPr>
        <w:ind w:left="7051" w:hanging="901"/>
      </w:pPr>
      <w:rPr>
        <w:rFonts w:hint="default"/>
      </w:rPr>
    </w:lvl>
    <w:lvl w:ilvl="5">
      <w:start w:val="0"/>
      <w:numFmt w:val="bullet"/>
      <w:lvlText w:val="•"/>
      <w:lvlJc w:val="left"/>
      <w:pPr>
        <w:ind w:left="8279" w:hanging="901"/>
      </w:pPr>
      <w:rPr>
        <w:rFonts w:hint="default"/>
      </w:rPr>
    </w:lvl>
    <w:lvl w:ilvl="6">
      <w:start w:val="0"/>
      <w:numFmt w:val="bullet"/>
      <w:lvlText w:val="•"/>
      <w:lvlJc w:val="left"/>
      <w:pPr>
        <w:ind w:left="9507" w:hanging="901"/>
      </w:pPr>
      <w:rPr>
        <w:rFonts w:hint="default"/>
      </w:rPr>
    </w:lvl>
    <w:lvl w:ilvl="7">
      <w:start w:val="0"/>
      <w:numFmt w:val="bullet"/>
      <w:lvlText w:val="•"/>
      <w:lvlJc w:val="left"/>
      <w:pPr>
        <w:ind w:left="10735" w:hanging="901"/>
      </w:pPr>
      <w:rPr>
        <w:rFonts w:hint="default"/>
      </w:rPr>
    </w:lvl>
    <w:lvl w:ilvl="8">
      <w:start w:val="0"/>
      <w:numFmt w:val="bullet"/>
      <w:lvlText w:val="•"/>
      <w:lvlJc w:val="left"/>
      <w:pPr>
        <w:ind w:left="11963" w:hanging="901"/>
      </w:pPr>
      <w:rPr>
        <w:rFonts w:hint="default"/>
      </w:rPr>
    </w:lvl>
  </w:abstractNum>
  <w:abstractNum w:abstractNumId="20">
    <w:nsid w:val="5D4DF496"/>
    <w:multiLevelType w:val="hybridMultilevel"/>
    <w:tmpl w:val="00000000"/>
    <w:lvl w:ilvl="0">
      <w:start w:val="2"/>
      <w:numFmt w:val="decimal"/>
      <w:lvlText w:val="（%1）"/>
      <w:lvlJc w:val="left"/>
      <w:pPr>
        <w:ind w:left="2141" w:hanging="901"/>
        <w:jc w:val="left"/>
      </w:pPr>
      <w:rPr>
        <w:rFonts w:ascii="宋体" w:eastAsia="宋体" w:hAnsi="宋体" w:cs="宋体" w:hint="default"/>
        <w:w w:val="100"/>
        <w:sz w:val="34"/>
        <w:szCs w:val="34"/>
      </w:rPr>
    </w:lvl>
    <w:lvl w:ilvl="1">
      <w:start w:val="0"/>
      <w:numFmt w:val="bullet"/>
      <w:lvlText w:val="•"/>
      <w:lvlJc w:val="left"/>
      <w:pPr>
        <w:ind w:left="3367" w:hanging="901"/>
      </w:pPr>
      <w:rPr>
        <w:rFonts w:hint="default"/>
      </w:rPr>
    </w:lvl>
    <w:lvl w:ilvl="2">
      <w:start w:val="0"/>
      <w:numFmt w:val="bullet"/>
      <w:lvlText w:val="•"/>
      <w:lvlJc w:val="left"/>
      <w:pPr>
        <w:ind w:left="4595" w:hanging="901"/>
      </w:pPr>
      <w:rPr>
        <w:rFonts w:hint="default"/>
      </w:rPr>
    </w:lvl>
    <w:lvl w:ilvl="3">
      <w:start w:val="0"/>
      <w:numFmt w:val="bullet"/>
      <w:lvlText w:val="•"/>
      <w:lvlJc w:val="left"/>
      <w:pPr>
        <w:ind w:left="5823" w:hanging="901"/>
      </w:pPr>
      <w:rPr>
        <w:rFonts w:hint="default"/>
      </w:rPr>
    </w:lvl>
    <w:lvl w:ilvl="4">
      <w:start w:val="0"/>
      <w:numFmt w:val="bullet"/>
      <w:lvlText w:val="•"/>
      <w:lvlJc w:val="left"/>
      <w:pPr>
        <w:ind w:left="7051" w:hanging="901"/>
      </w:pPr>
      <w:rPr>
        <w:rFonts w:hint="default"/>
      </w:rPr>
    </w:lvl>
    <w:lvl w:ilvl="5">
      <w:start w:val="0"/>
      <w:numFmt w:val="bullet"/>
      <w:lvlText w:val="•"/>
      <w:lvlJc w:val="left"/>
      <w:pPr>
        <w:ind w:left="8279" w:hanging="901"/>
      </w:pPr>
      <w:rPr>
        <w:rFonts w:hint="default"/>
      </w:rPr>
    </w:lvl>
    <w:lvl w:ilvl="6">
      <w:start w:val="0"/>
      <w:numFmt w:val="bullet"/>
      <w:lvlText w:val="•"/>
      <w:lvlJc w:val="left"/>
      <w:pPr>
        <w:ind w:left="9507" w:hanging="901"/>
      </w:pPr>
      <w:rPr>
        <w:rFonts w:hint="default"/>
      </w:rPr>
    </w:lvl>
    <w:lvl w:ilvl="7">
      <w:start w:val="0"/>
      <w:numFmt w:val="bullet"/>
      <w:lvlText w:val="•"/>
      <w:lvlJc w:val="left"/>
      <w:pPr>
        <w:ind w:left="10735" w:hanging="901"/>
      </w:pPr>
      <w:rPr>
        <w:rFonts w:hint="default"/>
      </w:rPr>
    </w:lvl>
    <w:lvl w:ilvl="8">
      <w:start w:val="0"/>
      <w:numFmt w:val="bullet"/>
      <w:lvlText w:val="•"/>
      <w:lvlJc w:val="left"/>
      <w:pPr>
        <w:ind w:left="11963" w:hanging="901"/>
      </w:pPr>
      <w:rPr>
        <w:rFonts w:hint="default"/>
      </w:rPr>
    </w:lvl>
  </w:abstractNum>
  <w:abstractNum w:abstractNumId="21">
    <w:nsid w:val="6C1A15CB"/>
    <w:multiLevelType w:val="hybridMultilevel"/>
    <w:tmpl w:val="00000000"/>
    <w:lvl w:ilvl="0">
      <w:start w:val="3"/>
      <w:numFmt w:val="decimal"/>
      <w:lvlText w:val="%1"/>
      <w:lvlJc w:val="left"/>
      <w:pPr>
        <w:ind w:left="3310" w:hanging="2070"/>
        <w:jc w:val="left"/>
      </w:pPr>
      <w:rPr>
        <w:rFonts w:hint="default"/>
      </w:rPr>
    </w:lvl>
    <w:lvl w:ilvl="1">
      <w:start w:val="1"/>
      <w:numFmt w:val="decimal"/>
      <w:lvlText w:val="%1.%2"/>
      <w:lvlJc w:val="left"/>
      <w:pPr>
        <w:ind w:left="3310" w:hanging="2070"/>
        <w:jc w:val="left"/>
      </w:pPr>
      <w:rPr>
        <w:rFonts w:hint="default"/>
      </w:rPr>
    </w:lvl>
    <w:lvl w:ilvl="2">
      <w:start w:val="3"/>
      <w:numFmt w:val="decimal"/>
      <w:lvlText w:val="%1.%2.%3"/>
      <w:lvlJc w:val="left"/>
      <w:pPr>
        <w:ind w:left="3310" w:hanging="2070"/>
        <w:jc w:val="left"/>
      </w:pPr>
      <w:rPr>
        <w:rFonts w:hint="default"/>
      </w:rPr>
    </w:lvl>
    <w:lvl w:ilvl="3">
      <w:start w:val="2"/>
      <w:numFmt w:val="decimal"/>
      <w:lvlText w:val="%1.%2.%3.%4"/>
      <w:lvlJc w:val="left"/>
      <w:pPr>
        <w:ind w:left="3310" w:hanging="2070"/>
        <w:jc w:val="left"/>
      </w:pPr>
      <w:rPr>
        <w:rFonts w:hint="default"/>
      </w:rPr>
    </w:lvl>
    <w:lvl w:ilvl="4">
      <w:start w:val="2"/>
      <w:numFmt w:val="decimal"/>
      <w:lvlText w:val="%1.%2.%3.%4.%5"/>
      <w:lvlJc w:val="left"/>
      <w:pPr>
        <w:ind w:left="3310" w:hanging="2070"/>
        <w:jc w:val="left"/>
      </w:pPr>
      <w:rPr>
        <w:rFonts w:hint="default"/>
      </w:rPr>
    </w:lvl>
    <w:lvl w:ilvl="5">
      <w:start w:val="2"/>
      <w:numFmt w:val="decimal"/>
      <w:lvlText w:val="%1.%2.%3.%4.%5.%6"/>
      <w:lvlJc w:val="left"/>
      <w:pPr>
        <w:ind w:left="3310" w:hanging="2070"/>
        <w:jc w:val="left"/>
      </w:pPr>
      <w:rPr>
        <w:rFonts w:ascii="宋体" w:eastAsia="宋体" w:hAnsi="宋体" w:cs="宋体" w:hint="default"/>
        <w:w w:val="100"/>
        <w:sz w:val="36"/>
        <w:szCs w:val="36"/>
      </w:rPr>
    </w:lvl>
    <w:lvl w:ilvl="6">
      <w:start w:val="0"/>
      <w:numFmt w:val="bullet"/>
      <w:lvlText w:val="•"/>
      <w:lvlJc w:val="left"/>
      <w:pPr>
        <w:ind w:left="9979" w:hanging="2070"/>
      </w:pPr>
      <w:rPr>
        <w:rFonts w:hint="default"/>
      </w:rPr>
    </w:lvl>
    <w:lvl w:ilvl="7">
      <w:start w:val="0"/>
      <w:numFmt w:val="bullet"/>
      <w:lvlText w:val="•"/>
      <w:lvlJc w:val="left"/>
      <w:pPr>
        <w:ind w:left="11089" w:hanging="2070"/>
      </w:pPr>
      <w:rPr>
        <w:rFonts w:hint="default"/>
      </w:rPr>
    </w:lvl>
    <w:lvl w:ilvl="8">
      <w:start w:val="0"/>
      <w:numFmt w:val="bullet"/>
      <w:lvlText w:val="•"/>
      <w:lvlJc w:val="left"/>
      <w:pPr>
        <w:ind w:left="12199" w:hanging="2070"/>
      </w:pPr>
      <w:rPr>
        <w:rFonts w:hint="default"/>
      </w:rPr>
    </w:lvl>
  </w:abstractNum>
  <w:abstractNum w:abstractNumId="22">
    <w:nsid w:val="72CEFAFD"/>
    <w:multiLevelType w:val="hybridMultilevel"/>
    <w:tmpl w:val="00000000"/>
    <w:lvl w:ilvl="0">
      <w:start w:val="3"/>
      <w:numFmt w:val="decimal"/>
      <w:lvlText w:val="%1"/>
      <w:lvlJc w:val="left"/>
      <w:pPr>
        <w:ind w:left="3310" w:hanging="2070"/>
        <w:jc w:val="left"/>
      </w:pPr>
      <w:rPr>
        <w:rFonts w:hint="default"/>
      </w:rPr>
    </w:lvl>
    <w:lvl w:ilvl="1">
      <w:start w:val="1"/>
      <w:numFmt w:val="decimal"/>
      <w:lvlText w:val="%1.%2"/>
      <w:lvlJc w:val="left"/>
      <w:pPr>
        <w:ind w:left="3310" w:hanging="2070"/>
        <w:jc w:val="left"/>
      </w:pPr>
      <w:rPr>
        <w:rFonts w:hint="default"/>
      </w:rPr>
    </w:lvl>
    <w:lvl w:ilvl="2">
      <w:start w:val="3"/>
      <w:numFmt w:val="decimal"/>
      <w:lvlText w:val="%1.%2.%3"/>
      <w:lvlJc w:val="left"/>
      <w:pPr>
        <w:ind w:left="3310" w:hanging="2070"/>
        <w:jc w:val="left"/>
      </w:pPr>
      <w:rPr>
        <w:rFonts w:hint="default"/>
      </w:rPr>
    </w:lvl>
    <w:lvl w:ilvl="3">
      <w:start w:val="2"/>
      <w:numFmt w:val="decimal"/>
      <w:lvlText w:val="%1.%2.%3.%4"/>
      <w:lvlJc w:val="left"/>
      <w:pPr>
        <w:ind w:left="3310" w:hanging="2070"/>
        <w:jc w:val="left"/>
      </w:pPr>
      <w:rPr>
        <w:rFonts w:hint="default"/>
      </w:rPr>
    </w:lvl>
    <w:lvl w:ilvl="4">
      <w:start w:val="2"/>
      <w:numFmt w:val="decimal"/>
      <w:lvlText w:val="%1.%2.%3.%4.%5"/>
      <w:lvlJc w:val="left"/>
      <w:pPr>
        <w:ind w:left="3310" w:hanging="2070"/>
        <w:jc w:val="left"/>
      </w:pPr>
      <w:rPr>
        <w:rFonts w:hint="default"/>
      </w:rPr>
    </w:lvl>
    <w:lvl w:ilvl="5">
      <w:start w:val="2"/>
      <w:numFmt w:val="decimal"/>
      <w:lvlText w:val="%1.%2.%3.%4.%5.%6"/>
      <w:lvlJc w:val="left"/>
      <w:pPr>
        <w:ind w:left="3310" w:hanging="2070"/>
        <w:jc w:val="left"/>
      </w:pPr>
      <w:rPr>
        <w:rFonts w:ascii="宋体" w:eastAsia="宋体" w:hAnsi="宋体" w:cs="宋体" w:hint="default"/>
        <w:w w:val="100"/>
        <w:sz w:val="36"/>
        <w:szCs w:val="36"/>
      </w:rPr>
    </w:lvl>
    <w:lvl w:ilvl="6">
      <w:start w:val="0"/>
      <w:numFmt w:val="bullet"/>
      <w:lvlText w:val="•"/>
      <w:lvlJc w:val="left"/>
      <w:pPr>
        <w:ind w:left="9979" w:hanging="2070"/>
      </w:pPr>
      <w:rPr>
        <w:rFonts w:hint="default"/>
      </w:rPr>
    </w:lvl>
    <w:lvl w:ilvl="7">
      <w:start w:val="0"/>
      <w:numFmt w:val="bullet"/>
      <w:lvlText w:val="•"/>
      <w:lvlJc w:val="left"/>
      <w:pPr>
        <w:ind w:left="11089" w:hanging="2070"/>
      </w:pPr>
      <w:rPr>
        <w:rFonts w:hint="default"/>
      </w:rPr>
    </w:lvl>
    <w:lvl w:ilvl="8">
      <w:start w:val="0"/>
      <w:numFmt w:val="bullet"/>
      <w:lvlText w:val="•"/>
      <w:lvlJc w:val="left"/>
      <w:pPr>
        <w:ind w:left="12199" w:hanging="2070"/>
      </w:pPr>
      <w:rPr>
        <w:rFonts w:hint="default"/>
      </w:rPr>
    </w:lvl>
  </w:abstractNum>
  <w:abstractNum w:abstractNumId="23">
    <w:nsid w:val="7D5A1697"/>
    <w:multiLevelType w:val="hybridMultilevel"/>
    <w:tmpl w:val="00000000"/>
    <w:lvl w:ilvl="0">
      <w:start w:val="1"/>
      <w:numFmt w:val="decimal"/>
      <w:lvlText w:val="（%1）"/>
      <w:lvlJc w:val="left"/>
      <w:pPr>
        <w:ind w:left="520" w:hanging="901"/>
        <w:jc w:val="left"/>
      </w:pPr>
      <w:rPr>
        <w:rFonts w:ascii="宋体" w:eastAsia="宋体" w:hAnsi="宋体" w:cs="宋体" w:hint="default"/>
        <w:spacing w:val="-180"/>
        <w:w w:val="100"/>
        <w:sz w:val="34"/>
        <w:szCs w:val="34"/>
      </w:rPr>
    </w:lvl>
    <w:lvl w:ilvl="1">
      <w:start w:val="2"/>
      <w:numFmt w:val="decimal"/>
      <w:lvlText w:val="（%2）"/>
      <w:lvlJc w:val="left"/>
      <w:pPr>
        <w:ind w:left="520" w:hanging="901"/>
        <w:jc w:val="left"/>
      </w:pPr>
      <w:rPr>
        <w:rFonts w:ascii="宋体" w:eastAsia="宋体" w:hAnsi="宋体" w:cs="宋体" w:hint="default"/>
        <w:spacing w:val="-108"/>
        <w:w w:val="100"/>
        <w:sz w:val="34"/>
        <w:szCs w:val="34"/>
      </w:rPr>
    </w:lvl>
    <w:lvl w:ilvl="2">
      <w:start w:val="0"/>
      <w:numFmt w:val="bullet"/>
      <w:lvlText w:val="•"/>
      <w:lvlJc w:val="left"/>
      <w:pPr>
        <w:ind w:left="3299" w:hanging="901"/>
      </w:pPr>
      <w:rPr>
        <w:rFonts w:hint="default"/>
      </w:rPr>
    </w:lvl>
    <w:lvl w:ilvl="3">
      <w:start w:val="0"/>
      <w:numFmt w:val="bullet"/>
      <w:lvlText w:val="•"/>
      <w:lvlJc w:val="left"/>
      <w:pPr>
        <w:ind w:left="4689" w:hanging="901"/>
      </w:pPr>
      <w:rPr>
        <w:rFonts w:hint="default"/>
      </w:rPr>
    </w:lvl>
    <w:lvl w:ilvl="4">
      <w:start w:val="0"/>
      <w:numFmt w:val="bullet"/>
      <w:lvlText w:val="•"/>
      <w:lvlJc w:val="left"/>
      <w:pPr>
        <w:ind w:left="6079"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859" w:hanging="901"/>
      </w:pPr>
      <w:rPr>
        <w:rFonts w:hint="default"/>
      </w:rPr>
    </w:lvl>
    <w:lvl w:ilvl="7">
      <w:start w:val="0"/>
      <w:numFmt w:val="bullet"/>
      <w:lvlText w:val="•"/>
      <w:lvlJc w:val="left"/>
      <w:pPr>
        <w:ind w:left="10249" w:hanging="901"/>
      </w:pPr>
      <w:rPr>
        <w:rFonts w:hint="default"/>
      </w:rPr>
    </w:lvl>
    <w:lvl w:ilvl="8">
      <w:start w:val="0"/>
      <w:numFmt w:val="bullet"/>
      <w:lvlText w:val="•"/>
      <w:lvlJc w:val="left"/>
      <w:pPr>
        <w:ind w:left="11639" w:hanging="901"/>
      </w:pPr>
      <w:rPr>
        <w:rFonts w:hint="default"/>
      </w:rPr>
    </w:lvl>
  </w:abstractNum>
  <w:abstractNum w:abstractNumId="24">
    <w:nsid w:val="7D6175D4"/>
    <w:multiLevelType w:val="hybridMultilevel"/>
    <w:tmpl w:val="00000000"/>
    <w:lvl w:ilvl="0">
      <w:start w:val="1"/>
      <w:numFmt w:val="decimal"/>
      <w:lvlText w:val="（%1）"/>
      <w:lvlJc w:val="left"/>
      <w:pPr>
        <w:ind w:left="520" w:hanging="901"/>
        <w:jc w:val="left"/>
      </w:pPr>
      <w:rPr>
        <w:rFonts w:ascii="宋体" w:eastAsia="宋体" w:hAnsi="宋体" w:cs="宋体" w:hint="default"/>
        <w:spacing w:val="-47"/>
        <w:w w:val="100"/>
        <w:sz w:val="34"/>
        <w:szCs w:val="34"/>
      </w:rPr>
    </w:lvl>
    <w:lvl w:ilvl="1">
      <w:start w:val="0"/>
      <w:numFmt w:val="bullet"/>
      <w:lvlText w:val="•"/>
      <w:lvlJc w:val="left"/>
      <w:pPr>
        <w:ind w:left="1909" w:hanging="901"/>
      </w:pPr>
      <w:rPr>
        <w:rFonts w:hint="default"/>
      </w:rPr>
    </w:lvl>
    <w:lvl w:ilvl="2">
      <w:start w:val="0"/>
      <w:numFmt w:val="bullet"/>
      <w:lvlText w:val="•"/>
      <w:lvlJc w:val="left"/>
      <w:pPr>
        <w:ind w:left="3299" w:hanging="901"/>
      </w:pPr>
      <w:rPr>
        <w:rFonts w:hint="default"/>
      </w:rPr>
    </w:lvl>
    <w:lvl w:ilvl="3">
      <w:start w:val="0"/>
      <w:numFmt w:val="bullet"/>
      <w:lvlText w:val="•"/>
      <w:lvlJc w:val="left"/>
      <w:pPr>
        <w:ind w:left="4689" w:hanging="901"/>
      </w:pPr>
      <w:rPr>
        <w:rFonts w:hint="default"/>
      </w:rPr>
    </w:lvl>
    <w:lvl w:ilvl="4">
      <w:start w:val="0"/>
      <w:numFmt w:val="bullet"/>
      <w:lvlText w:val="•"/>
      <w:lvlJc w:val="left"/>
      <w:pPr>
        <w:ind w:left="6079"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859" w:hanging="901"/>
      </w:pPr>
      <w:rPr>
        <w:rFonts w:hint="default"/>
      </w:rPr>
    </w:lvl>
    <w:lvl w:ilvl="7">
      <w:start w:val="0"/>
      <w:numFmt w:val="bullet"/>
      <w:lvlText w:val="•"/>
      <w:lvlJc w:val="left"/>
      <w:pPr>
        <w:ind w:left="10249" w:hanging="901"/>
      </w:pPr>
      <w:rPr>
        <w:rFonts w:hint="default"/>
      </w:rPr>
    </w:lvl>
    <w:lvl w:ilvl="8">
      <w:start w:val="0"/>
      <w:numFmt w:val="bullet"/>
      <w:lvlText w:val="•"/>
      <w:lvlJc w:val="left"/>
      <w:pPr>
        <w:ind w:left="11639" w:hanging="901"/>
      </w:pPr>
      <w:rPr>
        <w:rFonts w:hint="default"/>
      </w:rPr>
    </w:lvl>
  </w:abstractNum>
  <w:num w:numId="1">
    <w:abstractNumId w:val="14"/>
  </w:num>
  <w:num w:numId="2">
    <w:abstractNumId w:val="10"/>
  </w:num>
  <w:num w:numId="3">
    <w:abstractNumId w:val="0"/>
  </w:num>
  <w:num w:numId="4">
    <w:abstractNumId w:val="11"/>
  </w:num>
  <w:num w:numId="5">
    <w:abstractNumId w:val="7"/>
  </w:num>
  <w:num w:numId="6">
    <w:abstractNumId w:val="5"/>
  </w:num>
  <w:num w:numId="7">
    <w:abstractNumId w:val="16"/>
  </w:num>
  <w:num w:numId="8">
    <w:abstractNumId w:val="6"/>
  </w:num>
  <w:num w:numId="9">
    <w:abstractNumId w:val="19"/>
  </w:num>
  <w:num w:numId="10">
    <w:abstractNumId w:val="21"/>
  </w:num>
  <w:num w:numId="11">
    <w:abstractNumId w:val="15"/>
  </w:num>
  <w:num w:numId="12">
    <w:abstractNumId w:val="9"/>
  </w:num>
  <w:num w:numId="13">
    <w:abstractNumId w:val="2"/>
  </w:num>
  <w:num w:numId="14">
    <w:abstractNumId w:val="18"/>
  </w:num>
  <w:num w:numId="15">
    <w:abstractNumId w:val="24"/>
  </w:num>
  <w:num w:numId="16">
    <w:abstractNumId w:val="23"/>
  </w:num>
  <w:num w:numId="17">
    <w:abstractNumId w:val="17"/>
  </w:num>
  <w:num w:numId="18">
    <w:abstractNumId w:val="8"/>
  </w:num>
  <w:num w:numId="19">
    <w:abstractNumId w:val="4"/>
  </w:num>
  <w:num w:numId="20">
    <w:abstractNumId w:val="20"/>
  </w:num>
  <w:num w:numId="21">
    <w:abstractNumId w:val="3"/>
  </w:num>
  <w:num w:numId="22">
    <w:abstractNumId w:val="1"/>
  </w:num>
  <w:num w:numId="23">
    <w:abstractNumId w:val="13"/>
  </w:num>
  <w:num w:numId="24">
    <w:abstractNumId w:val="12"/>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780"/>
      <w:outlineLvl w:val="0"/>
    </w:pPr>
    <w:rPr>
      <w:rFonts w:ascii="宋体" w:eastAsia="宋体" w:hAnsi="宋体" w:cs="宋体"/>
      <w:b/>
      <w:bCs/>
      <w:sz w:val="45"/>
      <w:szCs w:val="45"/>
    </w:rPr>
  </w:style>
  <w:style w:type="paragraph" w:styleId="Heading2">
    <w:name w:val="heading 2"/>
    <w:basedOn w:val="Normal"/>
    <w:uiPriority w:val="1"/>
    <w:qFormat/>
    <w:pPr>
      <w:spacing w:before="2"/>
      <w:ind w:left="520"/>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line="825" w:lineRule="exact"/>
      <w:ind w:left="1069" w:right="1348"/>
      <w:jc w:val="center"/>
    </w:pPr>
    <w:rPr>
      <w:rFonts w:ascii="宋体" w:eastAsia="宋体" w:hAnsi="宋体" w:cs="宋体"/>
      <w:b/>
      <w:bCs/>
      <w:sz w:val="66"/>
      <w:szCs w:val="66"/>
    </w:rPr>
  </w:style>
  <w:style w:type="paragraph" w:styleId="ListParagraph">
    <w:name w:val="List Paragraph"/>
    <w:basedOn w:val="Normal"/>
    <w:uiPriority w:val="1"/>
    <w:qFormat/>
    <w:pPr>
      <w:spacing w:before="241"/>
      <w:ind w:left="520" w:firstLine="719"/>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hyperlink" Target="https://d.book118.com/187101051166006042"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2024-01-29T15:34:05Z</dcterms:created>
  <dcterms:modified xsi:type="dcterms:W3CDTF">2024-01-29T15:34:05Z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LastSaved">
    <vt:filetime>2024-01-29T00:00:00Z</vt:filetime>
  </property>
</Properties>
</file>