
<file path=[Content_Types].xml><?xml version="1.0" encoding="utf-8"?>
<Types xmlns="http://schemas.openxmlformats.org/package/2006/content-types">
  <Default Extension="emf" ContentType="image/x-emf"/>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embeddings/oleObject2.vsd" ContentType="application/vnd.visio"/>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OC1"/>
        <w:pageBreakBefore w:val="0"/>
        <w:tabs>
          <w:tab w:val="left" w:pos="1050"/>
          <w:tab w:val="right" w:leader="dot" w:pos="9231"/>
        </w:tabs>
        <w:kinsoku/>
        <w:topLinePunct w:val="0"/>
        <w:bidi w:val="0"/>
        <w:snapToGrid/>
        <w:spacing w:line="500" w:lineRule="auto"/>
        <w:jc w:val="center"/>
        <w:rPr>
          <w:rFonts w:hint="eastAsia"/>
          <w:sz w:val="36"/>
          <w:szCs w:val="36"/>
        </w:rPr>
      </w:pPr>
      <w:r>
        <w:rPr>
          <w:sz w:val="36"/>
          <w:szCs w:val="36"/>
        </w:rPr>
        <w:t>目    录</w:t>
      </w:r>
    </w:p>
    <w:p>
      <w:pPr>
        <w:pStyle w:val="TOC1"/>
        <w:tabs>
          <w:tab w:val="right" w:leader="dot" w:pos="9354"/>
        </w:tabs>
        <w:spacing w:line="500" w:lineRule="auto"/>
        <w:rPr>
          <w:rFonts w:ascii="宋体" w:hAnsi="宋体" w:cs="宋体" w:hint="eastAsia"/>
          <w:kern w:val="44"/>
          <w:szCs w:val="24"/>
          <w:lang w:val="en-US" w:eastAsia="zh-CN" w:bidi="ar-SA"/>
        </w:rPr>
      </w:pPr>
      <w:bookmarkStart w:id="0" w:name="_Toc382754662"/>
      <w:bookmarkStart w:id="1" w:name="_Toc394494600"/>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TOC \o "1-1" \t "标题 2,1,标题 3,2,标题 4,3,标题 5,5,标题 6,6,标题 7,7,标题 8,8,标题 9,9" \h \u </w:instrText>
      </w:r>
      <w:r>
        <w:rPr>
          <w:rFonts w:ascii="宋体" w:eastAsia="宋体" w:hAnsi="宋体" w:cs="宋体" w:hint="eastAsia"/>
          <w:sz w:val="24"/>
          <w:szCs w:val="24"/>
        </w:rPr>
        <w:fldChar w:fldCharType="separate"/>
      </w:r>
      <w:hyperlink w:anchor="_Toc22409" w:history="1">
        <w:r>
          <w:rPr>
            <w:rFonts w:ascii="宋体" w:eastAsia="宋体" w:hAnsi="宋体" w:cs="宋体" w:hint="eastAsia"/>
            <w:bCs/>
            <w:kern w:val="44"/>
            <w:sz w:val="24"/>
            <w:szCs w:val="24"/>
            <w:lang w:val="en-US" w:eastAsia="zh-CN" w:bidi="ar-SA"/>
          </w:rPr>
          <w:t>第一章 编制依据</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_Toc22409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w:t>
        </w:r>
        <w:r>
          <w:rPr>
            <w:rFonts w:ascii="宋体" w:eastAsia="宋体" w:hAnsi="宋体" w:cs="宋体" w:hint="eastAsia"/>
            <w:bCs/>
            <w:kern w:val="44"/>
            <w:sz w:val="24"/>
            <w:szCs w:val="24"/>
            <w:lang w:val="en-US" w:eastAsia="zh-CN" w:bidi="ar-SA"/>
          </w:rPr>
          <w:fldChar w:fldCharType="end"/>
        </w:r>
      </w:hyperlink>
    </w:p>
    <w:p>
      <w:pPr>
        <w:pStyle w:val="TOC1"/>
        <w:tabs>
          <w:tab w:val="right" w:leader="dot" w:pos="9354"/>
        </w:tabs>
        <w:spacing w:line="500" w:lineRule="auto"/>
        <w:rPr>
          <w:rFonts w:ascii="宋体" w:hAnsi="宋体" w:cs="宋体" w:hint="eastAsia"/>
          <w:kern w:val="44"/>
          <w:szCs w:val="24"/>
          <w:lang w:val="en-US" w:eastAsia="zh-CN" w:bidi="ar-SA"/>
        </w:rPr>
      </w:pPr>
      <w:hyperlink w:anchor="_Toc23019" w:history="1">
        <w:r>
          <w:rPr>
            <w:rFonts w:ascii="宋体" w:eastAsia="宋体" w:hAnsi="宋体" w:cs="宋体" w:hint="eastAsia"/>
            <w:bCs/>
            <w:kern w:val="44"/>
            <w:sz w:val="24"/>
            <w:szCs w:val="24"/>
            <w:lang w:val="en-US" w:eastAsia="zh-CN" w:bidi="ar-SA"/>
          </w:rPr>
          <w:t>第二章 工程概况</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_Toc23019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3</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44"/>
          <w:szCs w:val="24"/>
          <w:lang w:val="en-US" w:eastAsia="zh-CN" w:bidi="ar-SA"/>
        </w:rPr>
      </w:pPr>
      <w:hyperlink w:anchor="_Toc17194" w:history="1">
        <w:r>
          <w:rPr>
            <w:rFonts w:ascii="宋体" w:eastAsia="宋体" w:hAnsi="宋体" w:cs="宋体" w:hint="eastAsia"/>
            <w:b w:val="0"/>
            <w:bCs w:val="0"/>
            <w:kern w:val="2"/>
            <w:sz w:val="24"/>
            <w:szCs w:val="24"/>
            <w:lang w:val="en-US" w:eastAsia="zh-CN" w:bidi="ar-SA"/>
          </w:rPr>
          <w:t xml:space="preserve">1. </w:t>
        </w:r>
        <w:r>
          <w:rPr>
            <w:rFonts w:ascii="宋体" w:eastAsia="宋体" w:hAnsi="宋体" w:cs="宋体" w:hint="eastAsia"/>
            <w:b w:val="0"/>
            <w:bCs w:val="0"/>
            <w:kern w:val="44"/>
            <w:sz w:val="24"/>
            <w:szCs w:val="24"/>
            <w:lang w:val="en-US" w:eastAsia="zh-CN" w:bidi="ar-SA"/>
          </w:rPr>
          <w:t>工程简述</w:t>
          <w:tab/>
        </w:r>
        <w:r>
          <w:rPr>
            <w:rFonts w:ascii="宋体" w:eastAsia="宋体" w:hAnsi="宋体" w:cs="宋体" w:hint="eastAsia"/>
            <w:b w:val="0"/>
            <w:bCs w:val="0"/>
            <w:kern w:val="44"/>
            <w:sz w:val="24"/>
            <w:szCs w:val="24"/>
            <w:lang w:val="en-US" w:eastAsia="zh-CN" w:bidi="ar-SA"/>
          </w:rPr>
          <w:fldChar w:fldCharType="begin"/>
        </w:r>
        <w:r>
          <w:rPr>
            <w:rFonts w:ascii="宋体" w:eastAsia="宋体" w:hAnsi="宋体" w:cs="宋体" w:hint="eastAsia"/>
            <w:b w:val="0"/>
            <w:bCs w:val="0"/>
            <w:kern w:val="44"/>
            <w:sz w:val="24"/>
            <w:szCs w:val="24"/>
            <w:lang w:val="en-US" w:eastAsia="zh-CN" w:bidi="ar-SA"/>
          </w:rPr>
          <w:instrText xml:space="preserve"> PAGEREF _Toc17194 </w:instrText>
        </w:r>
        <w:r>
          <w:rPr>
            <w:rFonts w:ascii="宋体" w:eastAsia="宋体" w:hAnsi="宋体" w:cs="宋体" w:hint="eastAsia"/>
            <w:b w:val="0"/>
            <w:bCs w:val="0"/>
            <w:kern w:val="44"/>
            <w:sz w:val="24"/>
            <w:szCs w:val="24"/>
            <w:lang w:val="en-US" w:eastAsia="zh-CN" w:bidi="ar-SA"/>
          </w:rPr>
          <w:fldChar w:fldCharType="separate"/>
        </w:r>
        <w:r>
          <w:rPr>
            <w:rFonts w:ascii="宋体" w:eastAsia="宋体" w:hAnsi="宋体" w:cs="宋体" w:hint="eastAsia"/>
            <w:b w:val="0"/>
            <w:bCs w:val="0"/>
            <w:kern w:val="44"/>
            <w:sz w:val="24"/>
            <w:szCs w:val="24"/>
            <w:lang w:val="en-US" w:eastAsia="zh-CN" w:bidi="ar-SA"/>
          </w:rPr>
          <w:t>3</w:t>
        </w:r>
        <w:r>
          <w:rPr>
            <w:rFonts w:ascii="宋体" w:eastAsia="宋体" w:hAnsi="宋体" w:cs="宋体" w:hint="eastAsia"/>
            <w:b w:val="0"/>
            <w:bCs w:val="0"/>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4010" w:history="1">
        <w:r>
          <w:rPr>
            <w:rFonts w:ascii="宋体" w:eastAsia="宋体" w:hAnsi="宋体" w:cs="宋体" w:hint="eastAsia"/>
            <w:bCs w:val="0"/>
            <w:emboss w:val="0"/>
            <w:kern w:val="2"/>
            <w:sz w:val="24"/>
            <w:szCs w:val="24"/>
            <w:lang w:val="en-US" w:eastAsia="zh-CN" w:bidi="ar-SA"/>
          </w:rPr>
          <w:t xml:space="preserve">1.1. </w:t>
        </w:r>
        <w:r>
          <w:rPr>
            <w:rFonts w:ascii="宋体" w:eastAsia="宋体" w:hAnsi="宋体" w:cs="宋体" w:hint="eastAsia"/>
            <w:bCs/>
            <w:kern w:val="44"/>
            <w:sz w:val="24"/>
            <w:szCs w:val="24"/>
            <w:lang w:val="en-US" w:eastAsia="zh-CN" w:bidi="ar-SA"/>
          </w:rPr>
          <w:t>总体概述</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_Toc4010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3</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8464" w:history="1">
        <w:r>
          <w:rPr>
            <w:rFonts w:ascii="宋体" w:eastAsia="宋体" w:hAnsi="宋体" w:cs="宋体" w:hint="eastAsia"/>
            <w:bCs w:val="0"/>
            <w:emboss w:val="0"/>
            <w:kern w:val="2"/>
            <w:sz w:val="24"/>
            <w:szCs w:val="24"/>
            <w:lang w:val="en-US" w:eastAsia="zh-CN" w:bidi="ar-SA"/>
          </w:rPr>
          <w:t xml:space="preserve">1.2. </w:t>
        </w:r>
        <w:r>
          <w:rPr>
            <w:rFonts w:ascii="宋体" w:eastAsia="宋体" w:hAnsi="宋体" w:cs="宋体" w:hint="eastAsia"/>
            <w:bCs/>
            <w:kern w:val="44"/>
            <w:sz w:val="24"/>
            <w:szCs w:val="24"/>
            <w:lang w:val="en-US" w:eastAsia="zh-CN" w:bidi="ar-SA"/>
          </w:rPr>
          <w:t>线路情况</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_Toc18464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3</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4780" w:history="1">
        <w:r>
          <w:rPr>
            <w:rFonts w:ascii="宋体" w:eastAsia="宋体" w:hAnsi="宋体" w:cs="宋体" w:hint="eastAsia"/>
            <w:bCs/>
            <w:kern w:val="44"/>
            <w:sz w:val="24"/>
            <w:szCs w:val="24"/>
            <w:lang w:val="en-US" w:eastAsia="zh-CN" w:bidi="ar-SA"/>
          </w:rPr>
          <w:t>1.3. 衬砌结构</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_Toc24780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4</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988" w:history="1">
        <w:r>
          <w:rPr>
            <w:rFonts w:ascii="宋体" w:eastAsia="宋体" w:hAnsi="宋体" w:cs="宋体" w:hint="eastAsia"/>
            <w:b w:val="0"/>
            <w:bCs w:val="0"/>
            <w:kern w:val="2"/>
            <w:sz w:val="24"/>
            <w:szCs w:val="24"/>
            <w:lang w:val="en-US" w:eastAsia="zh-CN" w:bidi="ar-SA"/>
          </w:rPr>
          <w:t>2. 工程地质</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_Toc988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4</w:t>
        </w:r>
        <w:r>
          <w:rPr>
            <w:rFonts w:ascii="宋体" w:eastAsia="宋体" w:hAnsi="宋体" w:cs="宋体" w:hint="eastAsia"/>
            <w:b w:val="0"/>
            <w:bCs w:val="0"/>
            <w:kern w:val="2"/>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0628" w:history="1">
        <w:r>
          <w:rPr>
            <w:rFonts w:ascii="宋体" w:eastAsia="宋体" w:hAnsi="宋体" w:cs="宋体" w:hint="eastAsia"/>
            <w:bCs/>
            <w:kern w:val="44"/>
            <w:sz w:val="24"/>
            <w:szCs w:val="24"/>
            <w:lang w:val="en-US" w:eastAsia="zh-CN" w:bidi="ar-SA"/>
          </w:rPr>
          <w:t>2.1. 行政区划及交通现状</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_Toc20628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4</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4509" w:history="1">
        <w:r>
          <w:rPr>
            <w:rFonts w:ascii="宋体" w:eastAsia="宋体" w:hAnsi="宋体" w:cs="宋体" w:hint="eastAsia"/>
            <w:bCs/>
            <w:kern w:val="44"/>
            <w:sz w:val="24"/>
            <w:szCs w:val="24"/>
            <w:lang w:val="en-US" w:eastAsia="zh-CN" w:bidi="ar-SA"/>
          </w:rPr>
          <w:t>2.2. 气象</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_Toc24509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5</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4768" w:history="1">
        <w:r>
          <w:rPr>
            <w:rFonts w:ascii="宋体" w:eastAsia="宋体" w:hAnsi="宋体" w:cs="宋体" w:hint="eastAsia"/>
            <w:bCs/>
            <w:kern w:val="44"/>
            <w:sz w:val="24"/>
            <w:szCs w:val="24"/>
            <w:lang w:val="en-US" w:eastAsia="zh-CN" w:bidi="ar-SA"/>
          </w:rPr>
          <w:t>2.3. 地层岩性</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_Toc24768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5</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8122" w:history="1">
        <w:r>
          <w:rPr>
            <w:rFonts w:ascii="宋体" w:eastAsia="宋体" w:hAnsi="宋体" w:cs="宋体" w:hint="eastAsia"/>
            <w:bCs/>
            <w:kern w:val="44"/>
            <w:sz w:val="24"/>
            <w:szCs w:val="24"/>
            <w:lang w:val="en-US" w:eastAsia="zh-CN" w:bidi="ar-SA"/>
          </w:rPr>
          <w:t>2.4. 水文地质条件</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_Toc18122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6</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7648" w:history="1">
        <w:r>
          <w:rPr>
            <w:rFonts w:ascii="宋体" w:eastAsia="宋体" w:hAnsi="宋体" w:cs="宋体" w:hint="eastAsia"/>
            <w:bCs/>
            <w:kern w:val="44"/>
            <w:sz w:val="24"/>
            <w:szCs w:val="24"/>
            <w:lang w:val="en-US" w:eastAsia="zh-CN" w:bidi="ar-SA"/>
          </w:rPr>
          <w:t>2.5. 特殊性岩土</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_Toc7648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6</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2801" w:history="1">
        <w:r>
          <w:rPr>
            <w:rFonts w:ascii="宋体" w:eastAsia="宋体" w:hAnsi="宋体" w:cs="宋体" w:hint="eastAsia"/>
            <w:bCs/>
            <w:kern w:val="44"/>
            <w:sz w:val="24"/>
            <w:szCs w:val="24"/>
            <w:lang w:val="en-US" w:eastAsia="zh-CN" w:bidi="ar-SA"/>
          </w:rPr>
          <w:t>2.6. 岩土施工工程分级</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_Toc12801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7</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8021" w:history="1">
        <w:r>
          <w:rPr>
            <w:rFonts w:ascii="宋体" w:eastAsia="宋体" w:hAnsi="宋体" w:cs="宋体" w:hint="eastAsia"/>
            <w:bCs/>
            <w:kern w:val="44"/>
            <w:sz w:val="24"/>
            <w:szCs w:val="24"/>
            <w:lang w:val="en-US" w:eastAsia="zh-CN" w:bidi="ar-SA"/>
          </w:rPr>
          <w:t>2.7. 设计参数建议值</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_Toc18021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8</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6" w:history="1">
        <w:r>
          <w:rPr>
            <w:rFonts w:ascii="宋体" w:eastAsia="宋体" w:hAnsi="宋体" w:cs="宋体" w:hint="eastAsia"/>
            <w:bCs/>
            <w:kern w:val="44"/>
            <w:sz w:val="24"/>
            <w:szCs w:val="24"/>
            <w:lang w:val="en-US" w:eastAsia="zh-CN" w:bidi="ar-SA"/>
          </w:rPr>
          <w:t>2.8. 复合式TBM隧道段工程地质评价</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_Toc16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8</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9435" w:history="1">
        <w:r>
          <w:rPr>
            <w:rFonts w:ascii="宋体" w:eastAsia="宋体" w:hAnsi="宋体" w:cs="宋体" w:hint="eastAsia"/>
            <w:bCs/>
            <w:kern w:val="44"/>
            <w:sz w:val="24"/>
            <w:szCs w:val="24"/>
            <w:lang w:val="en-US" w:eastAsia="zh-CN" w:bidi="ar-SA"/>
          </w:rPr>
          <w:t>2.9. 建议</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_Toc29435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10</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27940" w:history="1">
        <w:r>
          <w:rPr>
            <w:rFonts w:ascii="宋体" w:eastAsia="宋体" w:hAnsi="宋体" w:cs="宋体" w:hint="eastAsia"/>
            <w:b w:val="0"/>
            <w:bCs w:val="0"/>
            <w:kern w:val="2"/>
            <w:sz w:val="24"/>
            <w:szCs w:val="24"/>
            <w:lang w:val="en-US" w:eastAsia="zh-CN" w:bidi="ar-SA"/>
          </w:rPr>
          <w:t>3. 周边环境及管线</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_Toc27940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10</w:t>
        </w:r>
        <w:r>
          <w:rPr>
            <w:rFonts w:ascii="宋体" w:eastAsia="宋体" w:hAnsi="宋体" w:cs="宋体" w:hint="eastAsia"/>
            <w:b w:val="0"/>
            <w:bCs w:val="0"/>
            <w:kern w:val="2"/>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1742" w:history="1">
        <w:r>
          <w:rPr>
            <w:rFonts w:ascii="宋体" w:eastAsia="宋体" w:hAnsi="宋体" w:cs="宋体" w:hint="eastAsia"/>
            <w:bCs/>
            <w:kern w:val="44"/>
            <w:sz w:val="24"/>
            <w:szCs w:val="24"/>
            <w:lang w:val="en-US" w:eastAsia="zh-CN" w:bidi="ar-SA"/>
          </w:rPr>
          <w:t>3.1. 机场滑行道、跑道及停机坪</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_Toc11742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10</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9795" w:history="1">
        <w:r>
          <w:rPr>
            <w:rFonts w:ascii="宋体" w:eastAsia="宋体" w:hAnsi="宋体" w:cs="宋体" w:hint="eastAsia"/>
            <w:bCs/>
            <w:kern w:val="44"/>
            <w:sz w:val="24"/>
            <w:szCs w:val="24"/>
            <w:lang w:val="en-US" w:eastAsia="zh-CN" w:bidi="ar-SA"/>
          </w:rPr>
          <w:t>3.2. T2B航站楼指廊及综合换乘中心</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_Toc9795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11</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9898" w:history="1">
        <w:r>
          <w:rPr>
            <w:rFonts w:ascii="宋体" w:eastAsia="宋体" w:hAnsi="宋体" w:cs="宋体" w:hint="eastAsia"/>
            <w:bCs/>
            <w:kern w:val="44"/>
            <w:sz w:val="24"/>
            <w:szCs w:val="24"/>
            <w:lang w:val="en-US" w:eastAsia="zh-CN" w:bidi="ar-SA"/>
          </w:rPr>
          <w:t>3.3. 机场内外埋设的管线</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_Toc29898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12</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sectPr>
          <w:pgSz w:w="11906" w:h="16838"/>
          <w:pgMar w:top="1134" w:right="1134" w:bottom="1134"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0"/>
          <w:cols w:space="708"/>
          <w:docGrid w:type="linesAndChars" w:linePitch="312"/>
        </w:sectPr>
      </w:pPr>
      <w:hyperlink w:anchor="_Toc27585" w:history="1">
        <w:r>
          <w:rPr>
            <w:rFonts w:ascii="宋体" w:eastAsia="宋体" w:hAnsi="宋体" w:cs="宋体" w:hint="eastAsia"/>
            <w:b w:val="0"/>
            <w:bCs w:val="0"/>
            <w:kern w:val="2"/>
            <w:sz w:val="24"/>
            <w:szCs w:val="24"/>
            <w:lang w:val="en-US" w:eastAsia="zh-CN" w:bidi="ar-SA"/>
          </w:rPr>
          <w:t>4. 设备简介</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_Toc27585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13</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551" w:history="1">
        <w:r>
          <w:rPr>
            <w:rFonts w:ascii="宋体" w:eastAsia="宋体" w:hAnsi="宋体" w:cs="宋体" w:hint="eastAsia"/>
            <w:b w:val="0"/>
            <w:bCs w:val="0"/>
            <w:kern w:val="2"/>
            <w:sz w:val="24"/>
            <w:szCs w:val="24"/>
            <w:lang w:val="en-US" w:eastAsia="zh-CN" w:bidi="ar-SA"/>
          </w:rPr>
          <w:t>5. 实验意义</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_Toc551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14</w:t>
        </w:r>
        <w:r>
          <w:rPr>
            <w:rFonts w:ascii="宋体" w:eastAsia="宋体" w:hAnsi="宋体" w:cs="宋体" w:hint="eastAsia"/>
            <w:b w:val="0"/>
            <w:bCs w:val="0"/>
            <w:kern w:val="2"/>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9282" w:history="1">
        <w:r>
          <w:rPr>
            <w:rFonts w:ascii="宋体" w:eastAsia="宋体" w:hAnsi="宋体" w:cs="宋体" w:hint="eastAsia"/>
            <w:bCs/>
            <w:kern w:val="44"/>
            <w:sz w:val="24"/>
            <w:szCs w:val="24"/>
            <w:lang w:val="en-US" w:eastAsia="zh-CN" w:bidi="ar-SA"/>
          </w:rPr>
          <w:t>5.1. 穿越机场环境保护规定高、距离长</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_Toc9282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14</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8558" w:history="1">
        <w:r>
          <w:rPr>
            <w:rFonts w:ascii="宋体" w:eastAsia="宋体" w:hAnsi="宋体" w:cs="宋体" w:hint="eastAsia"/>
            <w:bCs/>
            <w:kern w:val="44"/>
            <w:sz w:val="24"/>
            <w:szCs w:val="24"/>
            <w:lang w:val="en-US" w:eastAsia="zh-CN" w:bidi="ar-SA"/>
          </w:rPr>
          <w:t>5.2. 监测方法及监测时间等受限制较多</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_Toc18558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14</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19666" w:history="1">
        <w:r>
          <w:rPr>
            <w:rFonts w:ascii="宋体" w:eastAsia="宋体" w:hAnsi="宋体" w:cs="宋体" w:hint="eastAsia"/>
            <w:b w:val="0"/>
            <w:bCs w:val="0"/>
            <w:kern w:val="2"/>
            <w:sz w:val="24"/>
            <w:szCs w:val="24"/>
            <w:lang w:val="en-US" w:eastAsia="zh-CN" w:bidi="ar-SA"/>
          </w:rPr>
          <w:t>6. 实验目的</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_Toc19666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15</w:t>
        </w:r>
        <w:r>
          <w:rPr>
            <w:rFonts w:ascii="宋体" w:eastAsia="宋体" w:hAnsi="宋体" w:cs="宋体" w:hint="eastAsia"/>
            <w:b w:val="0"/>
            <w:bCs w:val="0"/>
            <w:kern w:val="2"/>
            <w:sz w:val="24"/>
            <w:szCs w:val="24"/>
            <w:lang w:val="en-US" w:eastAsia="zh-CN" w:bidi="ar-SA"/>
          </w:rPr>
          <w:fldChar w:fldCharType="end"/>
        </w:r>
      </w:hyperlink>
    </w:p>
    <w:p>
      <w:pPr>
        <w:pStyle w:val="TOC1"/>
        <w:tabs>
          <w:tab w:val="right" w:leader="dot" w:pos="9354"/>
        </w:tabs>
        <w:spacing w:line="500" w:lineRule="auto"/>
        <w:rPr>
          <w:rFonts w:ascii="宋体" w:hAnsi="宋体" w:cs="宋体" w:hint="eastAsia"/>
          <w:kern w:val="44"/>
          <w:szCs w:val="24"/>
          <w:lang w:val="en-US" w:eastAsia="zh-CN" w:bidi="ar-SA"/>
        </w:rPr>
      </w:pPr>
      <w:hyperlink w:anchor="_Toc31398" w:history="1">
        <w:r>
          <w:rPr>
            <w:rFonts w:ascii="宋体" w:eastAsia="宋体" w:hAnsi="宋体" w:cs="宋体" w:hint="eastAsia"/>
            <w:bCs/>
            <w:kern w:val="44"/>
            <w:sz w:val="24"/>
            <w:szCs w:val="24"/>
            <w:lang w:val="en-US" w:eastAsia="zh-CN" w:bidi="ar-SA"/>
          </w:rPr>
          <w:t>第三章 实验段施工计划</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_Toc31398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16</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22251" w:history="1">
        <w:r>
          <w:rPr>
            <w:rFonts w:ascii="宋体" w:eastAsia="宋体" w:hAnsi="宋体" w:cs="宋体" w:hint="eastAsia"/>
            <w:b w:val="0"/>
            <w:bCs w:val="0"/>
            <w:kern w:val="2"/>
            <w:sz w:val="24"/>
            <w:szCs w:val="24"/>
            <w:lang w:val="en-US" w:eastAsia="zh-CN" w:bidi="ar-SA"/>
          </w:rPr>
          <w:t>1. 实验段范围与地质情况</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_Toc22251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16</w:t>
        </w:r>
        <w:r>
          <w:rPr>
            <w:rFonts w:ascii="宋体" w:eastAsia="宋体" w:hAnsi="宋体" w:cs="宋体" w:hint="eastAsia"/>
            <w:b w:val="0"/>
            <w:bCs w:val="0"/>
            <w:kern w:val="2"/>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3659" w:history="1">
        <w:r>
          <w:rPr>
            <w:rFonts w:ascii="宋体" w:eastAsia="宋体" w:hAnsi="宋体" w:cs="宋体" w:hint="eastAsia"/>
            <w:bCs/>
            <w:kern w:val="44"/>
            <w:sz w:val="24"/>
            <w:szCs w:val="24"/>
            <w:lang w:val="en-US" w:eastAsia="zh-CN" w:bidi="ar-SA"/>
          </w:rPr>
          <w:t>1.1. 实验范围</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_Toc3659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16</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9282" w:history="1">
        <w:r>
          <w:rPr>
            <w:rFonts w:ascii="宋体" w:eastAsia="宋体" w:hAnsi="宋体" w:cs="宋体" w:hint="eastAsia"/>
            <w:bCs/>
            <w:kern w:val="44"/>
            <w:sz w:val="24"/>
            <w:szCs w:val="24"/>
            <w:lang w:val="en-US" w:eastAsia="zh-CN" w:bidi="ar-SA"/>
          </w:rPr>
          <w:t>1.2. 地质水文条件</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_Toc19282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16</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21434" w:history="1">
        <w:r>
          <w:rPr>
            <w:rFonts w:ascii="宋体" w:eastAsia="宋体" w:hAnsi="宋体" w:cs="宋体" w:hint="eastAsia"/>
            <w:b w:val="0"/>
            <w:bCs w:val="0"/>
            <w:kern w:val="2"/>
            <w:sz w:val="24"/>
            <w:szCs w:val="24"/>
            <w:lang w:val="en-US" w:eastAsia="zh-CN" w:bidi="ar-SA"/>
          </w:rPr>
          <w:t>2. 组织机构</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_Toc21434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17</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308" w:history="1">
        <w:r>
          <w:rPr>
            <w:rFonts w:ascii="宋体" w:eastAsia="宋体" w:hAnsi="宋体" w:cs="宋体" w:hint="eastAsia"/>
            <w:b w:val="0"/>
            <w:bCs w:val="0"/>
            <w:kern w:val="2"/>
            <w:sz w:val="24"/>
            <w:szCs w:val="24"/>
            <w:lang w:val="en-US" w:eastAsia="zh-CN" w:bidi="ar-SA"/>
          </w:rPr>
          <w:t>3. 资源配置</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_Toc308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17</w:t>
        </w:r>
        <w:r>
          <w:rPr>
            <w:rFonts w:ascii="宋体" w:eastAsia="宋体" w:hAnsi="宋体" w:cs="宋体" w:hint="eastAsia"/>
            <w:b w:val="0"/>
            <w:bCs w:val="0"/>
            <w:kern w:val="2"/>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1795" w:history="1">
        <w:r>
          <w:rPr>
            <w:rFonts w:ascii="宋体" w:eastAsia="宋体" w:hAnsi="宋体" w:cs="宋体" w:hint="eastAsia"/>
            <w:bCs/>
            <w:kern w:val="44"/>
            <w:sz w:val="24"/>
            <w:szCs w:val="24"/>
            <w:lang w:val="en-US" w:eastAsia="zh-CN" w:bidi="ar-SA"/>
          </w:rPr>
          <w:t>3.1. 人力资源</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_Toc21795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17</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9426" w:history="1">
        <w:r>
          <w:rPr>
            <w:rFonts w:ascii="宋体" w:eastAsia="宋体" w:hAnsi="宋体" w:cs="宋体" w:hint="eastAsia"/>
            <w:bCs/>
            <w:kern w:val="44"/>
            <w:sz w:val="24"/>
            <w:szCs w:val="24"/>
            <w:lang w:val="en-US" w:eastAsia="zh-CN" w:bidi="ar-SA"/>
          </w:rPr>
          <w:t>3.2. 设备仪器</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_Toc29426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18</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59" w:history="1">
        <w:r>
          <w:rPr>
            <w:rFonts w:ascii="宋体" w:eastAsia="宋体" w:hAnsi="宋体" w:cs="宋体" w:hint="eastAsia"/>
            <w:bCs/>
            <w:kern w:val="44"/>
            <w:sz w:val="24"/>
            <w:szCs w:val="24"/>
            <w:lang w:val="en-US" w:eastAsia="zh-CN" w:bidi="ar-SA"/>
          </w:rPr>
          <w:t>3.3. 施工计划</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_Toc159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19</w:t>
        </w:r>
        <w:r>
          <w:rPr>
            <w:rFonts w:ascii="宋体" w:eastAsia="宋体" w:hAnsi="宋体" w:cs="宋体" w:hint="eastAsia"/>
            <w:bCs/>
            <w:kern w:val="44"/>
            <w:sz w:val="24"/>
            <w:szCs w:val="24"/>
            <w:lang w:val="en-US" w:eastAsia="zh-CN" w:bidi="ar-SA"/>
          </w:rPr>
          <w:fldChar w:fldCharType="end"/>
        </w:r>
      </w:hyperlink>
    </w:p>
    <w:p>
      <w:pPr>
        <w:pStyle w:val="TOC1"/>
        <w:tabs>
          <w:tab w:val="right" w:leader="dot" w:pos="9354"/>
        </w:tabs>
        <w:spacing w:line="500" w:lineRule="auto"/>
        <w:rPr>
          <w:rFonts w:ascii="宋体" w:hAnsi="宋体" w:cs="宋体" w:hint="eastAsia"/>
          <w:kern w:val="44"/>
          <w:szCs w:val="24"/>
          <w:lang w:val="en-US" w:eastAsia="zh-CN" w:bidi="ar-SA"/>
        </w:rPr>
      </w:pPr>
      <w:hyperlink w:anchor="_Toc18039" w:history="1">
        <w:r>
          <w:rPr>
            <w:rFonts w:ascii="宋体" w:eastAsia="宋体" w:hAnsi="宋体" w:cs="宋体" w:hint="eastAsia"/>
            <w:bCs/>
            <w:kern w:val="44"/>
            <w:sz w:val="24"/>
            <w:szCs w:val="24"/>
            <w:lang w:val="en-US" w:eastAsia="zh-CN" w:bidi="ar-SA"/>
          </w:rPr>
          <w:t>第四章 实验段掘进方案</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_Toc18039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20</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31684" w:history="1">
        <w:r>
          <w:rPr>
            <w:rFonts w:ascii="宋体" w:eastAsia="宋体" w:hAnsi="宋体" w:cs="宋体" w:hint="eastAsia"/>
            <w:b w:val="0"/>
            <w:bCs w:val="0"/>
            <w:kern w:val="2"/>
            <w:sz w:val="24"/>
            <w:szCs w:val="24"/>
            <w:lang w:val="en-US" w:eastAsia="zh-CN" w:bidi="ar-SA"/>
          </w:rPr>
          <w:t>1. 掘进控制</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_Toc31684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20</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3342" w:history="1">
        <w:r>
          <w:rPr>
            <w:rFonts w:ascii="宋体" w:eastAsia="宋体" w:hAnsi="宋体" w:cs="宋体" w:hint="eastAsia"/>
            <w:b w:val="0"/>
            <w:bCs w:val="0"/>
            <w:kern w:val="2"/>
            <w:sz w:val="24"/>
            <w:szCs w:val="24"/>
            <w:lang w:val="en-US" w:eastAsia="zh-CN" w:bidi="ar-SA"/>
          </w:rPr>
          <w:t>2. 注浆控制</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_Toc3342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23</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13458" w:history="1">
        <w:r>
          <w:rPr>
            <w:rFonts w:ascii="宋体" w:eastAsia="宋体" w:hAnsi="宋体" w:cs="宋体" w:hint="eastAsia"/>
            <w:b w:val="0"/>
            <w:bCs w:val="0"/>
            <w:kern w:val="2"/>
            <w:sz w:val="24"/>
            <w:szCs w:val="24"/>
            <w:lang w:val="en-US" w:eastAsia="zh-CN" w:bidi="ar-SA"/>
          </w:rPr>
          <w:t>3. 管片拼装</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_Toc13458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27</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7950" w:history="1">
        <w:r>
          <w:rPr>
            <w:rFonts w:ascii="宋体" w:eastAsia="宋体" w:hAnsi="宋体" w:cs="宋体" w:hint="eastAsia"/>
            <w:b w:val="0"/>
            <w:bCs w:val="0"/>
            <w:kern w:val="2"/>
            <w:sz w:val="24"/>
            <w:szCs w:val="24"/>
            <w:lang w:val="en-US" w:eastAsia="zh-CN" w:bidi="ar-SA"/>
          </w:rPr>
          <w:t>4. 推动控制</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_Toc7950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28</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8948" w:history="1">
        <w:r>
          <w:rPr>
            <w:rFonts w:ascii="宋体" w:eastAsia="宋体" w:hAnsi="宋体" w:cs="宋体" w:hint="eastAsia"/>
            <w:b w:val="0"/>
            <w:bCs w:val="0"/>
            <w:kern w:val="2"/>
            <w:sz w:val="24"/>
            <w:szCs w:val="24"/>
            <w:lang w:val="en-US" w:eastAsia="zh-CN" w:bidi="ar-SA"/>
          </w:rPr>
          <w:t>5. TBM防水</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_Toc8948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30</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23007" w:history="1">
        <w:r>
          <w:rPr>
            <w:rFonts w:ascii="宋体" w:eastAsia="宋体" w:hAnsi="宋体" w:cs="宋体" w:hint="eastAsia"/>
            <w:b w:val="0"/>
            <w:bCs w:val="0"/>
            <w:kern w:val="2"/>
            <w:sz w:val="24"/>
            <w:szCs w:val="24"/>
            <w:lang w:val="en-US" w:eastAsia="zh-CN" w:bidi="ar-SA"/>
          </w:rPr>
          <w:t>6. 换刀</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_Toc23007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30</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kern w:val="44"/>
          <w:szCs w:val="24"/>
          <w:lang w:val="en-US" w:eastAsia="zh-CN" w:bidi="ar-SA"/>
        </w:rPr>
      </w:pPr>
      <w:hyperlink w:anchor="_Toc1845" w:history="1">
        <w:r>
          <w:rPr>
            <w:rFonts w:ascii="宋体" w:eastAsia="宋体" w:hAnsi="宋体" w:cs="宋体" w:hint="eastAsia"/>
            <w:b w:val="0"/>
            <w:bCs w:val="0"/>
            <w:kern w:val="2"/>
            <w:sz w:val="24"/>
            <w:szCs w:val="24"/>
            <w:lang w:val="en-US" w:eastAsia="zh-CN" w:bidi="ar-SA"/>
          </w:rPr>
          <w:t>7. 施工监测</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_Toc1845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34</w:t>
        </w:r>
        <w:r>
          <w:rPr>
            <w:rFonts w:ascii="宋体" w:eastAsia="宋体" w:hAnsi="宋体" w:cs="宋体" w:hint="eastAsia"/>
            <w:b w:val="0"/>
            <w:bCs w:val="0"/>
            <w:kern w:val="2"/>
            <w:sz w:val="24"/>
            <w:szCs w:val="24"/>
            <w:lang w:val="en-US" w:eastAsia="zh-CN" w:bidi="ar-SA"/>
          </w:rPr>
          <w:fldChar w:fldCharType="end"/>
        </w:r>
      </w:hyperlink>
    </w:p>
    <w:p>
      <w:pPr>
        <w:pStyle w:val="TOC1"/>
        <w:tabs>
          <w:tab w:val="right" w:leader="dot" w:pos="9354"/>
        </w:tabs>
        <w:spacing w:line="500" w:lineRule="auto"/>
        <w:rPr>
          <w:rFonts w:ascii="宋体" w:hAnsi="宋体" w:cs="宋体" w:hint="eastAsia"/>
          <w:kern w:val="44"/>
          <w:szCs w:val="24"/>
          <w:lang w:val="en-US" w:eastAsia="zh-CN" w:bidi="ar-SA"/>
        </w:rPr>
        <w:sectPr>
          <w:type w:val="nextPage"/>
          <w:pgSz w:w="11906" w:h="16838"/>
          <w:pgMar w:top="1134" w:right="1134" w:bottom="1134"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
          <w:cols w:space="708"/>
          <w:titlePg w:val="0"/>
          <w:docGrid w:type="linesAndChars" w:linePitch="312"/>
        </w:sectPr>
      </w:pPr>
      <w:hyperlink w:anchor="_Toc31520" w:history="1">
        <w:r>
          <w:rPr>
            <w:rFonts w:ascii="宋体" w:eastAsia="宋体" w:hAnsi="宋体" w:cs="宋体" w:hint="eastAsia"/>
            <w:bCs/>
            <w:kern w:val="44"/>
            <w:sz w:val="24"/>
            <w:szCs w:val="24"/>
            <w:lang w:val="en-US" w:eastAsia="zh-CN" w:bidi="ar-SA"/>
          </w:rPr>
          <w:t>第五章 实验段实验方案</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_Toc31520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36</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5387" w:history="1">
        <w:r>
          <w:rPr>
            <w:rFonts w:ascii="宋体" w:eastAsia="宋体" w:hAnsi="宋体" w:cs="宋体" w:hint="eastAsia"/>
            <w:b w:val="0"/>
            <w:bCs w:val="0"/>
            <w:kern w:val="2"/>
            <w:sz w:val="24"/>
            <w:szCs w:val="24"/>
            <w:lang w:val="en-US" w:eastAsia="zh-CN" w:bidi="ar-SA"/>
          </w:rPr>
          <w:t>1. 掘进参数实验</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_Toc5387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36</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27122" w:history="1">
        <w:r>
          <w:rPr>
            <w:rFonts w:ascii="宋体" w:eastAsia="宋体" w:hAnsi="宋体" w:cs="宋体" w:hint="eastAsia"/>
            <w:b w:val="0"/>
            <w:bCs w:val="0"/>
            <w:kern w:val="2"/>
            <w:sz w:val="24"/>
            <w:szCs w:val="24"/>
            <w:lang w:val="en-US" w:eastAsia="zh-CN" w:bidi="ar-SA"/>
          </w:rPr>
          <w:t>2. 注浆实验</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_Toc27122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37</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14388" w:history="1">
        <w:r>
          <w:rPr>
            <w:rFonts w:ascii="宋体" w:eastAsia="宋体" w:hAnsi="宋体" w:cs="宋体" w:hint="eastAsia"/>
            <w:b w:val="0"/>
            <w:bCs w:val="0"/>
            <w:kern w:val="2"/>
            <w:sz w:val="24"/>
            <w:szCs w:val="24"/>
            <w:lang w:val="en-US" w:eastAsia="zh-CN" w:bidi="ar-SA"/>
          </w:rPr>
          <w:t>3. 刀盘磨损实验</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_Toc14388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38</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kern w:val="44"/>
          <w:szCs w:val="24"/>
          <w:lang w:val="en-US" w:eastAsia="zh-CN" w:bidi="ar-SA"/>
        </w:rPr>
      </w:pPr>
      <w:hyperlink w:anchor="_Toc1978" w:history="1">
        <w:r>
          <w:rPr>
            <w:rFonts w:ascii="宋体" w:eastAsia="宋体" w:hAnsi="宋体" w:cs="宋体" w:hint="eastAsia"/>
            <w:b w:val="0"/>
            <w:bCs w:val="0"/>
            <w:kern w:val="2"/>
            <w:sz w:val="24"/>
            <w:szCs w:val="24"/>
            <w:lang w:val="en-US" w:eastAsia="zh-CN" w:bidi="ar-SA"/>
          </w:rPr>
          <w:t>4. 实验段管理</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_Toc1978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38</w:t>
        </w:r>
        <w:r>
          <w:rPr>
            <w:rFonts w:ascii="宋体" w:eastAsia="宋体" w:hAnsi="宋体" w:cs="宋体" w:hint="eastAsia"/>
            <w:b w:val="0"/>
            <w:bCs w:val="0"/>
            <w:kern w:val="2"/>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8099" w:history="1">
        <w:r>
          <w:rPr>
            <w:rFonts w:ascii="宋体" w:eastAsia="宋体" w:hAnsi="宋体" w:cs="宋体" w:hint="eastAsia"/>
            <w:bCs/>
            <w:kern w:val="44"/>
            <w:sz w:val="24"/>
            <w:szCs w:val="24"/>
            <w:lang w:val="en-US" w:eastAsia="zh-CN" w:bidi="ar-SA"/>
          </w:rPr>
          <w:t>4.1. 数据采集</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_Toc18099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38</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1225" w:history="1">
        <w:r>
          <w:rPr>
            <w:rFonts w:ascii="宋体" w:eastAsia="宋体" w:hAnsi="宋体" w:cs="宋体" w:hint="eastAsia"/>
            <w:bCs/>
            <w:kern w:val="44"/>
            <w:sz w:val="24"/>
            <w:szCs w:val="24"/>
            <w:lang w:val="en-US" w:eastAsia="zh-CN" w:bidi="ar-SA"/>
          </w:rPr>
          <w:t>4.2. 分析反馈</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_Toc11225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39</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2057" w:history="1">
        <w:r>
          <w:rPr>
            <w:rFonts w:ascii="宋体" w:eastAsia="宋体" w:hAnsi="宋体" w:cs="宋体" w:hint="eastAsia"/>
            <w:bCs/>
            <w:kern w:val="44"/>
            <w:sz w:val="24"/>
            <w:szCs w:val="24"/>
            <w:lang w:val="en-US" w:eastAsia="zh-CN" w:bidi="ar-SA"/>
          </w:rPr>
          <w:t>4.3. 研讨总结</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_Toc22057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39</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18978" w:history="1">
        <w:r>
          <w:rPr>
            <w:rFonts w:ascii="宋体" w:eastAsia="宋体" w:hAnsi="宋体" w:cs="宋体" w:hint="eastAsia"/>
            <w:bCs/>
            <w:kern w:val="44"/>
            <w:sz w:val="24"/>
            <w:szCs w:val="24"/>
            <w:lang w:val="en-US" w:eastAsia="zh-CN" w:bidi="ar-SA"/>
          </w:rPr>
          <w:t>4.4. 实验制度</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_Toc18978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39</w:t>
        </w:r>
        <w:r>
          <w:rPr>
            <w:rFonts w:ascii="宋体" w:eastAsia="宋体" w:hAnsi="宋体" w:cs="宋体" w:hint="eastAsia"/>
            <w:bCs/>
            <w:kern w:val="44"/>
            <w:sz w:val="24"/>
            <w:szCs w:val="24"/>
            <w:lang w:val="en-US" w:eastAsia="zh-CN" w:bidi="ar-SA"/>
          </w:rPr>
          <w:fldChar w:fldCharType="end"/>
        </w:r>
      </w:hyperlink>
    </w:p>
    <w:p>
      <w:pPr>
        <w:pStyle w:val="TOC2"/>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840" w:right="0" w:firstLine="0" w:leftChars="400" w:rightChars="0" w:firstLineChars="0"/>
        <w:jc w:val="both"/>
        <w:textAlignment w:val="auto"/>
        <w:outlineLvl w:val="9"/>
        <w:rPr>
          <w:rFonts w:ascii="宋体" w:eastAsia="宋体" w:hAnsi="宋体" w:cs="宋体" w:hint="eastAsia"/>
          <w:bCs/>
          <w:kern w:val="44"/>
          <w:lang w:val="en-US" w:eastAsia="zh-CN"/>
        </w:rPr>
      </w:pPr>
      <w:hyperlink w:anchor="_Toc21740" w:history="1">
        <w:r>
          <w:rPr>
            <w:rFonts w:ascii="宋体" w:eastAsia="宋体" w:hAnsi="宋体" w:cs="宋体" w:hint="eastAsia"/>
            <w:bCs/>
            <w:kern w:val="44"/>
            <w:sz w:val="24"/>
            <w:szCs w:val="24"/>
            <w:lang w:val="en-US" w:eastAsia="zh-CN" w:bidi="ar-SA"/>
          </w:rPr>
          <w:t>4.5. 实验总结</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_Toc21740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40</w:t>
        </w:r>
        <w:r>
          <w:rPr>
            <w:rFonts w:ascii="宋体" w:eastAsia="宋体" w:hAnsi="宋体" w:cs="宋体" w:hint="eastAsia"/>
            <w:bCs/>
            <w:kern w:val="44"/>
            <w:sz w:val="24"/>
            <w:szCs w:val="24"/>
            <w:lang w:val="en-US" w:eastAsia="zh-CN" w:bidi="ar-SA"/>
          </w:rPr>
          <w:fldChar w:fldCharType="end"/>
        </w:r>
      </w:hyperlink>
    </w:p>
    <w:p>
      <w:pPr>
        <w:pStyle w:val="TOC1"/>
        <w:tabs>
          <w:tab w:val="right" w:leader="dot" w:pos="9354"/>
        </w:tabs>
        <w:spacing w:line="500" w:lineRule="auto"/>
        <w:rPr>
          <w:rFonts w:ascii="宋体" w:hAnsi="宋体" w:cs="宋体" w:hint="eastAsia"/>
          <w:kern w:val="44"/>
          <w:szCs w:val="24"/>
          <w:lang w:val="en-US" w:eastAsia="zh-CN" w:bidi="ar-SA"/>
        </w:rPr>
      </w:pPr>
      <w:hyperlink w:anchor="_Toc544" w:history="1">
        <w:r>
          <w:rPr>
            <w:rFonts w:ascii="宋体" w:eastAsia="宋体" w:hAnsi="宋体" w:cs="宋体" w:hint="eastAsia"/>
            <w:bCs/>
            <w:kern w:val="44"/>
            <w:sz w:val="24"/>
            <w:szCs w:val="24"/>
            <w:lang w:val="en-US" w:eastAsia="zh-CN" w:bidi="ar-SA"/>
          </w:rPr>
          <w:t>第六章 施工应急预案</w:t>
          <w:tab/>
        </w:r>
        <w:r>
          <w:rPr>
            <w:rFonts w:ascii="宋体" w:eastAsia="宋体" w:hAnsi="宋体" w:cs="宋体" w:hint="eastAsia"/>
            <w:bCs/>
            <w:kern w:val="44"/>
            <w:sz w:val="24"/>
            <w:szCs w:val="24"/>
            <w:lang w:val="en-US" w:eastAsia="zh-CN" w:bidi="ar-SA"/>
          </w:rPr>
          <w:fldChar w:fldCharType="begin"/>
        </w:r>
        <w:r>
          <w:rPr>
            <w:rFonts w:ascii="宋体" w:eastAsia="宋体" w:hAnsi="宋体" w:cs="宋体" w:hint="eastAsia"/>
            <w:bCs/>
            <w:kern w:val="44"/>
            <w:sz w:val="24"/>
            <w:szCs w:val="24"/>
            <w:lang w:val="en-US" w:eastAsia="zh-CN" w:bidi="ar-SA"/>
          </w:rPr>
          <w:instrText xml:space="preserve"> PAGEREF _Toc544 </w:instrText>
        </w:r>
        <w:r>
          <w:rPr>
            <w:rFonts w:ascii="宋体" w:eastAsia="宋体" w:hAnsi="宋体" w:cs="宋体" w:hint="eastAsia"/>
            <w:bCs/>
            <w:kern w:val="44"/>
            <w:sz w:val="24"/>
            <w:szCs w:val="24"/>
            <w:lang w:val="en-US" w:eastAsia="zh-CN" w:bidi="ar-SA"/>
          </w:rPr>
          <w:fldChar w:fldCharType="separate"/>
        </w:r>
        <w:r>
          <w:rPr>
            <w:rFonts w:ascii="宋体" w:eastAsia="宋体" w:hAnsi="宋体" w:cs="宋体" w:hint="eastAsia"/>
            <w:bCs/>
            <w:kern w:val="44"/>
            <w:sz w:val="24"/>
            <w:szCs w:val="24"/>
            <w:lang w:val="en-US" w:eastAsia="zh-CN" w:bidi="ar-SA"/>
          </w:rPr>
          <w:t>2</w:t>
        </w:r>
        <w:r>
          <w:rPr>
            <w:rFonts w:ascii="宋体" w:eastAsia="宋体" w:hAnsi="宋体" w:cs="宋体" w:hint="eastAsia"/>
            <w:bCs/>
            <w:kern w:val="44"/>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19645" w:history="1">
        <w:r>
          <w:rPr>
            <w:rFonts w:ascii="宋体" w:eastAsia="宋体" w:hAnsi="宋体" w:cs="宋体" w:hint="eastAsia"/>
            <w:b w:val="0"/>
            <w:bCs w:val="0"/>
            <w:kern w:val="2"/>
            <w:sz w:val="24"/>
            <w:szCs w:val="24"/>
            <w:lang w:val="en-US" w:eastAsia="zh-CN" w:bidi="ar-SA"/>
          </w:rPr>
          <w:t>1. 组织机构准备</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_Toc19645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2</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9299" w:history="1">
        <w:r>
          <w:rPr>
            <w:rFonts w:ascii="宋体" w:eastAsia="宋体" w:hAnsi="宋体" w:cs="宋体" w:hint="eastAsia"/>
            <w:b w:val="0"/>
            <w:bCs w:val="0"/>
            <w:kern w:val="2"/>
            <w:sz w:val="24"/>
            <w:szCs w:val="24"/>
            <w:lang w:val="en-US" w:eastAsia="zh-CN" w:bidi="ar-SA"/>
          </w:rPr>
          <w:t>2. 防止、预警</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_Toc9299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5</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30083" w:history="1">
        <w:r>
          <w:rPr>
            <w:rFonts w:ascii="宋体" w:eastAsia="宋体" w:hAnsi="宋体" w:cs="宋体" w:hint="eastAsia"/>
            <w:b w:val="0"/>
            <w:bCs w:val="0"/>
            <w:kern w:val="2"/>
            <w:sz w:val="24"/>
            <w:szCs w:val="24"/>
            <w:lang w:val="en-US" w:eastAsia="zh-CN" w:bidi="ar-SA"/>
          </w:rPr>
          <w:t>3. 应急响应</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_Toc30083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5</w:t>
        </w:r>
        <w:r>
          <w:rPr>
            <w:rFonts w:ascii="宋体" w:eastAsia="宋体" w:hAnsi="宋体" w:cs="宋体" w:hint="eastAsia"/>
            <w:b w:val="0"/>
            <w:bCs w:val="0"/>
            <w:kern w:val="2"/>
            <w:sz w:val="24"/>
            <w:szCs w:val="24"/>
            <w:lang w:val="en-US" w:eastAsia="zh-CN" w:bidi="ar-SA"/>
          </w:rPr>
          <w:fldChar w:fldCharType="end"/>
        </w:r>
      </w:hyperlink>
    </w:p>
    <w:p>
      <w:pPr>
        <w:pStyle w:val="TOC1"/>
        <w:keepNext w:val="0"/>
        <w:keepLines w:val="0"/>
        <w:pageBreakBefore w:val="0"/>
        <w:widowControl w:val="0"/>
        <w:tabs>
          <w:tab w:val="right" w:leader="dot" w:pos="9354"/>
        </w:tabs>
        <w:kinsoku/>
        <w:wordWrap/>
        <w:overflowPunct/>
        <w:topLinePunct w:val="0"/>
        <w:autoSpaceDE/>
        <w:autoSpaceDN/>
        <w:bidi w:val="0"/>
        <w:adjustRightInd/>
        <w:snapToGrid/>
        <w:spacing w:line="500" w:lineRule="auto"/>
        <w:ind w:left="420" w:right="0" w:firstLine="0" w:leftChars="200" w:rightChars="0" w:firstLineChars="0"/>
        <w:jc w:val="both"/>
        <w:textAlignment w:val="auto"/>
        <w:outlineLvl w:val="9"/>
        <w:rPr>
          <w:rFonts w:ascii="宋体" w:hAnsi="宋体" w:cs="宋体" w:hint="eastAsia"/>
          <w:b w:val="0"/>
          <w:bCs w:val="0"/>
          <w:kern w:val="2"/>
          <w:szCs w:val="24"/>
          <w:lang w:val="en-US" w:eastAsia="zh-CN" w:bidi="ar-SA"/>
        </w:rPr>
      </w:pPr>
      <w:hyperlink w:anchor="_Toc7696" w:history="1">
        <w:r>
          <w:rPr>
            <w:rFonts w:ascii="宋体" w:eastAsia="宋体" w:hAnsi="宋体" w:cs="宋体" w:hint="eastAsia"/>
            <w:b w:val="0"/>
            <w:bCs w:val="0"/>
            <w:kern w:val="2"/>
            <w:sz w:val="24"/>
            <w:szCs w:val="24"/>
            <w:lang w:val="en-US" w:eastAsia="zh-CN" w:bidi="ar-SA"/>
          </w:rPr>
          <w:t>4. 施工风险的应急措施</w:t>
          <w:tab/>
        </w:r>
        <w:r>
          <w:rPr>
            <w:rFonts w:ascii="宋体" w:eastAsia="宋体" w:hAnsi="宋体" w:cs="宋体" w:hint="eastAsia"/>
            <w:b w:val="0"/>
            <w:bCs w:val="0"/>
            <w:kern w:val="2"/>
            <w:sz w:val="24"/>
            <w:szCs w:val="24"/>
            <w:lang w:val="en-US" w:eastAsia="zh-CN" w:bidi="ar-SA"/>
          </w:rPr>
          <w:fldChar w:fldCharType="begin"/>
        </w:r>
        <w:r>
          <w:rPr>
            <w:rFonts w:ascii="宋体" w:eastAsia="宋体" w:hAnsi="宋体" w:cs="宋体" w:hint="eastAsia"/>
            <w:b w:val="0"/>
            <w:bCs w:val="0"/>
            <w:kern w:val="2"/>
            <w:sz w:val="24"/>
            <w:szCs w:val="24"/>
            <w:lang w:val="en-US" w:eastAsia="zh-CN" w:bidi="ar-SA"/>
          </w:rPr>
          <w:instrText xml:space="preserve"> PAGEREF _Toc7696 </w:instrText>
        </w:r>
        <w:r>
          <w:rPr>
            <w:rFonts w:ascii="宋体" w:eastAsia="宋体" w:hAnsi="宋体" w:cs="宋体" w:hint="eastAsia"/>
            <w:b w:val="0"/>
            <w:bCs w:val="0"/>
            <w:kern w:val="2"/>
            <w:sz w:val="24"/>
            <w:szCs w:val="24"/>
            <w:lang w:val="en-US" w:eastAsia="zh-CN" w:bidi="ar-SA"/>
          </w:rPr>
          <w:fldChar w:fldCharType="separate"/>
        </w:r>
        <w:r>
          <w:rPr>
            <w:rFonts w:ascii="宋体" w:eastAsia="宋体" w:hAnsi="宋体" w:cs="宋体" w:hint="eastAsia"/>
            <w:b w:val="0"/>
            <w:bCs w:val="0"/>
            <w:kern w:val="2"/>
            <w:sz w:val="24"/>
            <w:szCs w:val="24"/>
            <w:lang w:val="en-US" w:eastAsia="zh-CN" w:bidi="ar-SA"/>
          </w:rPr>
          <w:t>7</w:t>
        </w:r>
        <w:r>
          <w:rPr>
            <w:rFonts w:ascii="宋体" w:eastAsia="宋体" w:hAnsi="宋体" w:cs="宋体" w:hint="eastAsia"/>
            <w:b w:val="0"/>
            <w:bCs w:val="0"/>
            <w:kern w:val="2"/>
            <w:sz w:val="24"/>
            <w:szCs w:val="24"/>
            <w:lang w:val="en-US" w:eastAsia="zh-CN" w:bidi="ar-SA"/>
          </w:rPr>
          <w:fldChar w:fldCharType="end"/>
        </w:r>
      </w:hyperlink>
    </w:p>
    <w:p>
      <w:pPr>
        <w:pStyle w:val="Heading1"/>
        <w:tabs>
          <w:tab w:val="left" w:pos="425"/>
          <w:tab w:val="left" w:pos="840"/>
        </w:tabs>
        <w:spacing w:line="360" w:lineRule="auto"/>
        <w:ind w:left="840" w:hanging="840" w:leftChars="0" w:firstLineChars="0"/>
        <w:rPr>
          <w:rFonts w:hint="eastAsia"/>
        </w:rPr>
        <w:sectPr>
          <w:type w:val="nextPage"/>
          <w:pgSz w:w="11906" w:h="16838"/>
          <w:pgMar w:top="1134" w:right="1134" w:bottom="1134"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2"/>
          <w:cols w:space="708"/>
          <w:titlePg w:val="0"/>
          <w:docGrid w:type="linesAndChars" w:linePitch="312"/>
        </w:sectPr>
      </w:pPr>
      <w:r>
        <w:rPr>
          <w:rFonts w:ascii="宋体" w:eastAsia="宋体" w:hAnsi="宋体" w:cs="宋体" w:hint="eastAsia"/>
          <w:bCs/>
          <w:kern w:val="44"/>
          <w:sz w:val="24"/>
          <w:szCs w:val="24"/>
          <w:lang w:val="en-US" w:eastAsia="zh-CN" w:bidi="ar-SA"/>
        </w:rPr>
        <w:fldChar w:fldCharType="end"/>
      </w:r>
    </w:p>
    <w:p>
      <w:pPr>
        <w:pStyle w:val="Heading1"/>
        <w:numPr>
          <w:numId w:val="6"/>
        </w:numPr>
        <w:tabs>
          <w:tab w:val="left" w:pos="840"/>
        </w:tabs>
        <w:spacing w:line="500" w:lineRule="auto"/>
        <w:ind w:leftChars="0" w:firstLineChars="0"/>
        <w:rPr>
          <w:rFonts w:hint="eastAsia"/>
        </w:rPr>
      </w:pPr>
      <w:bookmarkStart w:id="2" w:name="_Toc22517"/>
      <w:bookmarkStart w:id="3" w:name="_Toc27488"/>
      <w:bookmarkStart w:id="4" w:name="_Toc15801"/>
      <w:bookmarkStart w:id="5" w:name="_Toc22409"/>
      <w:r>
        <w:rPr>
          <w:rFonts w:hint="eastAsia"/>
        </w:rPr>
        <w:t>编制依据</w:t>
      </w:r>
      <w:bookmarkEnd w:id="0"/>
      <w:bookmarkEnd w:id="1"/>
      <w:bookmarkEnd w:id="2"/>
      <w:bookmarkEnd w:id="3"/>
      <w:bookmarkEnd w:id="4"/>
      <w:bookmarkEnd w:id="5"/>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严格按照下列（但不限于）国家及重庆市现行施工规范和质量评估标准：</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《复合式TBM法隧道施工与验收规范》GB50446-2023；</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w:t>
      </w:r>
      <w:r>
        <w:rPr>
          <w:rFonts w:cs="宋体" w:hint="eastAsia"/>
          <w:sz w:val="24"/>
          <w:szCs w:val="21"/>
          <w:lang w:eastAsia="zh-CN"/>
        </w:rPr>
        <w:t>重庆市</w:t>
      </w:r>
      <w:r>
        <w:rPr>
          <w:rFonts w:cs="宋体" w:hint="eastAsia"/>
          <w:sz w:val="24"/>
          <w:szCs w:val="21"/>
        </w:rPr>
        <w:t>建筑地基基础工程施工质量验收规范》</w:t>
      </w:r>
      <w:r>
        <w:rPr>
          <w:rFonts w:cs="宋体" w:hint="eastAsia"/>
          <w:sz w:val="24"/>
          <w:szCs w:val="21"/>
          <w:lang w:val="en-US" w:eastAsia="zh-CN"/>
        </w:rPr>
        <w:t>D</w:t>
      </w:r>
      <w:r>
        <w:rPr>
          <w:rFonts w:cs="宋体" w:hint="eastAsia"/>
          <w:sz w:val="24"/>
          <w:szCs w:val="21"/>
        </w:rPr>
        <w:t>B</w:t>
      </w:r>
      <w:r>
        <w:rPr>
          <w:rFonts w:cs="宋体" w:hint="eastAsia"/>
          <w:sz w:val="24"/>
          <w:szCs w:val="21"/>
          <w:lang w:val="en-US" w:eastAsia="zh-CN"/>
        </w:rPr>
        <w:t>J/T50-125-2023</w:t>
      </w:r>
      <w:r>
        <w:rPr>
          <w:rFonts w:cs="宋体" w:hint="eastAsia"/>
          <w:sz w:val="24"/>
          <w:szCs w:val="21"/>
        </w:rPr>
        <w:t>；</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《城市轨道交通工程测量规范》GB50308-2023；</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《工程测量规范》GB50026-2023；</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《混凝土结构工程施工质量验收规范》</w:t>
      </w:r>
      <w:r>
        <w:rPr>
          <w:rFonts w:cs="宋体" w:hint="eastAsia"/>
          <w:bCs/>
          <w:sz w:val="24"/>
          <w:szCs w:val="21"/>
        </w:rPr>
        <w:t>GB50204-2023</w:t>
      </w:r>
      <w:r>
        <w:rPr>
          <w:rFonts w:cs="宋体" w:hint="eastAsia"/>
          <w:bCs/>
          <w:sz w:val="24"/>
          <w:szCs w:val="21"/>
          <w:lang w:eastAsia="zh-CN"/>
        </w:rPr>
        <w:t>（</w:t>
      </w:r>
      <w:r>
        <w:rPr>
          <w:rFonts w:cs="宋体" w:hint="eastAsia"/>
          <w:bCs/>
          <w:sz w:val="24"/>
          <w:szCs w:val="21"/>
          <w:lang w:val="en-US" w:eastAsia="zh-CN"/>
        </w:rPr>
        <w:t>2023年版</w:t>
      </w:r>
      <w:r>
        <w:rPr>
          <w:rFonts w:cs="宋体" w:hint="eastAsia"/>
          <w:bCs/>
          <w:sz w:val="24"/>
          <w:szCs w:val="21"/>
          <w:lang w:eastAsia="zh-CN"/>
        </w:rPr>
        <w:t>）</w:t>
      </w:r>
      <w:r>
        <w:rPr>
          <w:rFonts w:cs="宋体" w:hint="eastAsia"/>
          <w:sz w:val="24"/>
          <w:szCs w:val="21"/>
        </w:rPr>
        <w:t>；</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《钢结构工程施工质量验收规范》GBJ50205-2023；</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《地下工程防水技术规范》</w:t>
      </w:r>
      <w:r>
        <w:rPr>
          <w:rFonts w:cs="宋体" w:hint="eastAsia"/>
          <w:sz w:val="24"/>
          <w:szCs w:val="21"/>
          <w:lang w:eastAsia="zh-CN"/>
        </w:rPr>
        <w:t>G</w:t>
      </w:r>
      <w:r>
        <w:rPr>
          <w:rFonts w:cs="宋体" w:hint="eastAsia"/>
          <w:sz w:val="24"/>
          <w:szCs w:val="21"/>
        </w:rPr>
        <w:t>B50108-2023；</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w:t>
      </w:r>
      <w:r>
        <w:rPr>
          <w:rFonts w:cs="宋体" w:hint="eastAsia"/>
          <w:sz w:val="24"/>
          <w:szCs w:val="21"/>
          <w:lang w:eastAsia="zh-CN"/>
        </w:rPr>
        <w:t>建筑</w:t>
      </w:r>
      <w:r>
        <w:rPr>
          <w:rFonts w:cs="宋体" w:hint="eastAsia"/>
          <w:sz w:val="24"/>
          <w:szCs w:val="21"/>
        </w:rPr>
        <w:t>地基基础设计规范》</w:t>
      </w:r>
      <w:r>
        <w:rPr>
          <w:rFonts w:cs="宋体" w:hint="eastAsia"/>
          <w:bCs/>
          <w:sz w:val="24"/>
          <w:szCs w:val="21"/>
          <w:lang w:eastAsia="zh-CN"/>
        </w:rPr>
        <w:t>GB50007-2023</w:t>
      </w:r>
      <w:r>
        <w:rPr>
          <w:rFonts w:cs="宋体" w:hint="eastAsia"/>
          <w:sz w:val="24"/>
          <w:szCs w:val="21"/>
        </w:rPr>
        <w:t>；</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《国家一、二等水准测量规范》</w:t>
      </w:r>
      <w:r>
        <w:rPr>
          <w:rFonts w:cs="宋体" w:hint="eastAsia"/>
          <w:sz w:val="24"/>
          <w:szCs w:val="21"/>
          <w:lang w:eastAsia="zh-CN"/>
        </w:rPr>
        <w:t>GB/T 12897-2023</w:t>
      </w:r>
      <w:r>
        <w:rPr>
          <w:rFonts w:cs="宋体" w:hint="eastAsia"/>
          <w:sz w:val="24"/>
          <w:szCs w:val="21"/>
        </w:rPr>
        <w:t>；</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《钢结构设计规范》</w:t>
      </w:r>
      <w:r>
        <w:rPr>
          <w:rFonts w:cs="宋体" w:hint="eastAsia"/>
          <w:bCs/>
          <w:sz w:val="24"/>
          <w:szCs w:val="21"/>
        </w:rPr>
        <w:t>GB50017-2023</w:t>
      </w:r>
      <w:r>
        <w:rPr>
          <w:rFonts w:cs="宋体" w:hint="eastAsia"/>
          <w:sz w:val="24"/>
          <w:szCs w:val="21"/>
        </w:rPr>
        <w:t>；</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《地下防水工程质量验收规范》</w:t>
      </w:r>
      <w:r>
        <w:rPr>
          <w:rFonts w:cs="宋体" w:hint="eastAsia"/>
          <w:sz w:val="24"/>
          <w:szCs w:val="21"/>
          <w:lang w:eastAsia="zh-CN"/>
        </w:rPr>
        <w:t>G</w:t>
      </w:r>
      <w:r>
        <w:rPr>
          <w:rFonts w:cs="宋体" w:hint="eastAsia"/>
          <w:sz w:val="24"/>
          <w:szCs w:val="21"/>
        </w:rPr>
        <w:t>B50208-2023；</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lang w:eastAsia="zh-CN"/>
        </w:rPr>
        <w:t>《</w:t>
      </w:r>
      <w:r>
        <w:rPr>
          <w:rFonts w:cs="宋体" w:hint="eastAsia"/>
          <w:sz w:val="24"/>
          <w:szCs w:val="21"/>
        </w:rPr>
        <w:t>生产过程危险和有害因素分类与代码</w:t>
      </w:r>
      <w:r>
        <w:rPr>
          <w:rFonts w:cs="宋体" w:hint="eastAsia"/>
          <w:sz w:val="24"/>
          <w:szCs w:val="21"/>
          <w:lang w:eastAsia="zh-CN"/>
        </w:rPr>
        <w:t>》GB/T13861-2023；</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《建筑变形测量规范》JGJ8-2023；</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lang w:eastAsia="zh-CN"/>
        </w:rPr>
        <w:t>《</w:t>
      </w:r>
      <w:r>
        <w:rPr>
          <w:rFonts w:cs="宋体"/>
          <w:sz w:val="24"/>
          <w:szCs w:val="21"/>
        </w:rPr>
        <w:t>建筑施工安全检查标准</w:t>
      </w:r>
      <w:r>
        <w:rPr>
          <w:rFonts w:cs="宋体" w:hint="eastAsia"/>
          <w:sz w:val="24"/>
          <w:szCs w:val="21"/>
          <w:lang w:eastAsia="zh-CN"/>
        </w:rPr>
        <w:t>》JGJ59-2023；</w:t>
      </w:r>
    </w:p>
    <w:p>
      <w:pPr>
        <w:pStyle w:val="a0"/>
        <w:pageBreakBefore w:val="0"/>
        <w:numPr>
          <w:ilvl w:val="0"/>
          <w:numId w:val="8"/>
        </w:numPr>
        <w:kinsoku/>
        <w:topLinePunct w:val="0"/>
        <w:bidi w:val="0"/>
        <w:snapToGrid/>
        <w:spacing w:before="0" w:after="0" w:line="500" w:lineRule="auto"/>
        <w:ind w:left="0" w:firstLine="851"/>
        <w:rPr>
          <w:rFonts w:cs="宋体"/>
          <w:sz w:val="24"/>
          <w:szCs w:val="21"/>
        </w:rPr>
      </w:pPr>
      <w:r>
        <w:rPr>
          <w:rFonts w:cs="宋体" w:hint="eastAsia"/>
          <w:sz w:val="24"/>
          <w:szCs w:val="21"/>
        </w:rPr>
        <w:t>《</w:t>
      </w:r>
      <w:r>
        <w:rPr>
          <w:rFonts w:cs="宋体"/>
          <w:sz w:val="24"/>
          <w:szCs w:val="21"/>
        </w:rPr>
        <w:t>施工现场临时用电安全技术规范</w:t>
      </w:r>
      <w:r>
        <w:rPr>
          <w:rFonts w:cs="宋体" w:hint="eastAsia"/>
          <w:sz w:val="24"/>
          <w:szCs w:val="21"/>
          <w:lang w:eastAsia="zh-CN"/>
        </w:rPr>
        <w:t>》JGJ46-2023；</w:t>
      </w:r>
    </w:p>
    <w:p>
      <w:pPr>
        <w:pStyle w:val="a0"/>
        <w:pageBreakBefore w:val="0"/>
        <w:numPr>
          <w:ilvl w:val="0"/>
          <w:numId w:val="8"/>
        </w:numPr>
        <w:kinsoku/>
        <w:topLinePunct w:val="0"/>
        <w:bidi w:val="0"/>
        <w:snapToGrid/>
        <w:spacing w:before="0" w:after="0" w:line="500" w:lineRule="auto"/>
        <w:ind w:left="0" w:firstLine="851"/>
        <w:rPr>
          <w:rFonts w:cs="宋体"/>
          <w:sz w:val="24"/>
          <w:szCs w:val="21"/>
        </w:rPr>
      </w:pPr>
      <w:r>
        <w:rPr>
          <w:rFonts w:cs="宋体" w:hint="eastAsia"/>
          <w:sz w:val="24"/>
          <w:szCs w:val="21"/>
        </w:rPr>
        <w:t>《</w:t>
      </w:r>
      <w:hyperlink w:tgtFrame="_blank" w:history="1">
        <w:r>
          <w:rPr>
            <w:rFonts w:cs="宋体"/>
            <w:sz w:val="24"/>
            <w:szCs w:val="21"/>
          </w:rPr>
          <w:t>建筑机械使用安全技术规程</w:t>
        </w:r>
        <w:r>
          <w:rPr>
            <w:rFonts w:cs="宋体" w:hint="eastAsia"/>
            <w:sz w:val="24"/>
            <w:szCs w:val="21"/>
            <w:lang w:eastAsia="zh-CN"/>
          </w:rPr>
          <w:t>》</w:t>
        </w:r>
      </w:hyperlink>
      <w:r>
        <w:rPr>
          <w:rFonts w:cs="宋体"/>
          <w:sz w:val="24"/>
          <w:szCs w:val="21"/>
        </w:rPr>
        <w:t>JGJ33-2023</w:t>
      </w:r>
      <w:r>
        <w:rPr>
          <w:rFonts w:cs="宋体" w:hint="eastAsia"/>
          <w:sz w:val="24"/>
          <w:szCs w:val="21"/>
          <w:lang w:eastAsia="zh-CN"/>
        </w:rPr>
        <w:t>；</w:t>
      </w:r>
    </w:p>
    <w:p>
      <w:pPr>
        <w:pStyle w:val="a0"/>
        <w:pageBreakBefore w:val="0"/>
        <w:numPr>
          <w:ilvl w:val="0"/>
          <w:numId w:val="8"/>
        </w:numPr>
        <w:kinsoku/>
        <w:topLinePunct w:val="0"/>
        <w:bidi w:val="0"/>
        <w:snapToGrid/>
        <w:spacing w:before="0" w:after="0" w:line="500" w:lineRule="auto"/>
        <w:ind w:left="0" w:firstLine="851"/>
        <w:rPr>
          <w:rFonts w:eastAsia="宋体" w:cs="宋体" w:hint="eastAsia"/>
          <w:b w:val="0"/>
          <w:bCs w:val="0"/>
          <w:emboss w:val="0"/>
          <w:color w:val="auto"/>
          <w:sz w:val="24"/>
          <w:szCs w:val="21"/>
          <w:lang w:val="en-US" w:eastAsia="zh-CN" w:bidi="ar-SA"/>
        </w:rPr>
      </w:pPr>
      <w:r>
        <w:rPr>
          <w:rFonts w:cs="宋体" w:hint="eastAsia"/>
          <w:sz w:val="24"/>
          <w:szCs w:val="21"/>
        </w:rPr>
        <w:t>《</w:t>
      </w:r>
      <w:r>
        <w:rPr>
          <w:rFonts w:cs="宋体"/>
          <w:sz w:val="24"/>
          <w:szCs w:val="21"/>
        </w:rPr>
        <w:t>施工现场机械设备检查技术规程</w:t>
      </w:r>
      <w:r>
        <w:rPr>
          <w:rFonts w:cs="宋体" w:hint="eastAsia"/>
          <w:sz w:val="24"/>
          <w:szCs w:val="21"/>
        </w:rPr>
        <w:t>》</w:t>
      </w:r>
      <w:r>
        <w:rPr>
          <w:rFonts w:cs="宋体" w:hint="eastAsia"/>
          <w:sz w:val="24"/>
          <w:szCs w:val="21"/>
          <w:lang w:eastAsia="zh-CN"/>
        </w:rPr>
        <w:t>JGJ160-2023；</w:t>
      </w:r>
    </w:p>
    <w:p>
      <w:pPr>
        <w:pStyle w:val="a0"/>
        <w:pageBreakBefore w:val="0"/>
        <w:numPr>
          <w:ilvl w:val="0"/>
          <w:numId w:val="8"/>
        </w:numPr>
        <w:kinsoku/>
        <w:topLinePunct w:val="0"/>
        <w:bidi w:val="0"/>
        <w:snapToGrid/>
        <w:spacing w:before="0" w:after="0" w:line="500" w:lineRule="auto"/>
        <w:ind w:left="0" w:firstLine="851"/>
        <w:rPr>
          <w:rFonts w:cs="宋体" w:hint="eastAsia"/>
          <w:sz w:val="24"/>
          <w:szCs w:val="21"/>
        </w:rPr>
      </w:pPr>
      <w:r>
        <w:rPr>
          <w:rFonts w:cs="宋体" w:hint="eastAsia"/>
          <w:sz w:val="24"/>
          <w:szCs w:val="21"/>
        </w:rPr>
        <w:t>《应急预案编制导则》</w:t>
      </w:r>
      <w:hyperlink w:history="1">
        <w:r>
          <w:rPr>
            <w:rFonts w:ascii="宋体" w:eastAsia="宋体" w:hAnsi="宋体" w:cs="宋体" w:hint="eastAsia"/>
            <w:b w:val="0"/>
            <w:bCs w:val="0"/>
            <w:emboss w:val="0"/>
            <w:color w:val="auto"/>
            <w:kern w:val="0"/>
            <w:sz w:val="24"/>
            <w:szCs w:val="21"/>
            <w:lang w:val="en-US" w:eastAsia="zh-CN" w:bidi="ar-SA"/>
          </w:rPr>
          <w:t>GB/T 29639-2023</w:t>
        </w:r>
      </w:hyperlink>
      <w:r>
        <w:rPr>
          <w:rFonts w:cs="宋体" w:hint="eastAsia"/>
          <w:b w:val="0"/>
          <w:bCs w:val="0"/>
          <w:emboss w:val="0"/>
          <w:color w:val="auto"/>
          <w:kern w:val="0"/>
          <w:sz w:val="24"/>
          <w:szCs w:val="21"/>
          <w:lang w:val="en-US" w:eastAsia="zh-CN" w:bidi="ar-SA"/>
        </w:rPr>
        <w:t>。</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sectPr>
          <w:type w:val="nextPage"/>
          <w:pgSz w:w="11906" w:h="16838"/>
          <w:pgMar w:top="1134" w:right="1134" w:bottom="1134"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0"/>
          <w:cols w:space="708"/>
          <w:docGrid w:type="linesAndChars" w:linePitch="312"/>
        </w:sectPr>
      </w:pPr>
      <w:r>
        <w:rPr>
          <w:rFonts w:cs="宋体" w:hint="eastAsia"/>
          <w:b w:val="0"/>
          <w:bCs w:val="0"/>
          <w:sz w:val="24"/>
          <w:szCs w:val="21"/>
        </w:rPr>
        <w:t>民用航空总局令第191号《民用机场运营安全管理规定（CCAR-140）》；</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民用航空总局令第97号《民用机场不断航施工管理规定》2023年12月18日；</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《关于印发&lt;危险性较大的分部分项工程安全管理办法&gt;的告知》建质[2023]87;</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《关于印发危险性较大的分部分项工程安全管理实行细则的告知》</w:t>
      </w:r>
      <w:r>
        <w:rPr>
          <w:rFonts w:cs="宋体" w:hint="eastAsia"/>
          <w:b w:val="0"/>
          <w:bCs w:val="0"/>
          <w:sz w:val="24"/>
          <w:szCs w:val="21"/>
          <w:lang w:eastAsia="zh-CN"/>
        </w:rPr>
        <w:t>渝建发[2023]16号</w:t>
      </w:r>
      <w:r>
        <w:rPr>
          <w:rFonts w:cs="宋体" w:hint="eastAsia"/>
          <w:b w:val="0"/>
          <w:bCs w:val="0"/>
          <w:sz w:val="24"/>
          <w:szCs w:val="21"/>
        </w:rPr>
        <w:t>；</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lang w:eastAsia="zh-CN"/>
        </w:rPr>
        <w:t>《</w:t>
      </w:r>
      <w:r>
        <w:rPr>
          <w:rFonts w:cs="宋体" w:hint="eastAsia"/>
          <w:b w:val="0"/>
          <w:bCs w:val="0"/>
          <w:sz w:val="24"/>
          <w:szCs w:val="21"/>
        </w:rPr>
        <w:t>重庆市房屋建筑和市政基础设施工程现场文明施工标准</w:t>
      </w:r>
      <w:r>
        <w:rPr>
          <w:rFonts w:cs="宋体" w:hint="eastAsia"/>
          <w:b w:val="0"/>
          <w:bCs w:val="0"/>
          <w:sz w:val="24"/>
          <w:szCs w:val="21"/>
          <w:lang w:eastAsia="zh-CN"/>
        </w:rPr>
        <w:t>》</w:t>
      </w:r>
      <w:r>
        <w:rPr>
          <w:rFonts w:cs="宋体" w:hint="eastAsia"/>
          <w:b w:val="0"/>
          <w:bCs w:val="0"/>
          <w:sz w:val="24"/>
          <w:szCs w:val="21"/>
        </w:rPr>
        <w:t>渝建发</w:t>
      </w:r>
      <w:r>
        <w:rPr>
          <w:rFonts w:cs="宋体" w:hint="eastAsia"/>
          <w:b w:val="0"/>
          <w:bCs w:val="0"/>
          <w:sz w:val="24"/>
          <w:szCs w:val="21"/>
          <w:lang w:eastAsia="zh-CN"/>
        </w:rPr>
        <w:t>[</w:t>
      </w:r>
      <w:r>
        <w:rPr>
          <w:rFonts w:cs="宋体" w:hint="eastAsia"/>
          <w:b w:val="0"/>
          <w:bCs w:val="0"/>
          <w:sz w:val="24"/>
          <w:szCs w:val="21"/>
        </w:rPr>
        <w:t>2023</w:t>
      </w:r>
      <w:r>
        <w:rPr>
          <w:rFonts w:cs="宋体" w:hint="eastAsia"/>
          <w:b w:val="0"/>
          <w:bCs w:val="0"/>
          <w:sz w:val="24"/>
          <w:szCs w:val="21"/>
          <w:lang w:eastAsia="zh-CN"/>
        </w:rPr>
        <w:t>]</w:t>
      </w:r>
      <w:r>
        <w:rPr>
          <w:rFonts w:cs="宋体" w:hint="eastAsia"/>
          <w:b w:val="0"/>
          <w:bCs w:val="0"/>
          <w:sz w:val="24"/>
          <w:szCs w:val="21"/>
        </w:rPr>
        <w:t>169号</w:t>
      </w:r>
      <w:r>
        <w:rPr>
          <w:rFonts w:cs="宋体" w:hint="eastAsia"/>
          <w:b w:val="0"/>
          <w:bCs w:val="0"/>
          <w:sz w:val="24"/>
          <w:szCs w:val="21"/>
          <w:lang w:eastAsia="zh-CN"/>
        </w:rPr>
        <w:t>；</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T3航站楼站～T2航站楼站复合式TBM区间施工资料；</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重庆市轨道交通十号线T3航站楼～T2航站楼区间岩土工程具体勘察报告（K31+908.065～K33+745.779）；</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重庆市江北国际机场第二跑道及配套设施扩建项目（A标段）岩土工程勘察报告（直接详堪）；</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重庆江北国际机场第二跑道及配套设施改扩建工程飞行区场道工程（（Q-08-F01）标段竣工图（3））</w:t>
      </w:r>
      <w:r>
        <w:rPr>
          <w:rFonts w:cs="宋体" w:hint="eastAsia"/>
          <w:b w:val="0"/>
          <w:bCs w:val="0"/>
          <w:sz w:val="24"/>
          <w:szCs w:val="21"/>
        </w:rPr>
        <w:t>——</w:t>
      </w:r>
      <w:r>
        <w:rPr>
          <w:rFonts w:cs="宋体" w:hint="eastAsia"/>
          <w:b w:val="0"/>
          <w:bCs w:val="0"/>
          <w:sz w:val="24"/>
          <w:szCs w:val="21"/>
        </w:rPr>
        <w:t>设计说明、地基解决清淤换填总图、强夯总图、清淤示意图；</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中铁装备CREC－089/090复合式TBM组装、运营、操作等相关参数资料；</w:t>
      </w:r>
    </w:p>
    <w:p>
      <w:pPr>
        <w:pStyle w:val="a0"/>
        <w:pageBreakBefore w:val="0"/>
        <w:numPr>
          <w:ilvl w:val="0"/>
          <w:numId w:val="7"/>
        </w:numPr>
        <w:tabs>
          <w:tab w:val="left" w:pos="425"/>
        </w:tabs>
        <w:kinsoku/>
        <w:topLinePunct w:val="0"/>
        <w:bidi w:val="0"/>
        <w:snapToGrid/>
        <w:spacing w:before="0" w:after="0" w:line="500" w:lineRule="auto"/>
        <w:ind w:left="425" w:hanging="425" w:leftChars="0" w:firstLineChars="0"/>
        <w:rPr>
          <w:rFonts w:cs="宋体" w:hint="eastAsia"/>
          <w:b w:val="0"/>
          <w:bCs w:val="0"/>
          <w:sz w:val="24"/>
          <w:szCs w:val="21"/>
        </w:rPr>
      </w:pPr>
      <w:r>
        <w:rPr>
          <w:rFonts w:cs="宋体" w:hint="eastAsia"/>
          <w:b w:val="0"/>
          <w:bCs w:val="0"/>
          <w:sz w:val="24"/>
          <w:szCs w:val="21"/>
        </w:rPr>
        <w:t>本单位同类工程施工经验及施工管理、技术、科研、机械设备配套能力。</w:t>
      </w:r>
    </w:p>
    <w:p>
      <w:pPr>
        <w:pStyle w:val="Heading1"/>
        <w:tabs>
          <w:tab w:val="left" w:pos="425"/>
          <w:tab w:val="left" w:pos="840"/>
        </w:tabs>
        <w:ind w:left="840" w:hanging="840" w:leftChars="0" w:firstLineChars="0"/>
        <w:rPr>
          <w:rFonts w:hint="eastAsia"/>
          <w:lang w:val="en-US" w:eastAsia="zh-CN"/>
        </w:rPr>
        <w:sectPr>
          <w:type w:val="nextPage"/>
          <w:pgSz w:w="11906" w:h="16838"/>
          <w:pgMar w:top="1134" w:right="1134" w:bottom="1134"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
          <w:cols w:space="708"/>
          <w:titlePg w:val="0"/>
          <w:docGrid w:type="linesAndChars" w:linePitch="312"/>
        </w:sectPr>
      </w:pPr>
    </w:p>
    <w:p>
      <w:pPr>
        <w:pStyle w:val="Heading1"/>
        <w:tabs>
          <w:tab w:val="left" w:pos="425"/>
          <w:tab w:val="left" w:pos="840"/>
        </w:tabs>
        <w:spacing w:line="500" w:lineRule="auto"/>
        <w:ind w:left="840" w:hanging="840" w:leftChars="0" w:firstLineChars="0"/>
        <w:rPr>
          <w:rFonts w:hint="eastAsia"/>
          <w:lang w:val="en-US" w:eastAsia="zh-CN"/>
        </w:rPr>
      </w:pPr>
      <w:bookmarkStart w:id="6" w:name="_Toc8146"/>
      <w:bookmarkStart w:id="7" w:name="_Toc1378"/>
      <w:bookmarkStart w:id="8" w:name="_Toc31130"/>
      <w:bookmarkStart w:id="9" w:name="_Toc23019"/>
      <w:r>
        <w:rPr>
          <w:rFonts w:hint="eastAsia"/>
          <w:lang w:val="en-US" w:eastAsia="zh-CN"/>
        </w:rPr>
        <w:t>工程概况</w:t>
      </w:r>
      <w:bookmarkEnd w:id="6"/>
      <w:bookmarkEnd w:id="7"/>
      <w:bookmarkEnd w:id="8"/>
      <w:bookmarkEnd w:id="9"/>
    </w:p>
    <w:p>
      <w:pPr>
        <w:pStyle w:val="Heading2"/>
        <w:pageBreakBefore w:val="0"/>
        <w:tabs>
          <w:tab w:val="left" w:pos="360"/>
          <w:tab w:val="left" w:pos="575"/>
        </w:tabs>
        <w:kinsoku/>
        <w:topLinePunct w:val="0"/>
        <w:bidi w:val="0"/>
        <w:snapToGrid/>
        <w:spacing w:line="500" w:lineRule="auto"/>
        <w:rPr>
          <w:rFonts w:hint="eastAsia"/>
        </w:rPr>
      </w:pPr>
      <w:bookmarkStart w:id="10" w:name="_Toc394494601"/>
      <w:bookmarkStart w:id="11" w:name="_Toc21045"/>
      <w:bookmarkStart w:id="12" w:name="_Toc6566"/>
      <w:bookmarkStart w:id="13" w:name="_Toc13357"/>
      <w:bookmarkStart w:id="14" w:name="_Toc17194"/>
      <w:bookmarkStart w:id="15" w:name="_Toc382754663"/>
      <w:r>
        <w:rPr>
          <w:rFonts w:hint="eastAsia"/>
        </w:rPr>
        <w:t>工程简述</w:t>
      </w:r>
      <w:bookmarkEnd w:id="10"/>
      <w:bookmarkEnd w:id="11"/>
      <w:bookmarkEnd w:id="12"/>
      <w:bookmarkEnd w:id="13"/>
      <w:bookmarkEnd w:id="14"/>
    </w:p>
    <w:p>
      <w:pPr>
        <w:pStyle w:val="Heading3"/>
        <w:pageBreakBefore w:val="0"/>
        <w:tabs>
          <w:tab w:val="left" w:pos="0"/>
          <w:tab w:val="left" w:pos="720"/>
        </w:tabs>
        <w:kinsoku/>
        <w:topLinePunct w:val="0"/>
        <w:bidi w:val="0"/>
        <w:snapToGrid/>
        <w:spacing w:line="500" w:lineRule="auto"/>
        <w:rPr>
          <w:rFonts w:hint="eastAsia"/>
        </w:rPr>
      </w:pPr>
      <w:bookmarkStart w:id="16" w:name="_Toc394494602"/>
      <w:r>
        <w:rPr>
          <w:rFonts w:hint="eastAsia"/>
          <w:lang w:val="en-US" w:eastAsia="zh-CN"/>
        </w:rPr>
        <w:t xml:space="preserve"> </w:t>
      </w:r>
      <w:bookmarkStart w:id="17" w:name="_Toc14443"/>
      <w:bookmarkStart w:id="18" w:name="_Toc25855"/>
      <w:bookmarkStart w:id="19" w:name="_Toc5199"/>
      <w:bookmarkStart w:id="20" w:name="_Toc4010"/>
      <w:r>
        <w:rPr>
          <w:rFonts w:hint="eastAsia"/>
        </w:rPr>
        <w:t>总体概述</w:t>
      </w:r>
      <w:bookmarkEnd w:id="15"/>
      <w:bookmarkEnd w:id="16"/>
      <w:bookmarkEnd w:id="17"/>
      <w:bookmarkEnd w:id="18"/>
      <w:bookmarkEnd w:id="19"/>
      <w:bookmarkEnd w:id="20"/>
    </w:p>
    <w:p>
      <w:pPr>
        <w:pStyle w:val="Default"/>
        <w:pageBreakBefore w:val="0"/>
        <w:kinsoku/>
        <w:topLinePunct w:val="0"/>
        <w:bidi w:val="0"/>
        <w:snapToGrid/>
        <w:spacing w:line="500" w:lineRule="auto"/>
        <w:ind w:firstLine="480" w:firstLineChars="200"/>
        <w:jc w:val="both"/>
        <w:rPr>
          <w:rFonts w:ascii="宋体" w:hAnsi="宋体" w:cs="宋体" w:hint="eastAsia"/>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2"/>
          <w:cols w:space="708"/>
          <w:docGrid w:type="lines" w:linePitch="312"/>
        </w:sectPr>
      </w:pPr>
      <w:r>
        <w:rPr>
          <w:rFonts w:ascii="宋体" w:hAnsi="宋体" w:cs="宋体" w:hint="eastAsia"/>
        </w:rPr>
        <w:t>T3航站楼站站后始发井～T2航站楼站区间工程是重庆市轨道交通10号线的一个重要组成部分。本工程左右线起始于重庆江北机场扩建工程场地内T3航站楼站后始发井（里程K32+173.000），止于T2航站楼前停车场下的地铁十号线T2航站楼站（里程K33+745.266），单线全长1572.266m，整个区间设有联络通道三座。本工程下穿的重庆江北国际机场是重庆市三座民用机场之一，也是重庆航空有限公司、西部航空有限责任公司、华夏航空三家航空公司的主基地机场和四川航空、中国国际航空的基地机场，是西南地区三大航空枢纽之一，也是国家规划的十大区域枢纽机场之一。通过建设、设计等相关单位对施工方法的充足对比分析，为减少施工对机场正常运营的干扰，拟采用复合式TBM法替代重庆地区常用的钻爆法进行施工。工程由两台复合式土压平衡复合式TBM先后从T3航站楼站后始发井下井，然后穿越机场第二跑道（宽度3600m</w:t>
      </w:r>
      <w:r>
        <w:rPr>
          <w:rFonts w:ascii="宋体" w:hAnsi="宋体" w:cs="宋体" w:hint="eastAsia"/>
        </w:rPr>
        <w:t>×</w:t>
      </w:r>
      <w:r>
        <w:rPr>
          <w:rFonts w:ascii="宋体" w:hAnsi="宋体" w:cs="宋体" w:hint="eastAsia"/>
        </w:rPr>
        <w:t>60m）、第一跑道（宽度3200m</w:t>
      </w:r>
      <w:r>
        <w:rPr>
          <w:rFonts w:ascii="宋体" w:hAnsi="宋体" w:cs="宋体" w:hint="eastAsia"/>
        </w:rPr>
        <w:t>×</w:t>
      </w:r>
      <w:r>
        <w:rPr>
          <w:rFonts w:ascii="宋体" w:hAnsi="宋体" w:cs="宋体" w:hint="eastAsia"/>
        </w:rPr>
        <w:t>60m）、滑行道、联络道、停机坪、机场场区内部众多管线、</w:t>
      </w:r>
      <w:r>
        <w:rPr>
          <w:rFonts w:ascii="宋体" w:hAnsi="宋体" w:cs="宋体" w:hint="eastAsia"/>
          <w:color w:val="auto"/>
          <w:szCs w:val="20"/>
        </w:rPr>
        <w:t>候机指廊B北侧端部、T2B航站楼南侧端部、机场交通换乘中心及航站楼高架桥最后达成地铁T2航站楼站</w:t>
      </w:r>
      <w:r>
        <w:rPr>
          <w:rFonts w:ascii="宋体" w:hAnsi="宋体" w:cs="宋体" w:hint="eastAsia"/>
        </w:rPr>
        <w:t>。</w:t>
      </w:r>
      <w:r>
        <w:rPr>
          <w:rFonts w:ascii="宋体" w:hAnsi="宋体" w:cs="宋体" w:hint="eastAsia"/>
          <w:lang w:eastAsia="zh-CN"/>
        </w:rPr>
        <w:t>见图</w:t>
      </w:r>
      <w:r>
        <w:rPr>
          <w:rFonts w:ascii="宋体" w:hAnsi="宋体" w:cs="宋体" w:hint="eastAsia"/>
          <w:lang w:val="en-US" w:eastAsia="zh-CN"/>
        </w:rPr>
        <w:t>2-1-1。</w:t>
      </w:r>
    </w:p>
    <w:p>
      <w:pPr>
        <w:pStyle w:val="Default"/>
        <w:pageBreakBefore w:val="0"/>
        <w:kinsoku/>
        <w:topLinePunct w:val="0"/>
        <w:bidi w:val="0"/>
        <w:snapToGrid/>
        <w:spacing w:line="360" w:lineRule="auto"/>
        <w:jc w:val="center"/>
        <w:rPr>
          <w:rFonts w:ascii="宋体" w:hAnsi="宋体" w:cs="宋体" w:hint="eastAsia"/>
          <w:sz w:val="28"/>
          <w:szCs w:val="28"/>
        </w:rPr>
      </w:pPr>
      <w:r>
        <w:rPr>
          <w:rFonts w:ascii="宋体" w:hAnsi="宋体" w:cs="宋体" w:hint="eastAsia"/>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style="width:267.15pt;height:170.5pt;mso-position-horizontal-relative:page;mso-position-vertical-relative:page;mso-wrap-style:square" filled="f" stroked="f">
            <v:imagedata r:id="rId4" o:title=""/>
            <v:path o:extrusionok="f"/>
            <o:lock v:ext="edit" aspectratio="t"/>
          </v:shape>
        </w:pict>
      </w:r>
    </w:p>
    <w:p>
      <w:pPr>
        <w:pStyle w:val="Default"/>
        <w:pageBreakBefore w:val="0"/>
        <w:kinsoku/>
        <w:topLinePunct w:val="0"/>
        <w:bidi w:val="0"/>
        <w:snapToGrid/>
        <w:spacing w:line="500" w:lineRule="auto"/>
        <w:jc w:val="center"/>
        <w:rPr>
          <w:rFonts w:ascii="宋体" w:hAnsi="宋体" w:cs="宋体" w:hint="eastAsia"/>
        </w:rPr>
      </w:pPr>
      <w:r>
        <w:rPr>
          <w:rFonts w:ascii="宋体" w:hAnsi="宋体" w:cs="宋体" w:hint="eastAsia"/>
          <w:b/>
          <w:lang w:eastAsia="zh-CN"/>
        </w:rPr>
        <w:t>图</w:t>
      </w:r>
      <w:r>
        <w:rPr>
          <w:rFonts w:ascii="宋体" w:hAnsi="宋体" w:cs="宋体" w:hint="eastAsia"/>
          <w:b/>
          <w:lang w:val="en-US" w:eastAsia="zh-CN"/>
        </w:rPr>
        <w:t>2-1-1</w:t>
      </w:r>
      <w:r>
        <w:rPr>
          <w:rFonts w:ascii="宋体" w:hAnsi="宋体" w:cs="宋体" w:hint="eastAsia"/>
          <w:b/>
        </w:rPr>
        <w:t xml:space="preserve">  区间线路与机场建筑平面位置关系三维示意图</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21" w:name="_Toc394494603"/>
      <w:r>
        <w:rPr>
          <w:rFonts w:hint="eastAsia"/>
          <w:lang w:val="en-US" w:eastAsia="zh-CN"/>
        </w:rPr>
        <w:t xml:space="preserve"> </w:t>
      </w:r>
      <w:bookmarkStart w:id="22" w:name="_Toc25562"/>
      <w:bookmarkStart w:id="23" w:name="_Toc21366"/>
      <w:bookmarkStart w:id="24" w:name="_Toc23429"/>
      <w:bookmarkStart w:id="25" w:name="_Toc18464"/>
      <w:r>
        <w:rPr>
          <w:rFonts w:hint="eastAsia"/>
          <w:lang w:val="en-US" w:eastAsia="zh-CN"/>
        </w:rPr>
        <w:t>线路情况</w:t>
      </w:r>
      <w:bookmarkEnd w:id="21"/>
      <w:bookmarkEnd w:id="22"/>
      <w:bookmarkEnd w:id="23"/>
      <w:bookmarkEnd w:id="24"/>
      <w:bookmarkEnd w:id="25"/>
    </w:p>
    <w:p>
      <w:pPr>
        <w:pStyle w:val="2"/>
        <w:pageBreakBefore w:val="0"/>
        <w:kinsoku/>
        <w:topLinePunct w:val="0"/>
        <w:bidi w:val="0"/>
        <w:snapToGrid/>
        <w:spacing w:line="500" w:lineRule="auto"/>
        <w:rPr>
          <w:rFonts w:ascii="宋体" w:hAnsi="宋体" w:hint="eastAsia"/>
          <w:color w:val="auto"/>
        </w:rPr>
      </w:pPr>
      <w:r>
        <w:rPr>
          <w:rFonts w:ascii="宋体" w:hAnsi="宋体" w:hint="eastAsia"/>
          <w:color w:val="auto"/>
        </w:rPr>
        <w:t>线路平面：区间线路由T3航站楼站站后配线区出发穿越机场第二跑道（3600m</w:t>
      </w:r>
      <w:r>
        <w:rPr>
          <w:rFonts w:ascii="宋体" w:hAnsi="宋体" w:hint="eastAsia"/>
          <w:color w:val="auto"/>
        </w:rPr>
        <w:t>×</w:t>
      </w:r>
      <w:r>
        <w:rPr>
          <w:rFonts w:ascii="宋体" w:hAnsi="宋体" w:hint="eastAsia"/>
          <w:color w:val="auto"/>
        </w:rPr>
        <w:t>60m）、第一跑道（3200m</w:t>
      </w:r>
      <w:r>
        <w:rPr>
          <w:rFonts w:ascii="宋体" w:hAnsi="宋体" w:hint="eastAsia"/>
          <w:color w:val="auto"/>
        </w:rPr>
        <w:t>×</w:t>
      </w:r>
      <w:r>
        <w:rPr>
          <w:rFonts w:ascii="宋体" w:hAnsi="宋体" w:hint="eastAsia"/>
          <w:color w:val="auto"/>
        </w:rPr>
        <w:t>60m）、滑行道、联络道、停机坪、候机指廊B北侧端部、T2B航站楼南侧端部、机场交通换乘中心及航站楼高架桥最后达成T2航站楼站。隧道起点和终点段位于直线上，中段大部分位于两个半径分别为650m和1200m的S曲线上，线路左右线间距为35.4m过度至17.2m。</w:t>
      </w:r>
    </w:p>
    <w:p>
      <w:pPr>
        <w:pStyle w:val="2"/>
        <w:pageBreakBefore w:val="0"/>
        <w:kinsoku/>
        <w:topLinePunct w:val="0"/>
        <w:bidi w:val="0"/>
        <w:snapToGrid/>
        <w:spacing w:line="500" w:lineRule="auto"/>
        <w:rPr>
          <w:rFonts w:ascii="宋体" w:hAnsi="宋体" w:hint="eastAsia"/>
          <w:color w:val="auto"/>
        </w:rPr>
      </w:pPr>
      <w:r>
        <w:rPr>
          <w:rFonts w:ascii="宋体" w:hAnsi="宋体" w:hint="eastAsia"/>
          <w:color w:val="auto"/>
        </w:rPr>
        <w:t>线路纵断面：本区间隧道纵坡为16.797</w:t>
      </w:r>
      <w:r>
        <w:rPr>
          <w:rFonts w:ascii="宋体" w:hAnsi="宋体" w:hint="eastAsia"/>
          <w:color w:val="auto"/>
        </w:rPr>
        <w:t>‰</w:t>
      </w:r>
      <w:r>
        <w:rPr>
          <w:rFonts w:ascii="宋体" w:hAnsi="宋体" w:hint="eastAsia"/>
          <w:color w:val="auto"/>
        </w:rPr>
        <w:t>、4</w:t>
      </w:r>
      <w:r>
        <w:rPr>
          <w:rFonts w:ascii="宋体" w:hAnsi="宋体" w:hint="eastAsia"/>
          <w:color w:val="auto"/>
        </w:rPr>
        <w:t>‰</w:t>
      </w:r>
      <w:r>
        <w:rPr>
          <w:rFonts w:ascii="宋体" w:hAnsi="宋体" w:hint="eastAsia"/>
          <w:color w:val="auto"/>
        </w:rPr>
        <w:t>、2</w:t>
      </w:r>
      <w:r>
        <w:rPr>
          <w:rFonts w:ascii="宋体" w:hAnsi="宋体" w:hint="eastAsia"/>
          <w:color w:val="auto"/>
        </w:rPr>
        <w:t>‰</w:t>
      </w:r>
      <w:r>
        <w:rPr>
          <w:rFonts w:ascii="宋体" w:hAnsi="宋体" w:hint="eastAsia"/>
          <w:color w:val="auto"/>
        </w:rPr>
        <w:t>下坡。线路纵断面设计应结合运营、线路周边环境、机场本期建设情况、既有建（构）筑物基础、地质条件及施工方法等因素综合拟定。区间隧道轨面埋深16～40m，区间最大纵坡为16.797</w:t>
      </w:r>
      <w:r>
        <w:rPr>
          <w:rFonts w:ascii="宋体" w:hAnsi="宋体" w:hint="eastAsia"/>
          <w:color w:val="auto"/>
        </w:rPr>
        <w:t>‰</w:t>
      </w:r>
      <w:r>
        <w:rPr>
          <w:rFonts w:ascii="宋体" w:hAnsi="宋体" w:hint="eastAsia"/>
          <w:color w:val="auto"/>
        </w:rPr>
        <w:t>。</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26" w:name="_Toc394494604"/>
      <w:r>
        <w:rPr>
          <w:rFonts w:hint="eastAsia"/>
          <w:lang w:val="en-US" w:eastAsia="zh-CN"/>
        </w:rPr>
        <w:t xml:space="preserve"> </w:t>
      </w:r>
      <w:bookmarkStart w:id="27" w:name="_Toc1226"/>
      <w:bookmarkStart w:id="28" w:name="_Toc7106"/>
      <w:bookmarkStart w:id="29" w:name="_Toc18817"/>
      <w:bookmarkStart w:id="30" w:name="_Toc24780"/>
      <w:r>
        <w:rPr>
          <w:rFonts w:hint="eastAsia"/>
          <w:lang w:val="en-US" w:eastAsia="zh-CN"/>
        </w:rPr>
        <w:t>衬砌结构</w:t>
      </w:r>
      <w:bookmarkEnd w:id="26"/>
      <w:bookmarkEnd w:id="27"/>
      <w:bookmarkEnd w:id="28"/>
      <w:bookmarkEnd w:id="29"/>
      <w:bookmarkEnd w:id="30"/>
    </w:p>
    <w:p>
      <w:pPr>
        <w:pStyle w:val="Heading4"/>
        <w:pageBreakBefore w:val="0"/>
        <w:tabs>
          <w:tab w:val="left" w:pos="432"/>
        </w:tabs>
        <w:kinsoku/>
        <w:topLinePunct w:val="0"/>
        <w:bidi w:val="0"/>
        <w:snapToGrid/>
        <w:spacing w:line="500" w:lineRule="auto"/>
        <w:rPr>
          <w:rFonts w:hint="eastAsia"/>
        </w:rPr>
      </w:pPr>
      <w:r>
        <w:rPr>
          <w:rFonts w:hint="eastAsia"/>
          <w:lang w:val="en-US" w:eastAsia="zh-CN"/>
        </w:rPr>
        <w:t xml:space="preserve"> </w:t>
      </w:r>
      <w:bookmarkStart w:id="31" w:name="_Toc14394"/>
      <w:bookmarkStart w:id="32" w:name="_Toc1384"/>
      <w:bookmarkStart w:id="33" w:name="_Toc15567"/>
      <w:r>
        <w:rPr>
          <w:rFonts w:hint="eastAsia"/>
        </w:rPr>
        <w:t>衬砌型式及结构</w:t>
      </w:r>
      <w:bookmarkEnd w:id="31"/>
      <w:bookmarkEnd w:id="32"/>
      <w:bookmarkEnd w:id="33"/>
    </w:p>
    <w:p>
      <w:pPr>
        <w:pStyle w:val="2"/>
        <w:pageBreakBefore w:val="0"/>
        <w:kinsoku/>
        <w:topLinePunct w:val="0"/>
        <w:bidi w:val="0"/>
        <w:snapToGrid/>
        <w:spacing w:line="500" w:lineRule="auto"/>
        <w:rPr>
          <w:rFonts w:ascii="宋体" w:hAnsi="宋体" w:hint="eastAsia"/>
          <w:color w:val="auto"/>
          <w:szCs w:val="24"/>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3"/>
          <w:cols w:space="708"/>
          <w:titlePg w:val="0"/>
          <w:docGrid w:type="lines" w:linePitch="312"/>
        </w:sectPr>
      </w:pPr>
    </w:p>
    <w:p>
      <w:pPr>
        <w:pStyle w:val="2"/>
        <w:pageBreakBefore w:val="0"/>
        <w:kinsoku/>
        <w:topLinePunct w:val="0"/>
        <w:bidi w:val="0"/>
        <w:snapToGrid/>
        <w:spacing w:line="500" w:lineRule="auto"/>
        <w:rPr>
          <w:rFonts w:ascii="宋体" w:hAnsi="宋体" w:hint="eastAsia"/>
          <w:color w:val="auto"/>
          <w:szCs w:val="24"/>
        </w:rPr>
      </w:pPr>
      <w:r>
        <w:rPr>
          <w:rFonts w:ascii="宋体" w:hAnsi="宋体" w:hint="eastAsia"/>
          <w:color w:val="auto"/>
          <w:szCs w:val="24"/>
        </w:rPr>
        <w:t>本区间隧道衬砌采用预制管片衬砌，于高精度钢模内制作成型。区间设计分为A、B型复合式复合式TBM钢筋混凝土管片，A型管片合用于区间下穿机场跑道，滑行道等既有构筑物段，B型管片合用于临时过站或需扩挖拆除段。混凝土强度等级C50；混凝土抗渗等级根据埋深拟定，但不得小于P10；隧道埋深</w:t>
      </w:r>
      <w:r>
        <w:rPr>
          <w:rFonts w:ascii="宋体" w:hAnsi="宋体" w:hint="eastAsia"/>
          <w:color w:val="auto"/>
          <w:szCs w:val="24"/>
        </w:rPr>
        <w:t>≥</w:t>
      </w:r>
      <w:r>
        <w:rPr>
          <w:rFonts w:ascii="宋体" w:hAnsi="宋体" w:hint="eastAsia"/>
          <w:color w:val="auto"/>
          <w:szCs w:val="24"/>
        </w:rPr>
        <w:t>30m,抗渗等级取P12,钢筋采用HRB400，HPB300。管片采用错缝拼装。</w:t>
      </w:r>
      <w:bookmarkStart w:id="34" w:name="_Toc192652911"/>
      <w:r>
        <w:rPr>
          <w:rFonts w:ascii="宋体" w:hAnsi="宋体" w:hint="eastAsia"/>
          <w:color w:val="auto"/>
          <w:szCs w:val="24"/>
        </w:rPr>
        <w:t>衬砌管片内径为5900mm，外径为6600mm，厚度为350mm，环宽为1500mm。</w:t>
      </w:r>
      <w:bookmarkStart w:id="35" w:name="_Toc192652912"/>
      <w:bookmarkEnd w:id="34"/>
      <w:r>
        <w:rPr>
          <w:rFonts w:ascii="宋体" w:hAnsi="宋体" w:hint="eastAsia"/>
          <w:color w:val="auto"/>
          <w:szCs w:val="24"/>
        </w:rPr>
        <w:t>每环由封顶块(F)x，邻接块(L1)x，邻接块(L1)x，标准块(B1)x，标准块(B2)x，标准块(B3)x构成。x为衬砌环类型号，表达管片配筋种类，共分A、B两种。每环管片纵向共16根M30螺栓，环向共12根M30螺栓。</w:t>
      </w:r>
    </w:p>
    <w:p>
      <w:pPr>
        <w:pStyle w:val="Heading4"/>
        <w:pageBreakBefore w:val="0"/>
        <w:tabs>
          <w:tab w:val="left" w:pos="432"/>
        </w:tabs>
        <w:kinsoku/>
        <w:topLinePunct w:val="0"/>
        <w:bidi w:val="0"/>
        <w:snapToGrid/>
        <w:spacing w:line="500" w:lineRule="auto"/>
        <w:rPr>
          <w:rFonts w:hint="eastAsia"/>
          <w:lang w:val="en-US" w:eastAsia="zh-CN"/>
        </w:rPr>
      </w:pPr>
      <w:bookmarkStart w:id="36" w:name="_Toc12654"/>
      <w:bookmarkStart w:id="37" w:name="_Toc3602"/>
      <w:bookmarkStart w:id="38" w:name="_Toc12829"/>
      <w:bookmarkEnd w:id="35"/>
      <w:r>
        <w:rPr>
          <w:rFonts w:hint="eastAsia"/>
          <w:lang w:val="en-US" w:eastAsia="zh-CN"/>
        </w:rPr>
        <w:t>衬砌防水</w:t>
      </w:r>
      <w:bookmarkEnd w:id="36"/>
      <w:bookmarkEnd w:id="37"/>
      <w:bookmarkEnd w:id="38"/>
    </w:p>
    <w:p>
      <w:pPr>
        <w:pStyle w:val="2"/>
        <w:pageBreakBefore w:val="0"/>
        <w:kinsoku/>
        <w:topLinePunct w:val="0"/>
        <w:bidi w:val="0"/>
        <w:snapToGrid/>
        <w:spacing w:line="500" w:lineRule="auto"/>
        <w:rPr>
          <w:rFonts w:ascii="宋体" w:hAnsi="宋体" w:hint="eastAsia"/>
          <w:color w:val="auto"/>
          <w:szCs w:val="24"/>
        </w:rPr>
      </w:pPr>
      <w:r>
        <w:rPr>
          <w:rFonts w:ascii="宋体" w:hAnsi="宋体" w:hint="eastAsia"/>
          <w:color w:val="auto"/>
          <w:szCs w:val="24"/>
        </w:rPr>
        <w:t>复合式TBM隧道衬砌结构防水措施应符合下表的规定。</w:t>
      </w:r>
    </w:p>
    <w:p>
      <w:pPr>
        <w:pStyle w:val="2"/>
        <w:pageBreakBefore w:val="0"/>
        <w:numPr>
          <w:ilvl w:val="0"/>
          <w:numId w:val="0"/>
        </w:numPr>
        <w:kinsoku/>
        <w:topLinePunct w:val="0"/>
        <w:bidi w:val="0"/>
        <w:snapToGrid/>
        <w:spacing w:line="500" w:lineRule="auto"/>
        <w:ind w:leftChars="0"/>
        <w:jc w:val="right"/>
        <w:rPr>
          <w:rFonts w:ascii="宋体" w:hAnsi="宋体" w:hint="eastAsia"/>
          <w:b/>
          <w:color w:val="auto"/>
          <w:szCs w:val="24"/>
        </w:rPr>
      </w:pPr>
      <w:r>
        <w:rPr>
          <w:rFonts w:ascii="宋体" w:hAnsi="宋体" w:hint="eastAsia"/>
          <w:b/>
          <w:color w:val="auto"/>
          <w:szCs w:val="24"/>
          <w:lang w:eastAsia="zh-CN"/>
        </w:rPr>
        <w:t>复</w:t>
      </w:r>
      <w:r>
        <w:rPr>
          <w:rFonts w:ascii="宋体" w:hAnsi="宋体" w:hint="eastAsia"/>
          <w:b/>
          <w:color w:val="auto"/>
          <w:szCs w:val="24"/>
        </w:rPr>
        <w:t>合式TBM地下结构防水措施</w:t>
      </w:r>
      <w:r>
        <w:rPr>
          <w:rFonts w:ascii="宋体" w:hAnsi="宋体" w:hint="eastAsia"/>
          <w:b/>
          <w:color w:val="auto"/>
          <w:szCs w:val="24"/>
          <w:lang w:val="en-US" w:eastAsia="zh-CN"/>
        </w:rPr>
        <w:t xml:space="preserve">                  </w:t>
      </w:r>
      <w:r>
        <w:rPr>
          <w:rFonts w:ascii="宋体" w:hAnsi="宋体" w:hint="eastAsia"/>
          <w:b/>
          <w:color w:val="auto"/>
          <w:szCs w:val="24"/>
          <w:lang w:eastAsia="zh-CN"/>
        </w:rPr>
        <w:t>表</w:t>
      </w:r>
      <w:r>
        <w:rPr>
          <w:rFonts w:ascii="宋体" w:hAnsi="宋体" w:hint="eastAsia"/>
          <w:b/>
          <w:color w:val="auto"/>
          <w:szCs w:val="24"/>
          <w:lang w:val="en-US" w:eastAsia="zh-CN"/>
        </w:rPr>
        <w:t>2-1-1</w:t>
      </w:r>
    </w:p>
    <w:tbl>
      <w:tblPr>
        <w:tblStyle w:val="TableNormal"/>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56"/>
        <w:gridCol w:w="960"/>
        <w:gridCol w:w="1283"/>
        <w:gridCol w:w="1260"/>
        <w:gridCol w:w="441"/>
        <w:gridCol w:w="1359"/>
        <w:gridCol w:w="720"/>
        <w:gridCol w:w="1080"/>
        <w:gridCol w:w="1491"/>
      </w:tblGrid>
      <w:tr>
        <w:tblPrEx>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556" w:type="dxa"/>
            <w:vMerge w:val="restart"/>
            <w:vAlign w:val="center"/>
          </w:tcPr>
          <w:p>
            <w:pPr>
              <w:pStyle w:val="a1"/>
              <w:pageBreakBefore w:val="0"/>
              <w:kinsoku/>
              <w:topLinePunct w:val="0"/>
              <w:bidi w:val="0"/>
              <w:snapToGrid/>
              <w:spacing w:line="360" w:lineRule="auto"/>
              <w:jc w:val="both"/>
              <w:rPr>
                <w:rFonts w:ascii="宋体" w:eastAsia="宋体" w:hAnsi="宋体" w:hint="eastAsia"/>
                <w:szCs w:val="24"/>
              </w:rPr>
            </w:pPr>
            <w:r>
              <w:rPr>
                <w:rFonts w:ascii="宋体" w:eastAsia="宋体" w:hAnsi="宋体" w:hint="eastAsia"/>
                <w:szCs w:val="24"/>
              </w:rPr>
              <w:t>防水</w:t>
            </w:r>
          </w:p>
          <w:p>
            <w:pPr>
              <w:pStyle w:val="a1"/>
              <w:pageBreakBefore w:val="0"/>
              <w:kinsoku/>
              <w:topLinePunct w:val="0"/>
              <w:bidi w:val="0"/>
              <w:snapToGrid/>
              <w:spacing w:line="360" w:lineRule="auto"/>
              <w:jc w:val="both"/>
              <w:rPr>
                <w:rFonts w:ascii="宋体" w:eastAsia="宋体" w:hAnsi="宋体" w:hint="eastAsia"/>
                <w:szCs w:val="24"/>
              </w:rPr>
            </w:pPr>
            <w:r>
              <w:rPr>
                <w:rFonts w:ascii="宋体" w:eastAsia="宋体" w:hAnsi="宋体" w:hint="eastAsia"/>
                <w:szCs w:val="24"/>
              </w:rPr>
              <w:t>措施</w:t>
            </w:r>
          </w:p>
        </w:tc>
        <w:tc>
          <w:tcPr>
            <w:tcW w:w="960" w:type="dxa"/>
            <w:vMerge w:val="restart"/>
            <w:vAlign w:val="center"/>
          </w:tcPr>
          <w:p>
            <w:pPr>
              <w:pStyle w:val="a1"/>
              <w:pageBreakBefore w:val="0"/>
              <w:kinsoku/>
              <w:topLinePunct w:val="0"/>
              <w:bidi w:val="0"/>
              <w:snapToGrid/>
              <w:spacing w:line="360" w:lineRule="auto"/>
              <w:rPr>
                <w:rFonts w:ascii="宋体" w:eastAsia="宋体" w:hAnsi="宋体" w:hint="eastAsia"/>
                <w:szCs w:val="24"/>
              </w:rPr>
            </w:pPr>
            <w:r>
              <w:rPr>
                <w:rFonts w:ascii="宋体" w:eastAsia="宋体" w:hAnsi="宋体" w:hint="eastAsia"/>
                <w:szCs w:val="24"/>
              </w:rPr>
              <w:t>管片衬砌结构自防水</w:t>
            </w:r>
          </w:p>
        </w:tc>
        <w:tc>
          <w:tcPr>
            <w:tcW w:w="2984" w:type="dxa"/>
            <w:gridSpan w:val="3"/>
            <w:vAlign w:val="center"/>
          </w:tcPr>
          <w:p>
            <w:pPr>
              <w:pStyle w:val="a1"/>
              <w:pageBreakBefore w:val="0"/>
              <w:kinsoku/>
              <w:topLinePunct w:val="0"/>
              <w:bidi w:val="0"/>
              <w:snapToGrid/>
              <w:spacing w:line="360" w:lineRule="auto"/>
              <w:rPr>
                <w:rFonts w:ascii="宋体" w:eastAsia="宋体" w:hAnsi="宋体" w:hint="eastAsia"/>
                <w:szCs w:val="24"/>
              </w:rPr>
            </w:pPr>
            <w:r>
              <w:rPr>
                <w:rFonts w:ascii="宋体" w:eastAsia="宋体" w:hAnsi="宋体" w:hint="eastAsia"/>
                <w:szCs w:val="24"/>
              </w:rPr>
              <w:t>接缝防水</w:t>
            </w:r>
          </w:p>
        </w:tc>
        <w:tc>
          <w:tcPr>
            <w:tcW w:w="1359"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其他</w:t>
            </w:r>
          </w:p>
        </w:tc>
        <w:tc>
          <w:tcPr>
            <w:tcW w:w="720"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其他</w:t>
            </w:r>
          </w:p>
        </w:tc>
        <w:tc>
          <w:tcPr>
            <w:tcW w:w="1080"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进出洞</w:t>
            </w:r>
          </w:p>
        </w:tc>
        <w:tc>
          <w:tcPr>
            <w:tcW w:w="1491"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其他</w:t>
            </w:r>
          </w:p>
        </w:tc>
      </w:tr>
      <w:tr>
        <w:tblPrEx>
          <w:jc w:val="center"/>
          <w:tblLayout w:type="fixed"/>
          <w:tblCellMar>
            <w:top w:w="0" w:type="dxa"/>
            <w:left w:w="108" w:type="dxa"/>
            <w:bottom w:w="0" w:type="dxa"/>
            <w:right w:w="108" w:type="dxa"/>
          </w:tblCellMar>
          <w:tblLook w:val="0000"/>
        </w:tblPrEx>
        <w:trPr>
          <w:trHeight w:val="940"/>
          <w:jc w:val="center"/>
        </w:trPr>
        <w:tc>
          <w:tcPr>
            <w:tcW w:w="1" w:type="dxa"/>
            <w:vMerge/>
            <w:vAlign w:val="center"/>
          </w:tcPr>
          <w:p>
            <w:pPr>
              <w:pStyle w:val="a1"/>
              <w:pageBreakBefore w:val="0"/>
              <w:kinsoku/>
              <w:topLinePunct w:val="0"/>
              <w:bidi w:val="0"/>
              <w:snapToGrid/>
              <w:spacing w:line="360" w:lineRule="auto"/>
              <w:rPr>
                <w:rFonts w:ascii="宋体" w:eastAsia="宋体" w:hAnsi="宋体" w:hint="eastAsia"/>
                <w:szCs w:val="24"/>
              </w:rPr>
            </w:pPr>
          </w:p>
        </w:tc>
        <w:tc>
          <w:tcPr>
            <w:tcW w:w="1" w:type="dxa"/>
            <w:vMerge/>
            <w:vAlign w:val="center"/>
          </w:tcPr>
          <w:p>
            <w:pPr>
              <w:pStyle w:val="a1"/>
              <w:pageBreakBefore w:val="0"/>
              <w:kinsoku/>
              <w:topLinePunct w:val="0"/>
              <w:bidi w:val="0"/>
              <w:snapToGrid/>
              <w:spacing w:line="360" w:lineRule="auto"/>
              <w:rPr>
                <w:rFonts w:ascii="宋体" w:eastAsia="宋体" w:hAnsi="宋体" w:hint="eastAsia"/>
                <w:szCs w:val="24"/>
              </w:rPr>
            </w:pPr>
          </w:p>
        </w:tc>
        <w:tc>
          <w:tcPr>
            <w:tcW w:w="1283"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三元乙丙弹性橡胶密封垫</w:t>
            </w:r>
          </w:p>
        </w:tc>
        <w:tc>
          <w:tcPr>
            <w:tcW w:w="1260"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丁晴软木橡胶垫</w:t>
            </w:r>
          </w:p>
        </w:tc>
        <w:tc>
          <w:tcPr>
            <w:tcW w:w="441"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嵌缝</w:t>
            </w:r>
          </w:p>
        </w:tc>
        <w:tc>
          <w:tcPr>
            <w:tcW w:w="1359"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螺栓孔密封圈</w:t>
            </w:r>
          </w:p>
        </w:tc>
        <w:tc>
          <w:tcPr>
            <w:tcW w:w="720" w:type="dxa"/>
            <w:vAlign w:val="center"/>
          </w:tcPr>
          <w:p>
            <w:pPr>
              <w:pStyle w:val="a1"/>
              <w:pageBreakBefore w:val="0"/>
              <w:kinsoku/>
              <w:topLinePunct w:val="0"/>
              <w:bidi w:val="0"/>
              <w:snapToGrid/>
              <w:spacing w:line="360" w:lineRule="auto"/>
              <w:jc w:val="both"/>
              <w:rPr>
                <w:rFonts w:ascii="宋体" w:eastAsia="宋体" w:hAnsi="宋体" w:hint="eastAsia"/>
                <w:color w:val="000000"/>
                <w:szCs w:val="24"/>
              </w:rPr>
            </w:pPr>
            <w:r>
              <w:rPr>
                <w:rFonts w:ascii="宋体" w:eastAsia="宋体" w:hAnsi="宋体" w:hint="eastAsia"/>
                <w:color w:val="000000"/>
                <w:szCs w:val="24"/>
              </w:rPr>
              <w:t>手孔封堵</w:t>
            </w:r>
          </w:p>
        </w:tc>
        <w:tc>
          <w:tcPr>
            <w:tcW w:w="1080"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帘布橡胶板</w:t>
            </w:r>
          </w:p>
        </w:tc>
        <w:tc>
          <w:tcPr>
            <w:tcW w:w="1491" w:type="dxa"/>
            <w:vAlign w:val="center"/>
          </w:tcPr>
          <w:p>
            <w:pPr>
              <w:pStyle w:val="a1"/>
              <w:pageBreakBefore w:val="0"/>
              <w:kinsoku/>
              <w:topLinePunct w:val="0"/>
              <w:bidi w:val="0"/>
              <w:snapToGrid/>
              <w:spacing w:line="360" w:lineRule="auto"/>
              <w:rPr>
                <w:rFonts w:ascii="宋体" w:eastAsia="宋体" w:hAnsi="宋体" w:hint="eastAsia"/>
                <w:color w:val="000000"/>
                <w:szCs w:val="24"/>
              </w:rPr>
            </w:pPr>
            <w:r>
              <w:rPr>
                <w:rFonts w:ascii="宋体" w:eastAsia="宋体" w:hAnsi="宋体" w:hint="eastAsia"/>
                <w:color w:val="000000"/>
                <w:szCs w:val="24"/>
              </w:rPr>
              <w:t>同步及二次回填注浆</w:t>
            </w:r>
          </w:p>
        </w:tc>
      </w:tr>
    </w:tbl>
    <w:p>
      <w:pPr>
        <w:pStyle w:val="Heading2"/>
        <w:pageBreakBefore w:val="0"/>
        <w:tabs>
          <w:tab w:val="left" w:pos="360"/>
          <w:tab w:val="left" w:pos="575"/>
        </w:tabs>
        <w:kinsoku/>
        <w:topLinePunct w:val="0"/>
        <w:bidi w:val="0"/>
        <w:snapToGrid/>
        <w:spacing w:line="500" w:lineRule="auto"/>
        <w:rPr>
          <w:rFonts w:hint="eastAsia"/>
        </w:rPr>
      </w:pPr>
      <w:bookmarkStart w:id="39" w:name="_Toc394494606"/>
      <w:bookmarkStart w:id="40" w:name="_Toc16368"/>
      <w:bookmarkStart w:id="41" w:name="_Toc3565"/>
      <w:bookmarkStart w:id="42" w:name="_Toc5412"/>
      <w:bookmarkStart w:id="43" w:name="_Toc988"/>
      <w:r>
        <w:rPr>
          <w:rFonts w:hint="eastAsia"/>
        </w:rPr>
        <w:t>工程地质</w:t>
      </w:r>
      <w:bookmarkEnd w:id="39"/>
      <w:bookmarkEnd w:id="40"/>
      <w:bookmarkEnd w:id="41"/>
      <w:bookmarkEnd w:id="42"/>
      <w:bookmarkEnd w:id="43"/>
    </w:p>
    <w:p>
      <w:pPr>
        <w:pStyle w:val="Heading3"/>
        <w:pageBreakBefore w:val="0"/>
        <w:tabs>
          <w:tab w:val="left" w:pos="0"/>
          <w:tab w:val="left" w:pos="720"/>
        </w:tabs>
        <w:kinsoku/>
        <w:topLinePunct w:val="0"/>
        <w:bidi w:val="0"/>
        <w:snapToGrid/>
        <w:spacing w:line="500" w:lineRule="auto"/>
        <w:rPr>
          <w:rFonts w:hint="eastAsia"/>
          <w:lang w:val="en-US" w:eastAsia="zh-CN"/>
        </w:rPr>
      </w:pPr>
      <w:bookmarkStart w:id="44" w:name="_Toc23948"/>
      <w:bookmarkStart w:id="45" w:name="_Toc17484"/>
      <w:bookmarkStart w:id="46" w:name="_Toc23086"/>
      <w:bookmarkStart w:id="47" w:name="_Toc20628"/>
      <w:r>
        <w:rPr>
          <w:rFonts w:hint="eastAsia"/>
          <w:lang w:val="en-US" w:eastAsia="zh-CN"/>
        </w:rPr>
        <w:t>行政区划及交通现状</w:t>
      </w:r>
      <w:bookmarkEnd w:id="44"/>
      <w:bookmarkEnd w:id="45"/>
      <w:bookmarkEnd w:id="46"/>
      <w:bookmarkEnd w:id="47"/>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重庆市轨道交通十号线T3航站楼站～T2航站楼站区间行政区划属重庆市渝北区，拟建区间线路穿越</w:t>
      </w:r>
      <w:r>
        <w:rPr>
          <w:rFonts w:ascii="宋体" w:hAnsi="宋体" w:cs="宋体" w:hint="eastAsia"/>
          <w:color w:val="auto"/>
          <w:kern w:val="2"/>
          <w:lang w:eastAsia="zh-CN"/>
        </w:rPr>
        <w:t>在</w:t>
      </w:r>
      <w:r>
        <w:rPr>
          <w:rFonts w:ascii="宋体" w:hAnsi="宋体" w:cs="宋体" w:hint="eastAsia"/>
          <w:color w:val="auto"/>
          <w:kern w:val="2"/>
        </w:rPr>
        <w:t>建重庆机场扩建飞行区及现有飞行区，沿线交通较方便。</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48" w:name="_Toc23738"/>
      <w:bookmarkStart w:id="49" w:name="_Toc4358"/>
      <w:bookmarkStart w:id="50" w:name="_Toc1028"/>
      <w:bookmarkStart w:id="51" w:name="_Toc24509"/>
      <w:r>
        <w:rPr>
          <w:rFonts w:hint="eastAsia"/>
          <w:lang w:val="en-US" w:eastAsia="zh-CN"/>
        </w:rPr>
        <w:t>气象</w:t>
      </w:r>
      <w:bookmarkEnd w:id="48"/>
      <w:bookmarkEnd w:id="49"/>
      <w:bookmarkEnd w:id="50"/>
      <w:bookmarkEnd w:id="51"/>
    </w:p>
    <w:p>
      <w:pPr>
        <w:pStyle w:val="Default"/>
        <w:pageBreakBefore w:val="0"/>
        <w:kinsoku/>
        <w:topLinePunct w:val="0"/>
        <w:bidi w:val="0"/>
        <w:snapToGrid/>
        <w:spacing w:line="500" w:lineRule="auto"/>
        <w:ind w:firstLine="480" w:firstLineChars="200"/>
        <w:jc w:val="both"/>
        <w:rPr>
          <w:rFonts w:ascii="宋体" w:eastAsia="宋体" w:hAnsi="宋体" w:cs="宋体" w:hint="eastAsia"/>
          <w:color w:val="auto"/>
          <w:kern w:val="2"/>
        </w:rPr>
      </w:pPr>
      <w:r>
        <w:rPr>
          <w:rFonts w:ascii="宋体" w:eastAsia="宋体" w:hAnsi="宋体" w:cs="宋体" w:hint="eastAsia"/>
          <w:color w:val="auto"/>
          <w:kern w:val="2"/>
        </w:rPr>
        <w:t>勘查区内的气象特性具有空气湿润，春早夏长、冬暖多雾、秋雨连绵的特点，年无霜期349天左右。</w:t>
      </w:r>
    </w:p>
    <w:p>
      <w:pPr>
        <w:pStyle w:val="Default"/>
        <w:pageBreakBefore w:val="0"/>
        <w:kinsoku/>
        <w:topLinePunct w:val="0"/>
        <w:bidi w:val="0"/>
        <w:snapToGrid/>
        <w:spacing w:line="500" w:lineRule="auto"/>
        <w:ind w:firstLine="480" w:firstLineChars="200"/>
        <w:jc w:val="both"/>
        <w:rPr>
          <w:rFonts w:ascii="宋体" w:eastAsia="宋体" w:hAnsi="宋体" w:cs="宋体" w:hint="eastAsia"/>
          <w:color w:val="auto"/>
          <w:kern w:val="2"/>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4"/>
          <w:cols w:space="708"/>
          <w:titlePg w:val="0"/>
          <w:docGrid w:type="lines" w:linePitch="312"/>
        </w:sectPr>
      </w:pPr>
      <w:r>
        <w:rPr>
          <w:rFonts w:ascii="宋体" w:eastAsia="宋体" w:hAnsi="宋体" w:cs="宋体" w:hint="eastAsia"/>
          <w:color w:val="auto"/>
          <w:kern w:val="2"/>
        </w:rPr>
        <w:t>据市气象局资料：勘察区数年平均气温18.3</w:t>
      </w:r>
      <w:r>
        <w:rPr>
          <w:rFonts w:ascii="宋体" w:eastAsia="宋体" w:hAnsi="宋体" w:cs="宋体" w:hint="eastAsia"/>
          <w:color w:val="auto"/>
          <w:kern w:val="2"/>
        </w:rPr>
        <w:t>℃</w:t>
      </w:r>
      <w:r>
        <w:rPr>
          <w:rFonts w:ascii="宋体" w:eastAsia="宋体" w:hAnsi="宋体" w:cs="宋体" w:hint="eastAsia"/>
          <w:color w:val="auto"/>
          <w:kern w:val="2"/>
        </w:rPr>
        <w:t>，月平均最高气温是8月为28.1</w:t>
      </w:r>
      <w:r>
        <w:rPr>
          <w:rFonts w:ascii="宋体" w:eastAsia="宋体" w:hAnsi="宋体" w:cs="宋体" w:hint="eastAsia"/>
          <w:color w:val="auto"/>
          <w:kern w:val="2"/>
        </w:rPr>
        <w:t>℃</w:t>
      </w:r>
    </w:p>
    <w:p>
      <w:pPr>
        <w:pStyle w:val="Default"/>
        <w:pageBreakBefore w:val="0"/>
        <w:kinsoku/>
        <w:topLinePunct w:val="0"/>
        <w:bidi w:val="0"/>
        <w:snapToGrid/>
        <w:spacing w:line="500" w:lineRule="auto"/>
        <w:ind w:firstLine="480" w:firstLineChars="200"/>
        <w:jc w:val="both"/>
        <w:rPr>
          <w:rFonts w:ascii="宋体" w:eastAsia="宋体" w:hAnsi="宋体" w:cs="宋体" w:hint="eastAsia"/>
          <w:color w:val="auto"/>
          <w:kern w:val="2"/>
        </w:rPr>
      </w:pPr>
      <w:r>
        <w:rPr>
          <w:rFonts w:ascii="宋体" w:eastAsia="宋体" w:hAnsi="宋体" w:cs="宋体" w:hint="eastAsia"/>
          <w:color w:val="auto"/>
          <w:kern w:val="2"/>
        </w:rPr>
        <w:t>，月平均最低气温在1月为5.7</w:t>
      </w:r>
      <w:r>
        <w:rPr>
          <w:rFonts w:ascii="宋体" w:eastAsia="宋体" w:hAnsi="宋体" w:cs="宋体" w:hint="eastAsia"/>
          <w:color w:val="auto"/>
          <w:kern w:val="2"/>
        </w:rPr>
        <w:t>℃</w:t>
      </w:r>
      <w:r>
        <w:rPr>
          <w:rFonts w:ascii="宋体" w:eastAsia="宋体" w:hAnsi="宋体" w:cs="宋体" w:hint="eastAsia"/>
          <w:color w:val="auto"/>
          <w:kern w:val="2"/>
        </w:rPr>
        <w:t>，日最高气温43</w:t>
      </w:r>
      <w:r>
        <w:rPr>
          <w:rFonts w:ascii="宋体" w:eastAsia="宋体" w:hAnsi="宋体" w:cs="宋体" w:hint="eastAsia"/>
          <w:color w:val="auto"/>
          <w:kern w:val="2"/>
        </w:rPr>
        <w:t>℃</w:t>
      </w:r>
      <w:r>
        <w:rPr>
          <w:rFonts w:ascii="宋体" w:eastAsia="宋体" w:hAnsi="宋体" w:cs="宋体" w:hint="eastAsia"/>
          <w:color w:val="auto"/>
          <w:kern w:val="2"/>
        </w:rPr>
        <w:t>，日最低气温-1.8</w:t>
      </w:r>
      <w:r>
        <w:rPr>
          <w:rFonts w:ascii="宋体" w:eastAsia="宋体" w:hAnsi="宋体" w:cs="宋体" w:hint="eastAsia"/>
          <w:color w:val="auto"/>
          <w:kern w:val="2"/>
        </w:rPr>
        <w:t>℃</w:t>
      </w:r>
      <w:r>
        <w:rPr>
          <w:rFonts w:ascii="宋体" w:eastAsia="宋体" w:hAnsi="宋体" w:cs="宋体" w:hint="eastAsia"/>
          <w:color w:val="auto"/>
          <w:kern w:val="2"/>
        </w:rPr>
        <w:t>；数年平均降水量1082.6mm左右，降雨多集中在5～9月，其降雨最高达746.1mm左右，数年最大日降雨量122.9mm，日降雨量大于25mm以上的降雨日数占全年降雨日数的62%左右，小时最大降雨量可达62.1mm。</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52" w:name="_Toc18333"/>
      <w:bookmarkStart w:id="53" w:name="_Toc8456"/>
      <w:bookmarkStart w:id="54" w:name="_Toc17553"/>
      <w:bookmarkStart w:id="55" w:name="_Toc24768"/>
      <w:r>
        <w:rPr>
          <w:rFonts w:hint="eastAsia"/>
          <w:lang w:val="en-US" w:eastAsia="zh-CN"/>
        </w:rPr>
        <w:t>地层岩性</w:t>
      </w:r>
      <w:bookmarkEnd w:id="52"/>
      <w:bookmarkEnd w:id="53"/>
      <w:bookmarkEnd w:id="54"/>
      <w:bookmarkEnd w:id="55"/>
    </w:p>
    <w:p>
      <w:pPr>
        <w:pStyle w:val="Heading4"/>
        <w:pageBreakBefore w:val="0"/>
        <w:tabs>
          <w:tab w:val="left" w:pos="432"/>
        </w:tabs>
        <w:kinsoku/>
        <w:topLinePunct w:val="0"/>
        <w:bidi w:val="0"/>
        <w:snapToGrid/>
        <w:spacing w:line="500" w:lineRule="auto"/>
        <w:rPr>
          <w:rFonts w:ascii="宋体" w:hAnsi="宋体" w:cs="宋体" w:hint="eastAsia"/>
          <w:color w:val="auto"/>
          <w:kern w:val="2"/>
        </w:rPr>
      </w:pPr>
      <w:bookmarkStart w:id="56" w:name="_Toc32099"/>
      <w:bookmarkStart w:id="57" w:name="_Toc3564"/>
      <w:bookmarkStart w:id="58" w:name="_Toc26351"/>
      <w:r>
        <w:rPr>
          <w:rFonts w:ascii="宋体" w:eastAsia="宋体" w:hAnsi="宋体" w:cs="宋体" w:hint="eastAsia"/>
          <w:bCs w:val="0"/>
          <w:color w:val="auto"/>
          <w:kern w:val="2"/>
          <w:sz w:val="24"/>
          <w:szCs w:val="24"/>
          <w:lang w:val="en-US" w:eastAsia="zh-CN" w:bidi="ar-SA"/>
        </w:rPr>
        <w:t>填</w:t>
      </w:r>
      <w:r>
        <w:rPr>
          <w:rFonts w:ascii="宋体" w:hAnsi="宋体" w:cs="宋体" w:hint="eastAsia"/>
          <w:color w:val="auto"/>
          <w:kern w:val="2"/>
        </w:rPr>
        <w:t>土层（Q</w:t>
      </w:r>
      <w:r>
        <w:rPr>
          <w:rFonts w:ascii="宋体" w:hAnsi="宋体" w:cs="宋体" w:hint="eastAsia"/>
          <w:color w:val="auto"/>
          <w:kern w:val="2"/>
          <w:vertAlign w:val="subscript"/>
        </w:rPr>
        <w:t>4</w:t>
      </w:r>
      <w:r>
        <w:rPr>
          <w:rFonts w:ascii="宋体" w:hAnsi="宋体" w:cs="宋体" w:hint="eastAsia"/>
          <w:color w:val="auto"/>
          <w:kern w:val="2"/>
          <w:vertAlign w:val="superscript"/>
        </w:rPr>
        <w:t>ml</w:t>
      </w:r>
      <w:r>
        <w:rPr>
          <w:rFonts w:ascii="宋体" w:hAnsi="宋体" w:cs="宋体" w:hint="eastAsia"/>
          <w:color w:val="auto"/>
          <w:kern w:val="2"/>
        </w:rPr>
        <w:t>）</w:t>
      </w:r>
      <w:bookmarkEnd w:id="56"/>
      <w:bookmarkEnd w:id="57"/>
      <w:bookmarkEnd w:id="58"/>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紫褐色，灰褐色，由粘性土以及砂、泥岩块石碎石等组成。石英含量35～40%，粒径20～500mm，结构稍密～密实（现有机场范围内为密实，机场扩建施工区域内未松散～稍密），稍湿，堆积时间1～2023不等（扩建施工区域内的填土回填时间普遍小于1年，现有机场范围类为10～2023），厚度0～15.20m，分布于扩建区施工区域内的填土将会进行分层碾压回填或进行强夯解决，现有机场范围内其填土均采用分层碾压回填并进行强夯解决。根据前期初步勘察成果，沿线的素填土对钢结构、混凝土结构、钢筋混凝土结构中钢筋具有微腐蚀性。</w:t>
      </w:r>
    </w:p>
    <w:p>
      <w:pPr>
        <w:pStyle w:val="Heading4"/>
        <w:pageBreakBefore w:val="0"/>
        <w:tabs>
          <w:tab w:val="left" w:pos="432"/>
        </w:tabs>
        <w:kinsoku/>
        <w:topLinePunct w:val="0"/>
        <w:bidi w:val="0"/>
        <w:snapToGrid/>
        <w:spacing w:line="500" w:lineRule="auto"/>
        <w:rPr>
          <w:rFonts w:ascii="宋体" w:hAnsi="宋体" w:cs="宋体" w:hint="eastAsia"/>
          <w:color w:val="auto"/>
          <w:kern w:val="2"/>
        </w:rPr>
      </w:pPr>
      <w:bookmarkStart w:id="59" w:name="_Toc13914"/>
      <w:bookmarkStart w:id="60" w:name="_Toc326"/>
      <w:bookmarkStart w:id="61" w:name="_Toc15020"/>
      <w:r>
        <w:rPr>
          <w:rFonts w:ascii="宋体" w:eastAsia="宋体" w:hAnsi="宋体" w:cs="宋体" w:hint="eastAsia"/>
          <w:bCs w:val="0"/>
          <w:color w:val="auto"/>
          <w:kern w:val="2"/>
          <w:sz w:val="24"/>
          <w:szCs w:val="24"/>
          <w:lang w:val="en-US" w:eastAsia="zh-CN" w:bidi="ar-SA"/>
        </w:rPr>
        <w:t>残</w:t>
      </w:r>
      <w:r>
        <w:rPr>
          <w:rFonts w:ascii="宋体" w:hAnsi="宋体" w:cs="宋体" w:hint="eastAsia"/>
          <w:color w:val="auto"/>
          <w:kern w:val="2"/>
        </w:rPr>
        <w:t>坡积层（Q</w:t>
      </w:r>
      <w:r>
        <w:rPr>
          <w:rFonts w:ascii="宋体" w:hAnsi="宋体" w:cs="宋体" w:hint="eastAsia"/>
          <w:color w:val="auto"/>
          <w:kern w:val="2"/>
          <w:vertAlign w:val="subscript"/>
        </w:rPr>
        <w:t>4</w:t>
      </w:r>
      <w:r>
        <w:rPr>
          <w:rFonts w:ascii="宋体" w:hAnsi="宋体" w:cs="宋体" w:hint="eastAsia"/>
          <w:color w:val="auto"/>
          <w:kern w:val="2"/>
          <w:vertAlign w:val="superscript"/>
        </w:rPr>
        <w:t>el+dl</w:t>
      </w:r>
      <w:r>
        <w:rPr>
          <w:rFonts w:ascii="宋体" w:hAnsi="宋体" w:cs="宋体" w:hint="eastAsia"/>
          <w:color w:val="auto"/>
          <w:kern w:val="2"/>
        </w:rPr>
        <w:t>）</w:t>
      </w:r>
      <w:bookmarkEnd w:id="59"/>
      <w:bookmarkEnd w:id="60"/>
      <w:bookmarkEnd w:id="61"/>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粉质粘土：褐色，可塑，稍密光滑，摇震反映无，干强度中档，残坡积成因。厚度0～7m，该层零星分布于原始地貌为沟谷的地段。根据前期初步勘察成果，沿线的素填土对钢结构、混凝土结构、钢筋混凝土结构中钢筋具有微腐蚀性。</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5"/>
          <w:cols w:space="708"/>
          <w:titlePg w:val="0"/>
          <w:docGrid w:type="lines" w:linePitch="312"/>
        </w:sectPr>
      </w:pPr>
      <w:r>
        <w:rPr>
          <w:rFonts w:ascii="宋体" w:hAnsi="宋体" w:cs="宋体" w:hint="eastAsia"/>
          <w:color w:val="auto"/>
          <w:kern w:val="2"/>
        </w:rPr>
        <w:t>勘察区出露的岩层为一套强氧化环境下的河湖相碎屑岩沉积建造。由砂岩～砂质泥岩不等厚的正向沉积韵律层组成。以紫红色、暗紫红色泥岩、粉砂质泥岩为主，夹青灰色、灰白色中厚至厚层状砂岩。</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砂质泥岩：紫色，紫褐色，紫红色，粉砂泥质结构，中厚层状构造。表层强风化带一般厚度0.50～1.1m，强风化岩心呈碎块状，风化裂隙发育；中风化岩心呈柱状、长柱状，岩体较完整，岩质软，岩体基本质量等级为IV级，整个区间场地内均有分布。</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砂岩：青灰～灰白色，细～中粒结构，中厚层状构造，泥钙质胶结。重要矿物成分有：石英、长石等。砂岩强风化层厚度0.30～0.80m，强风化岩心呈黄灰色，碎块状、短柱状；中风化岩心呈柱状、长柱状，岩体较完整，岩质较硬，岩体基本质量等级为III级。</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62" w:name="_Toc15455"/>
      <w:bookmarkStart w:id="63" w:name="_Toc2001"/>
      <w:bookmarkStart w:id="64" w:name="_Toc10148"/>
      <w:bookmarkStart w:id="65" w:name="_Toc18122"/>
      <w:r>
        <w:rPr>
          <w:rFonts w:hint="eastAsia"/>
          <w:lang w:val="en-US" w:eastAsia="zh-CN"/>
        </w:rPr>
        <w:t>水文地质条件</w:t>
      </w:r>
      <w:bookmarkEnd w:id="62"/>
      <w:bookmarkEnd w:id="63"/>
      <w:bookmarkEnd w:id="64"/>
      <w:bookmarkEnd w:id="65"/>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轨道交通十号线T3航站楼～T2航站楼区间重要位于构造剥蚀丘陵地貌上，第四系覆盖层在沟谷地段厚度较大，基岩为砂岩和泥岩互层的陆相碎屑岩，含水相对较弱。地下水的富水性受地形地貌、岩性及裂隙发育限度控制，重要为大气降水、地面沟、塘水体渗漏补给，水文地质条件较复杂。根据沿线地下水的赋存条件、水理性质及水力特性，沿线地下水可分为第四系松散层孔隙水和基岩裂隙水。</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根据临近工程（重庆江北国际机场第三跑道和东航站区建设工程具体勘察、重庆江北国际机场航站区及配套设施扩建项目航站楼工程具体勘察报告、重庆市江北国际机场第二跑道及配套设施扩建项目（A标段）岩土工程具体勘察报告）及重庆市轨道交通十号线一期工程初步勘察报告勘察成果可知。线路沿线填土的渗透系数0.512m/d、沿线粉质粘土的渗透系数0.049m/d、沿线基岩的渗透系数0.01～0.032m/d（砂质泥岩渗透系数0.01m/d、砂岩渗透系数0.032m/d）。</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66" w:name="_Toc12742"/>
      <w:bookmarkStart w:id="67" w:name="_Toc11017"/>
      <w:bookmarkStart w:id="68" w:name="_Toc10039"/>
      <w:bookmarkStart w:id="69" w:name="_Toc7648"/>
      <w:r>
        <w:rPr>
          <w:rFonts w:hint="eastAsia"/>
          <w:lang w:val="en-US" w:eastAsia="zh-CN"/>
        </w:rPr>
        <w:t>特殊性岩土</w:t>
      </w:r>
      <w:bookmarkEnd w:id="66"/>
      <w:bookmarkEnd w:id="67"/>
      <w:bookmarkEnd w:id="68"/>
      <w:bookmarkEnd w:id="69"/>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6"/>
          <w:cols w:space="708"/>
          <w:titlePg w:val="0"/>
          <w:docGrid w:type="lines" w:linePitch="312"/>
        </w:sectPr>
      </w:pPr>
      <w:r>
        <w:rPr>
          <w:rFonts w:ascii="宋体" w:hAnsi="宋体" w:cs="宋体" w:hint="eastAsia"/>
          <w:color w:val="auto"/>
          <w:kern w:val="2"/>
        </w:rPr>
        <w:t>根据勘察，沿线的特殊性岩土为人工填土、残坡积土及强风化层。</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人工填土广泛分布于沿线地表，重要为机场建设回填形成，现有机场范围内均经夯实、碾压解决，机场扩建施工范围内勘察期间尚未经夯实、碾压解决；重要由砂岩、泥岩块碎石及黏性土组成，骨架颗粒粒径20～300mm，含量约30%～40%，结构密实，上部一般呈稍湿状，厚度加大地段的底部含地下水，呈湿润状，其厚度变化大，均匀性差，级配较好，对钢结构、混凝土结构、钢筋混凝土结构中钢筋具有微腐蚀性。</w:t>
      </w:r>
      <w:r>
        <w:rPr>
          <w:rFonts w:ascii="宋体" w:hAnsi="宋体" w:cs="宋体" w:hint="eastAsia"/>
          <w:color w:val="auto"/>
          <w:kern w:val="2"/>
          <w:lang w:eastAsia="zh-CN"/>
        </w:rPr>
        <w:t>区间第二跑道下部回填土示意图见下。</w:t>
      </w:r>
    </w:p>
    <w:p>
      <w:pPr>
        <w:pStyle w:val="Default"/>
        <w:pageBreakBefore w:val="0"/>
        <w:kinsoku/>
        <w:topLinePunct w:val="0"/>
        <w:bidi w:val="0"/>
        <w:snapToGrid/>
        <w:spacing w:line="360" w:lineRule="auto"/>
        <w:jc w:val="center"/>
        <w:rPr>
          <w:rFonts w:ascii="宋体" w:hAnsi="宋体" w:cs="宋体" w:hint="eastAsia"/>
          <w:sz w:val="28"/>
          <w:szCs w:val="28"/>
        </w:rPr>
      </w:pPr>
      <w:r>
        <w:rPr>
          <w:sz w:val="28"/>
          <w:szCs w:val="28"/>
          <w:bdr w:val="single" w:sz="4" w:space="0" w:color="auto"/>
        </w:rPr>
        <w:pict>
          <v:shape id="图片 5439" o:spid="_x0000_i1026" type="#_x0000_t75" style="width:461.55pt;height:228.6pt;mso-position-horizontal-relative:page;mso-position-vertical-relative:page;mso-wrap-style:square" filled="f" stroked="f">
            <v:imagedata r:id="rId5" o:title="" croptop="1485f"/>
            <v:path o:extrusionok="f"/>
            <o:lock v:ext="edit" aspectratio="t"/>
          </v:shape>
        </w:pict>
      </w:r>
    </w:p>
    <w:p>
      <w:pPr>
        <w:pStyle w:val="Default"/>
        <w:pageBreakBefore w:val="0"/>
        <w:numPr>
          <w:ilvl w:val="0"/>
          <w:numId w:val="0"/>
        </w:numPr>
        <w:kinsoku/>
        <w:topLinePunct w:val="0"/>
        <w:bidi w:val="0"/>
        <w:snapToGrid/>
        <w:spacing w:line="500" w:lineRule="auto"/>
        <w:ind w:leftChars="0"/>
        <w:jc w:val="center"/>
        <w:rPr>
          <w:rFonts w:ascii="宋体" w:hAnsi="宋体" w:cs="宋体" w:hint="eastAsia"/>
          <w:b/>
          <w:color w:val="auto"/>
          <w:highlight w:val="none"/>
          <w:shd w:val="clear" w:color="auto" w:fill="auto"/>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7"/>
          <w:cols w:space="708"/>
          <w:titlePg w:val="0"/>
          <w:docGrid w:type="lines" w:linePitch="312"/>
        </w:sectPr>
      </w:pPr>
      <w:r>
        <w:rPr>
          <w:rFonts w:ascii="宋体" w:hAnsi="宋体" w:cs="宋体" w:hint="eastAsia"/>
          <w:b/>
          <w:color w:val="auto"/>
          <w:highlight w:val="none"/>
          <w:shd w:val="clear" w:color="auto" w:fill="auto"/>
          <w:lang w:eastAsia="zh-CN"/>
        </w:rPr>
        <w:t>图</w:t>
      </w:r>
      <w:r>
        <w:rPr>
          <w:rFonts w:ascii="宋体" w:hAnsi="宋体" w:cs="宋体" w:hint="eastAsia"/>
          <w:b/>
          <w:color w:val="auto"/>
          <w:highlight w:val="none"/>
          <w:shd w:val="clear" w:color="auto" w:fill="auto"/>
          <w:lang w:val="en-US" w:eastAsia="zh-CN"/>
        </w:rPr>
        <w:t xml:space="preserve">2-2-1 </w:t>
      </w:r>
      <w:r>
        <w:rPr>
          <w:rFonts w:ascii="宋体" w:hAnsi="宋体" w:cs="宋体" w:hint="eastAsia"/>
          <w:b/>
          <w:color w:val="auto"/>
          <w:highlight w:val="none"/>
          <w:shd w:val="clear" w:color="auto" w:fill="auto"/>
        </w:rPr>
        <w:t xml:space="preserve"> </w:t>
      </w:r>
      <w:r>
        <w:rPr>
          <w:rFonts w:ascii="宋体" w:hAnsi="宋体" w:cs="宋体" w:hint="eastAsia"/>
          <w:b/>
          <w:color w:val="auto"/>
          <w:highlight w:val="none"/>
          <w:shd w:val="clear" w:color="auto" w:fill="auto"/>
          <w:lang w:eastAsia="zh-CN"/>
        </w:rPr>
        <w:t>区间左线下穿</w:t>
      </w:r>
      <w:r>
        <w:rPr>
          <w:rFonts w:ascii="宋体" w:hAnsi="宋体" w:cs="宋体" w:hint="eastAsia"/>
          <w:b/>
          <w:color w:val="auto"/>
          <w:highlight w:val="none"/>
          <w:shd w:val="clear" w:color="auto" w:fill="auto"/>
        </w:rPr>
        <w:t>第二跑道下部回填土示意图</w:t>
      </w:r>
    </w:p>
    <w:p>
      <w:pPr>
        <w:pStyle w:val="Default"/>
        <w:pageBreakBefore w:val="0"/>
        <w:numPr>
          <w:ilvl w:val="0"/>
          <w:numId w:val="0"/>
        </w:numPr>
        <w:kinsoku/>
        <w:topLinePunct w:val="0"/>
        <w:bidi w:val="0"/>
        <w:snapToGrid/>
        <w:spacing w:line="360" w:lineRule="auto"/>
        <w:ind w:leftChars="0"/>
        <w:jc w:val="both"/>
        <w:rPr>
          <w:rFonts w:ascii="宋体" w:hAnsi="宋体" w:cs="宋体" w:hint="eastAsia"/>
          <w:b/>
          <w:sz w:val="28"/>
          <w:szCs w:val="28"/>
          <w:highlight w:val="none"/>
        </w:rPr>
      </w:pPr>
      <w:r>
        <w:rPr>
          <w:sz w:val="28"/>
          <w:szCs w:val="28"/>
          <w:highlight w:val="none"/>
          <w:bdr w:val="single" w:sz="4" w:space="0" w:color="auto"/>
        </w:rPr>
        <w:pict>
          <v:shape id="图片 5440" o:spid="_x0000_i1027" type="#_x0000_t75" style="width:461.75pt;height:239pt;mso-position-horizontal-relative:page;mso-position-vertical-relative:page;mso-wrap-style:square" filled="f" stroked="f">
            <v:imagedata r:id="rId6" o:title="" croptop="1359f" cropbottom="2329f"/>
            <v:path o:extrusionok="f"/>
            <o:lock v:ext="edit" aspectratio="t"/>
          </v:shape>
        </w:pict>
      </w:r>
    </w:p>
    <w:p>
      <w:pPr>
        <w:pStyle w:val="Default"/>
        <w:pageBreakBefore w:val="0"/>
        <w:numPr>
          <w:ilvl w:val="0"/>
          <w:numId w:val="0"/>
        </w:numPr>
        <w:kinsoku/>
        <w:topLinePunct w:val="0"/>
        <w:bidi w:val="0"/>
        <w:snapToGrid/>
        <w:spacing w:line="500" w:lineRule="auto"/>
        <w:ind w:leftChars="0"/>
        <w:jc w:val="center"/>
        <w:rPr>
          <w:rFonts w:ascii="宋体" w:hAnsi="宋体" w:cs="宋体" w:hint="eastAsia"/>
          <w:b/>
          <w:highlight w:val="none"/>
        </w:rPr>
      </w:pPr>
      <w:r>
        <w:rPr>
          <w:rFonts w:ascii="宋体" w:hAnsi="宋体" w:cs="宋体" w:hint="eastAsia"/>
          <w:b/>
          <w:highlight w:val="none"/>
          <w:lang w:val="en-US" w:eastAsia="zh-CN"/>
        </w:rPr>
        <w:t>图2-2-2  区间右线下穿第二跑道下部回填土示意图</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70" w:name="_Toc15039"/>
      <w:bookmarkStart w:id="71" w:name="_Toc5241"/>
      <w:bookmarkStart w:id="72" w:name="_Toc13483"/>
      <w:bookmarkStart w:id="73" w:name="_Toc12801"/>
      <w:r>
        <w:rPr>
          <w:rFonts w:hint="eastAsia"/>
          <w:lang w:val="en-US" w:eastAsia="zh-CN"/>
        </w:rPr>
        <w:t>岩土施工工程分级</w:t>
      </w:r>
      <w:bookmarkEnd w:id="70"/>
      <w:bookmarkEnd w:id="71"/>
      <w:bookmarkEnd w:id="72"/>
      <w:bookmarkEnd w:id="73"/>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素填土：重要分布在地表，由块石、碎石和粘性土等组成，物质成分复杂，稍密～中密。力学性质不均。根据《城市轨道交通岩土工程勘察规范》GB50307-2023附录F，该层土为普通土，岩土施工工程等级II级。</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粉质粘土：零星分布，有一定的承载力。根据《城市轨道交通岩土工程勘察规范》GB50307-2023附录F，该层土为普通土，岩土施工工程等级II级。</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砂质泥岩：厚层状，层理及节理裂隙不发育，强度相对较低，属软岩，抗风化能力差。岩体基本质量等级IV。根据《城市轨道交通岩土工程勘察规范》GB50307-2023附录F，该层土为软质岩，岩土施工工程等级IV级。</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8"/>
          <w:cols w:space="708"/>
          <w:titlePg w:val="0"/>
          <w:docGrid w:type="lines" w:linePitch="312"/>
        </w:sectPr>
      </w:pPr>
      <w:r>
        <w:rPr>
          <w:rFonts w:ascii="宋体" w:hAnsi="宋体" w:cs="宋体" w:hint="eastAsia"/>
          <w:color w:val="auto"/>
          <w:kern w:val="2"/>
        </w:rPr>
        <w:t>砂岩：厚层状、中厚层状，节理裂隙不发育，强度相对较高，抗风化能力强，为较硬岩，岩体基本质量等级III。根据《城市轨道交通岩土工程勘察规范》GB50307-2023附录F，该层土为次坚石，岩土施工工程等级V级。</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强风化层岩石所有为极软岩，根据《城市轨道交通岩土工程勘察规范》GB50307-2023附录F，该层土为硬土，岩土施工工程等级III级。</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74" w:name="_Toc30648"/>
      <w:bookmarkStart w:id="75" w:name="_Toc20755"/>
      <w:bookmarkStart w:id="76" w:name="_Toc31542"/>
      <w:bookmarkStart w:id="77" w:name="_Toc18021"/>
      <w:r>
        <w:rPr>
          <w:rFonts w:hint="eastAsia"/>
          <w:lang w:val="en-US" w:eastAsia="zh-CN"/>
        </w:rPr>
        <w:t>设计参数建议值</w:t>
      </w:r>
      <w:bookmarkEnd w:id="74"/>
      <w:bookmarkEnd w:id="75"/>
      <w:bookmarkEnd w:id="76"/>
      <w:bookmarkEnd w:id="77"/>
    </w:p>
    <w:p>
      <w:pPr>
        <w:pStyle w:val="2"/>
        <w:pageBreakBefore w:val="0"/>
        <w:numPr>
          <w:ilvl w:val="0"/>
          <w:numId w:val="0"/>
        </w:numPr>
        <w:kinsoku/>
        <w:topLinePunct w:val="0"/>
        <w:bidi w:val="0"/>
        <w:snapToGrid/>
        <w:spacing w:line="500" w:lineRule="auto"/>
        <w:ind w:leftChars="0"/>
        <w:jc w:val="right"/>
        <w:rPr>
          <w:rFonts w:ascii="宋体" w:hAnsi="宋体" w:hint="eastAsia"/>
          <w:b/>
          <w:color w:val="auto"/>
          <w:szCs w:val="24"/>
        </w:rPr>
      </w:pPr>
      <w:r>
        <w:rPr>
          <w:rFonts w:ascii="宋体" w:hAnsi="宋体" w:hint="eastAsia"/>
          <w:b/>
          <w:color w:val="auto"/>
          <w:szCs w:val="24"/>
        </w:rPr>
        <w:t>设计参数建议值表</w:t>
      </w:r>
      <w:r>
        <w:rPr>
          <w:rFonts w:ascii="宋体" w:hAnsi="宋体" w:hint="eastAsia"/>
          <w:b/>
          <w:color w:val="auto"/>
          <w:szCs w:val="24"/>
          <w:lang w:val="en-US" w:eastAsia="zh-CN"/>
        </w:rPr>
        <w:t xml:space="preserve">                        表2-2-1</w:t>
      </w: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805"/>
        <w:gridCol w:w="856"/>
        <w:gridCol w:w="1026"/>
        <w:gridCol w:w="1236"/>
        <w:gridCol w:w="1026"/>
        <w:gridCol w:w="1236"/>
        <w:gridCol w:w="102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2805" w:type="dxa"/>
            <w:vMerge w:val="restart"/>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r>
              <w:rPr>
                <w:rFonts w:ascii="宋体" w:hAnsi="宋体" w:hint="eastAsia"/>
                <w:b/>
                <w:color w:val="auto"/>
                <w:sz w:val="21"/>
                <w:szCs w:val="21"/>
              </w:rPr>
              <w:t>岩土名称</w:t>
            </w:r>
          </w:p>
        </w:tc>
        <w:tc>
          <w:tcPr>
            <w:tcW w:w="856" w:type="dxa"/>
            <w:vMerge w:val="restart"/>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r>
              <w:rPr>
                <w:rFonts w:ascii="宋体" w:hAnsi="宋体" w:hint="eastAsia"/>
                <w:b/>
                <w:color w:val="auto"/>
                <w:sz w:val="21"/>
                <w:szCs w:val="21"/>
              </w:rPr>
              <w:t>素填土</w:t>
            </w:r>
          </w:p>
        </w:tc>
        <w:tc>
          <w:tcPr>
            <w:tcW w:w="2262" w:type="dxa"/>
            <w:gridSpan w:val="2"/>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r>
              <w:rPr>
                <w:rFonts w:ascii="宋体" w:hAnsi="宋体" w:hint="eastAsia"/>
                <w:b/>
                <w:color w:val="auto"/>
                <w:sz w:val="21"/>
                <w:szCs w:val="21"/>
              </w:rPr>
              <w:t>砂岩</w:t>
            </w:r>
          </w:p>
        </w:tc>
        <w:tc>
          <w:tcPr>
            <w:tcW w:w="2262" w:type="dxa"/>
            <w:gridSpan w:val="2"/>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r>
              <w:rPr>
                <w:rFonts w:ascii="宋体" w:hAnsi="宋体" w:hint="eastAsia"/>
                <w:b/>
                <w:color w:val="auto"/>
                <w:sz w:val="21"/>
                <w:szCs w:val="21"/>
              </w:rPr>
              <w:t>砂质泥岩</w:t>
            </w:r>
          </w:p>
        </w:tc>
        <w:tc>
          <w:tcPr>
            <w:tcW w:w="1026" w:type="dxa"/>
            <w:vMerge w:val="restart"/>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r>
              <w:rPr>
                <w:rFonts w:ascii="宋体" w:hAnsi="宋体" w:hint="eastAsia"/>
                <w:b/>
                <w:color w:val="auto"/>
                <w:sz w:val="21"/>
                <w:szCs w:val="21"/>
              </w:rPr>
              <w:t>结构面</w:t>
            </w:r>
          </w:p>
        </w:tc>
      </w:tr>
      <w:tr>
        <w:tblPrEx>
          <w:jc w:val="center"/>
          <w:tblLayout w:type="fixed"/>
          <w:tblCellMar>
            <w:top w:w="0" w:type="dxa"/>
            <w:left w:w="108" w:type="dxa"/>
            <w:bottom w:w="0" w:type="dxa"/>
            <w:right w:w="108" w:type="dxa"/>
          </w:tblCellMar>
          <w:tblLook w:val="0000"/>
        </w:tblPrEx>
        <w:trPr>
          <w:tblHeader/>
          <w:jc w:val="center"/>
        </w:trPr>
        <w:tc>
          <w:tcPr>
            <w:tcW w:w="1" w:type="dxa"/>
            <w:vMerge/>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p>
        </w:tc>
        <w:tc>
          <w:tcPr>
            <w:tcW w:w="1" w:type="dxa"/>
            <w:vMerge/>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r>
              <w:rPr>
                <w:rFonts w:ascii="宋体" w:hAnsi="宋体" w:hint="eastAsia"/>
                <w:b/>
                <w:color w:val="auto"/>
                <w:sz w:val="21"/>
                <w:szCs w:val="21"/>
              </w:rPr>
              <w:t>强风化</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r>
              <w:rPr>
                <w:rFonts w:ascii="宋体" w:hAnsi="宋体" w:hint="eastAsia"/>
                <w:b/>
                <w:color w:val="auto"/>
                <w:sz w:val="21"/>
                <w:szCs w:val="21"/>
              </w:rPr>
              <w:t>中档风化</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r>
              <w:rPr>
                <w:rFonts w:ascii="宋体" w:hAnsi="宋体" w:hint="eastAsia"/>
                <w:b/>
                <w:color w:val="auto"/>
                <w:sz w:val="21"/>
                <w:szCs w:val="21"/>
              </w:rPr>
              <w:t>强风化</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r>
              <w:rPr>
                <w:rFonts w:ascii="宋体" w:hAnsi="宋体" w:hint="eastAsia"/>
                <w:b/>
                <w:color w:val="auto"/>
                <w:sz w:val="21"/>
                <w:szCs w:val="21"/>
              </w:rPr>
              <w:t>中档风化</w:t>
            </w:r>
          </w:p>
        </w:tc>
        <w:tc>
          <w:tcPr>
            <w:tcW w:w="1" w:type="dxa"/>
            <w:vMerge/>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b/>
                <w:color w:val="auto"/>
                <w:sz w:val="21"/>
                <w:szCs w:val="21"/>
              </w:rPr>
            </w:pPr>
          </w:p>
        </w:tc>
      </w:tr>
      <w:tr>
        <w:tblPrEx>
          <w:jc w:val="center"/>
          <w:tblLayout w:type="fixed"/>
          <w:tblCellMar>
            <w:top w:w="0" w:type="dxa"/>
            <w:left w:w="108" w:type="dxa"/>
            <w:bottom w:w="0" w:type="dxa"/>
            <w:right w:w="108" w:type="dxa"/>
          </w:tblCellMar>
          <w:tblLook w:val="0000"/>
        </w:tblPrEx>
        <w:trPr>
          <w:jc w:val="center"/>
        </w:trPr>
        <w:tc>
          <w:tcPr>
            <w:tcW w:w="2805"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重度（KN/m3）</w:t>
            </w:r>
          </w:p>
        </w:tc>
        <w:tc>
          <w:tcPr>
            <w:tcW w:w="85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20*</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23*</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24.8</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23*</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25.6</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r>
      <w:tr>
        <w:tblPrEx>
          <w:jc w:val="center"/>
          <w:tblLayout w:type="fixed"/>
          <w:tblCellMar>
            <w:top w:w="0" w:type="dxa"/>
            <w:left w:w="108" w:type="dxa"/>
            <w:bottom w:w="0" w:type="dxa"/>
            <w:right w:w="108" w:type="dxa"/>
          </w:tblCellMar>
          <w:tblLook w:val="0000"/>
        </w:tblPrEx>
        <w:trPr>
          <w:jc w:val="center"/>
        </w:trPr>
        <w:tc>
          <w:tcPr>
            <w:tcW w:w="2805"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自然抗压强度（MPa）</w:t>
            </w:r>
          </w:p>
        </w:tc>
        <w:tc>
          <w:tcPr>
            <w:tcW w:w="85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43.4</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10.7</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r>
      <w:tr>
        <w:tblPrEx>
          <w:jc w:val="center"/>
          <w:tblLayout w:type="fixed"/>
          <w:tblCellMar>
            <w:top w:w="0" w:type="dxa"/>
            <w:left w:w="108" w:type="dxa"/>
            <w:bottom w:w="0" w:type="dxa"/>
            <w:right w:w="108" w:type="dxa"/>
          </w:tblCellMar>
          <w:tblLook w:val="0000"/>
        </w:tblPrEx>
        <w:trPr>
          <w:jc w:val="center"/>
        </w:trPr>
        <w:tc>
          <w:tcPr>
            <w:tcW w:w="2805"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饱和抗压强度（MPa）</w:t>
            </w:r>
          </w:p>
        </w:tc>
        <w:tc>
          <w:tcPr>
            <w:tcW w:w="85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32.6</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6.5</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r>
      <w:tr>
        <w:tblPrEx>
          <w:jc w:val="center"/>
          <w:tblLayout w:type="fixed"/>
          <w:tblCellMar>
            <w:top w:w="0" w:type="dxa"/>
            <w:left w:w="108" w:type="dxa"/>
            <w:bottom w:w="0" w:type="dxa"/>
            <w:right w:w="108" w:type="dxa"/>
          </w:tblCellMar>
          <w:tblLook w:val="0000"/>
        </w:tblPrEx>
        <w:trPr>
          <w:jc w:val="center"/>
        </w:trPr>
        <w:tc>
          <w:tcPr>
            <w:tcW w:w="2805"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地基承载力标准值（kPa）</w:t>
            </w:r>
          </w:p>
        </w:tc>
        <w:tc>
          <w:tcPr>
            <w:tcW w:w="85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400*</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2023</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300*</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1000</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r>
      <w:tr>
        <w:tblPrEx>
          <w:jc w:val="center"/>
          <w:tblLayout w:type="fixed"/>
          <w:tblCellMar>
            <w:top w:w="0" w:type="dxa"/>
            <w:left w:w="108" w:type="dxa"/>
            <w:bottom w:w="0" w:type="dxa"/>
            <w:right w:w="108" w:type="dxa"/>
          </w:tblCellMar>
          <w:tblLook w:val="0000"/>
        </w:tblPrEx>
        <w:trPr>
          <w:jc w:val="center"/>
        </w:trPr>
        <w:tc>
          <w:tcPr>
            <w:tcW w:w="2805"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内摩擦角</w:t>
            </w:r>
            <w:r>
              <w:rPr>
                <w:rFonts w:ascii="宋体" w:hAnsi="宋体" w:hint="eastAsia"/>
                <w:color w:val="auto"/>
                <w:sz w:val="21"/>
                <w:szCs w:val="21"/>
              </w:rPr>
              <w:t>ψ</w:t>
            </w:r>
            <w:r>
              <w:rPr>
                <w:rFonts w:ascii="宋体" w:hAnsi="宋体" w:hint="eastAsia"/>
                <w:color w:val="auto"/>
                <w:sz w:val="21"/>
                <w:szCs w:val="21"/>
              </w:rPr>
              <w:t>（</w:t>
            </w:r>
            <w:r>
              <w:rPr>
                <w:rFonts w:ascii="宋体" w:hAnsi="宋体" w:hint="eastAsia"/>
                <w:color w:val="auto"/>
                <w:sz w:val="21"/>
                <w:szCs w:val="21"/>
              </w:rPr>
              <w:t>°</w:t>
            </w:r>
            <w:r>
              <w:rPr>
                <w:rFonts w:ascii="宋体" w:hAnsi="宋体" w:hint="eastAsia"/>
                <w:color w:val="auto"/>
                <w:sz w:val="21"/>
                <w:szCs w:val="21"/>
              </w:rPr>
              <w:t>）</w:t>
            </w:r>
          </w:p>
        </w:tc>
        <w:tc>
          <w:tcPr>
            <w:tcW w:w="85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28*</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30*</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43.9</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30*</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33.3</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18</w:t>
            </w:r>
          </w:p>
        </w:tc>
      </w:tr>
      <w:tr>
        <w:tblPrEx>
          <w:jc w:val="center"/>
          <w:tblLayout w:type="fixed"/>
          <w:tblCellMar>
            <w:top w:w="0" w:type="dxa"/>
            <w:left w:w="108" w:type="dxa"/>
            <w:bottom w:w="0" w:type="dxa"/>
            <w:right w:w="108" w:type="dxa"/>
          </w:tblCellMar>
          <w:tblLook w:val="0000"/>
        </w:tblPrEx>
        <w:trPr>
          <w:jc w:val="center"/>
        </w:trPr>
        <w:tc>
          <w:tcPr>
            <w:tcW w:w="2805"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内聚力C（kPa）</w:t>
            </w:r>
          </w:p>
        </w:tc>
        <w:tc>
          <w:tcPr>
            <w:tcW w:w="85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1970</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600</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50</w:t>
            </w:r>
          </w:p>
        </w:tc>
      </w:tr>
      <w:tr>
        <w:tblPrEx>
          <w:jc w:val="center"/>
          <w:tblLayout w:type="fixed"/>
          <w:tblCellMar>
            <w:top w:w="0" w:type="dxa"/>
            <w:left w:w="108" w:type="dxa"/>
            <w:bottom w:w="0" w:type="dxa"/>
            <w:right w:w="108" w:type="dxa"/>
          </w:tblCellMar>
          <w:tblLook w:val="0000"/>
        </w:tblPrEx>
        <w:trPr>
          <w:jc w:val="center"/>
        </w:trPr>
        <w:tc>
          <w:tcPr>
            <w:tcW w:w="2805"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弹性模量（MPa）</w:t>
            </w:r>
          </w:p>
        </w:tc>
        <w:tc>
          <w:tcPr>
            <w:tcW w:w="85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800*</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4500</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600*</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1200</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r>
      <w:tr>
        <w:tblPrEx>
          <w:jc w:val="center"/>
          <w:tblLayout w:type="fixed"/>
          <w:tblCellMar>
            <w:top w:w="0" w:type="dxa"/>
            <w:left w:w="108" w:type="dxa"/>
            <w:bottom w:w="0" w:type="dxa"/>
            <w:right w:w="108" w:type="dxa"/>
          </w:tblCellMar>
          <w:tblLook w:val="0000"/>
        </w:tblPrEx>
        <w:trPr>
          <w:jc w:val="center"/>
        </w:trPr>
        <w:tc>
          <w:tcPr>
            <w:tcW w:w="2805"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泊松比</w:t>
            </w:r>
            <w:r>
              <w:rPr>
                <w:rFonts w:ascii="宋体" w:hAnsi="宋体" w:hint="eastAsia"/>
                <w:color w:val="auto"/>
                <w:sz w:val="21"/>
                <w:szCs w:val="21"/>
              </w:rPr>
              <w:t>μ</w:t>
            </w:r>
          </w:p>
        </w:tc>
        <w:tc>
          <w:tcPr>
            <w:tcW w:w="85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0.45*</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0.40*</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0.08</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0.40*</w:t>
            </w: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0.26</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r>
      <w:tr>
        <w:tblPrEx>
          <w:jc w:val="center"/>
          <w:tblLayout w:type="fixed"/>
          <w:tblCellMar>
            <w:top w:w="0" w:type="dxa"/>
            <w:left w:w="108" w:type="dxa"/>
            <w:bottom w:w="0" w:type="dxa"/>
            <w:right w:w="108" w:type="dxa"/>
          </w:tblCellMar>
          <w:tblLook w:val="0000"/>
        </w:tblPrEx>
        <w:trPr>
          <w:jc w:val="center"/>
        </w:trPr>
        <w:tc>
          <w:tcPr>
            <w:tcW w:w="2805"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岩土体静力侧压系数</w:t>
            </w:r>
          </w:p>
        </w:tc>
        <w:tc>
          <w:tcPr>
            <w:tcW w:w="85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0.30</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c>
          <w:tcPr>
            <w:tcW w:w="123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r>
              <w:rPr>
                <w:rFonts w:ascii="宋体" w:hAnsi="宋体" w:hint="eastAsia"/>
                <w:color w:val="auto"/>
                <w:sz w:val="21"/>
                <w:szCs w:val="21"/>
              </w:rPr>
              <w:t>0.55</w:t>
            </w:r>
          </w:p>
        </w:tc>
        <w:tc>
          <w:tcPr>
            <w:tcW w:w="1026" w:type="dxa"/>
            <w:tcBorders>
              <w:tl2br w:val="nil"/>
              <w:tr2bl w:val="nil"/>
            </w:tcBorders>
            <w:vAlign w:val="center"/>
          </w:tcPr>
          <w:p>
            <w:pPr>
              <w:pStyle w:val="2"/>
              <w:pageBreakBefore w:val="0"/>
              <w:kinsoku/>
              <w:topLinePunct w:val="0"/>
              <w:bidi w:val="0"/>
              <w:snapToGrid/>
              <w:spacing w:line="360" w:lineRule="auto"/>
              <w:ind w:firstLine="0" w:firstLineChars="0"/>
              <w:jc w:val="center"/>
              <w:rPr>
                <w:rFonts w:ascii="宋体" w:hAnsi="宋体" w:hint="eastAsia"/>
                <w:color w:val="auto"/>
                <w:sz w:val="21"/>
                <w:szCs w:val="21"/>
              </w:rPr>
            </w:pPr>
          </w:p>
        </w:tc>
      </w:tr>
    </w:tbl>
    <w:p>
      <w:pPr>
        <w:pStyle w:val="Heading3"/>
        <w:pageBreakBefore w:val="0"/>
        <w:tabs>
          <w:tab w:val="clear" w:pos="0"/>
          <w:tab w:val="left" w:pos="575"/>
          <w:tab w:val="clear" w:pos="720"/>
        </w:tabs>
        <w:kinsoku/>
        <w:topLinePunct w:val="0"/>
        <w:bidi w:val="0"/>
        <w:snapToGrid/>
        <w:spacing w:line="500" w:lineRule="auto"/>
        <w:rPr>
          <w:rFonts w:hint="eastAsia"/>
          <w:lang w:val="en-US" w:eastAsia="zh-CN"/>
        </w:rPr>
      </w:pPr>
      <w:bookmarkStart w:id="78" w:name="_Toc16076"/>
      <w:bookmarkStart w:id="79" w:name="_Toc6643"/>
      <w:bookmarkStart w:id="80" w:name="_Toc24722"/>
      <w:bookmarkStart w:id="81" w:name="_Toc16"/>
      <w:r>
        <w:rPr>
          <w:rFonts w:hint="eastAsia"/>
          <w:lang w:val="en-US" w:eastAsia="zh-CN"/>
        </w:rPr>
        <w:t>复合式TBM隧道段工程地质评价</w:t>
      </w:r>
      <w:bookmarkEnd w:id="78"/>
      <w:bookmarkEnd w:id="79"/>
      <w:bookmarkEnd w:id="80"/>
      <w:bookmarkEnd w:id="81"/>
    </w:p>
    <w:p>
      <w:pPr>
        <w:pStyle w:val="2"/>
        <w:pageBreakBefore w:val="0"/>
        <w:kinsoku/>
        <w:topLinePunct w:val="0"/>
        <w:bidi w:val="0"/>
        <w:snapToGrid/>
        <w:spacing w:line="500" w:lineRule="auto"/>
        <w:rPr>
          <w:rFonts w:ascii="宋体" w:hAnsi="宋体" w:hint="eastAsia"/>
          <w:color w:val="auto"/>
          <w:szCs w:val="24"/>
        </w:rPr>
      </w:pPr>
      <w:r>
        <w:rPr>
          <w:rFonts w:ascii="宋体" w:hAnsi="宋体" w:hint="eastAsia"/>
          <w:color w:val="auto"/>
          <w:szCs w:val="24"/>
        </w:rPr>
        <w:t>该段原始地貌为丘陵斜坡，经人工改造后，该段地形总体较平坦，地质构造上位于重庆向斜东翼，隧道洞轴走向与构造线走向大角度斜交，隧址地质构造条件简朴，沿线无断层通过，场地稳定。岩层倾角平缓，覆盖层厚度0～15.1m，下伏基岩为侏罗系中统沙溪庙组砂、泥岩不等厚互层以砂质泥岩为主，地下水以基岩裂隙水为主。</w:t>
      </w:r>
    </w:p>
    <w:p>
      <w:pPr>
        <w:pStyle w:val="2"/>
        <w:pageBreakBefore w:val="0"/>
        <w:kinsoku/>
        <w:topLinePunct w:val="0"/>
        <w:bidi w:val="0"/>
        <w:snapToGrid/>
        <w:spacing w:line="500" w:lineRule="auto"/>
        <w:rPr>
          <w:rFonts w:ascii="宋体" w:hAnsi="宋体" w:hint="eastAsia"/>
          <w:color w:val="auto"/>
          <w:szCs w:val="24"/>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9"/>
          <w:cols w:space="708"/>
          <w:titlePg w:val="0"/>
          <w:docGrid w:type="lines" w:linePitch="312"/>
        </w:sectPr>
      </w:pPr>
    </w:p>
    <w:p>
      <w:pPr>
        <w:pStyle w:val="2"/>
        <w:pageBreakBefore w:val="0"/>
        <w:kinsoku/>
        <w:topLinePunct w:val="0"/>
        <w:bidi w:val="0"/>
        <w:snapToGrid/>
        <w:spacing w:line="500" w:lineRule="auto"/>
        <w:rPr>
          <w:rFonts w:ascii="宋体" w:hAnsi="宋体" w:hint="eastAsia"/>
          <w:color w:val="auto"/>
          <w:szCs w:val="24"/>
        </w:rPr>
      </w:pPr>
      <w:r>
        <w:rPr>
          <w:rFonts w:ascii="宋体" w:hAnsi="宋体" w:hint="eastAsia"/>
          <w:color w:val="auto"/>
          <w:szCs w:val="24"/>
        </w:rPr>
        <w:t>该段为双洞双线隧道，采用复合式TBM施工，洞跨6m，洞高6m，隧道埋深约12.7～33.5m，隧顶中档风化基岩厚6.4～31m；隧道围岩重要为砂质泥岩局部夹砂岩薄层。岩体完整性指数Kv=0.71～0.74，岩体较完整～完整。砂质泥岩单轴饱和抗压强度4.7～11.3MPa，为极软岩～软岩。围岩弹性纵波速度vp=3.11～3.18Km/s,围岩基本分级为IV级，地下水为基岩裂隙水，正常涌水量约1.37L、10m</w:t>
      </w:r>
      <w:r>
        <w:rPr>
          <w:rFonts w:ascii="宋体" w:hAnsi="宋体" w:hint="eastAsia"/>
          <w:color w:val="auto"/>
          <w:szCs w:val="24"/>
        </w:rPr>
        <w:t>·</w:t>
      </w:r>
      <w:r>
        <w:rPr>
          <w:rFonts w:ascii="宋体" w:hAnsi="宋体" w:hint="eastAsia"/>
          <w:color w:val="auto"/>
          <w:szCs w:val="24"/>
        </w:rPr>
        <w:t>min，地下水状态为I级，考虑地下水状态，围岩级别建议按IV级考虑。</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里程K32+012.200～K32+167段、K32+209～K32+557段、K32+624～K33+745.779段隧顶中档风化基岩厚度大于2.5倍围岩压力拱高度（9.90m)，为深埋隧道。K32+167～K32+209段、K32+557～K32+624段隧顶中档风化基岩厚度小鱼2.5倍围岩压力拱高度（9.90m），为浅埋隧道。隧道拱部易发生局部掉块，建议复合式TBM掘进时应作好防止工作，必要时采用土压平衡模式。</w:t>
      </w:r>
    </w:p>
    <w:p>
      <w:pPr>
        <w:pStyle w:val="Default"/>
        <w:pageBreakBefore w:val="0"/>
        <w:kinsoku/>
        <w:topLinePunct w:val="0"/>
        <w:bidi w:val="0"/>
        <w:snapToGrid/>
        <w:spacing w:line="500" w:lineRule="auto"/>
        <w:ind w:firstLine="480" w:firstLineChars="200"/>
        <w:jc w:val="both"/>
        <w:rPr>
          <w:rFonts w:ascii="宋体" w:hAnsi="宋体" w:cs="宋体" w:hint="eastAsia"/>
          <w:color w:val="auto"/>
          <w:kern w:val="2"/>
        </w:rPr>
      </w:pPr>
      <w:r>
        <w:rPr>
          <w:rFonts w:ascii="宋体" w:hAnsi="宋体" w:cs="宋体" w:hint="eastAsia"/>
          <w:color w:val="auto"/>
          <w:kern w:val="2"/>
        </w:rPr>
        <w:t>环境工程影响评价：</w:t>
      </w:r>
    </w:p>
    <w:p>
      <w:pPr>
        <w:pageBreakBefore w:val="0"/>
        <w:numPr>
          <w:ilvl w:val="0"/>
          <w:numId w:val="9"/>
        </w:numPr>
        <w:tabs>
          <w:tab w:val="clear" w:pos="283"/>
          <w:tab w:val="left" w:pos="1200"/>
        </w:tabs>
        <w:kinsoku/>
        <w:topLinePunct w:val="0"/>
        <w:bidi w:val="0"/>
        <w:snapToGrid/>
        <w:spacing w:line="500" w:lineRule="auto"/>
        <w:ind w:left="5" w:firstLine="475"/>
        <w:rPr>
          <w:rFonts w:ascii="宋体" w:hAnsi="宋体" w:cs="宋体" w:hint="eastAsia"/>
          <w:sz w:val="24"/>
        </w:rPr>
      </w:pPr>
      <w:r>
        <w:rPr>
          <w:rFonts w:ascii="宋体" w:hAnsi="宋体" w:cs="宋体" w:hint="eastAsia"/>
          <w:sz w:val="24"/>
          <w:szCs w:val="24"/>
        </w:rPr>
        <w:t>本区间隧道里程段K32+012.200～K32+500范围位于拟建机场跑到区内、里程K32+500～K33+300范围位于机场跑道区内、里程K33+300～K33+560范围位于机场停机坪区域内。</w:t>
      </w:r>
    </w:p>
    <w:p>
      <w:pPr>
        <w:pageBreakBefore w:val="0"/>
        <w:tabs>
          <w:tab w:val="left" w:pos="420"/>
        </w:tabs>
        <w:kinsoku/>
        <w:topLinePunct w:val="0"/>
        <w:bidi w:val="0"/>
        <w:snapToGrid/>
        <w:spacing w:line="500" w:lineRule="auto"/>
        <w:ind w:firstLine="480" w:firstLineChars="200"/>
        <w:rPr>
          <w:rFonts w:ascii="宋体" w:hAnsi="宋体" w:cs="宋体" w:hint="eastAsia"/>
          <w:sz w:val="24"/>
        </w:rPr>
      </w:pPr>
      <w:r>
        <w:rPr>
          <w:rFonts w:ascii="宋体" w:hAnsi="宋体" w:cs="宋体" w:hint="eastAsia"/>
          <w:sz w:val="24"/>
          <w:szCs w:val="24"/>
        </w:rPr>
        <w:t>K32+012.200～K32+500范围内建议设计与机场设计单位进行沟通并进一步收集拟建跑道区荷载情况后再进行精确计算，并根据结果进行设计与指导施工。</w:t>
      </w:r>
    </w:p>
    <w:p>
      <w:pPr>
        <w:pageBreakBefore w:val="0"/>
        <w:tabs>
          <w:tab w:val="left" w:pos="420"/>
        </w:tabs>
        <w:kinsoku/>
        <w:topLinePunct w:val="0"/>
        <w:bidi w:val="0"/>
        <w:snapToGrid/>
        <w:spacing w:line="500" w:lineRule="auto"/>
        <w:ind w:firstLine="480" w:firstLineChars="200"/>
        <w:rPr>
          <w:rFonts w:ascii="宋体" w:hAnsi="宋体" w:cs="宋体" w:hint="eastAsia"/>
          <w:sz w:val="24"/>
        </w:rPr>
      </w:pPr>
      <w:r>
        <w:rPr>
          <w:rFonts w:ascii="宋体" w:hAnsi="宋体" w:cs="宋体" w:hint="eastAsia"/>
          <w:sz w:val="24"/>
          <w:szCs w:val="24"/>
        </w:rPr>
        <w:t>里程K32+500～K33+300范围内，里程K32+500～K32+652段及K32+745～K32+870段上部中档风化基岩厚约9.5m～18m，小于3倍洞跨；根据工程特点并结合重庆地区经验可知，上述里程段隧道的修建对于上部机场跑道的影响较大。其余里程段上部中档风化基岩厚约18～27m,大于3倍洞跨，隧道的修建对上部机场跑道的影响较小。</w:t>
      </w:r>
    </w:p>
    <w:p>
      <w:pPr>
        <w:pageBreakBefore w:val="0"/>
        <w:tabs>
          <w:tab w:val="left" w:pos="420"/>
        </w:tabs>
        <w:kinsoku/>
        <w:topLinePunct w:val="0"/>
        <w:bidi w:val="0"/>
        <w:snapToGrid/>
        <w:spacing w:line="500" w:lineRule="auto"/>
        <w:ind w:firstLine="480" w:firstLineChars="200"/>
        <w:rPr>
          <w:rFonts w:ascii="宋体" w:hAnsi="宋体" w:cs="宋体" w:hint="eastAsia"/>
          <w:sz w:val="24"/>
        </w:rPr>
      </w:pPr>
      <w:r>
        <w:rPr>
          <w:rFonts w:ascii="宋体" w:hAnsi="宋体" w:cs="宋体" w:hint="eastAsia"/>
          <w:sz w:val="24"/>
          <w:szCs w:val="24"/>
        </w:rPr>
        <w:t>K32+012.200～K32+500范围内上部中档风化基岩厚约24～27m，大于3倍洞跨。根据工程特点并结合重庆地区经验可知，本段隧道的修建对上部机场跑道的影响较小。</w:t>
      </w:r>
    </w:p>
    <w:p>
      <w:pPr>
        <w:pageBreakBefore w:val="0"/>
        <w:tabs>
          <w:tab w:val="left" w:pos="420"/>
        </w:tabs>
        <w:kinsoku/>
        <w:topLinePunct w:val="0"/>
        <w:bidi w:val="0"/>
        <w:snapToGrid/>
        <w:spacing w:line="500" w:lineRule="auto"/>
        <w:ind w:firstLine="480" w:firstLineChars="200"/>
        <w:rPr>
          <w:rFonts w:ascii="宋体" w:hAnsi="宋体" w:cs="宋体" w:hint="eastAsia"/>
          <w:sz w:val="24"/>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0"/>
          <w:cols w:space="708"/>
          <w:titlePg w:val="0"/>
          <w:docGrid w:type="lines" w:linePitch="312"/>
        </w:sectPr>
      </w:pPr>
    </w:p>
    <w:p>
      <w:pPr>
        <w:pageBreakBefore w:val="0"/>
        <w:tabs>
          <w:tab w:val="left" w:pos="420"/>
        </w:tabs>
        <w:kinsoku/>
        <w:topLinePunct w:val="0"/>
        <w:bidi w:val="0"/>
        <w:snapToGrid/>
        <w:spacing w:line="500" w:lineRule="auto"/>
        <w:ind w:firstLine="480" w:firstLineChars="200"/>
        <w:rPr>
          <w:rFonts w:ascii="宋体" w:hAnsi="宋体" w:cs="宋体" w:hint="eastAsia"/>
          <w:sz w:val="24"/>
        </w:rPr>
      </w:pPr>
      <w:r>
        <w:rPr>
          <w:rFonts w:ascii="宋体" w:hAnsi="宋体" w:cs="宋体" w:hint="eastAsia"/>
          <w:sz w:val="24"/>
          <w:szCs w:val="24"/>
        </w:rPr>
        <w:t>建议设计进一步飞机跑道区荷载情况后再进行精确计算，并根据结果进行设计与指导施工</w:t>
      </w:r>
    </w:p>
    <w:p>
      <w:pPr>
        <w:pageBreakBefore w:val="0"/>
        <w:numPr>
          <w:ilvl w:val="0"/>
          <w:numId w:val="9"/>
        </w:numPr>
        <w:tabs>
          <w:tab w:val="clear" w:pos="283"/>
          <w:tab w:val="left" w:pos="1200"/>
        </w:tabs>
        <w:kinsoku/>
        <w:topLinePunct w:val="0"/>
        <w:bidi w:val="0"/>
        <w:snapToGrid/>
        <w:spacing w:line="500" w:lineRule="auto"/>
        <w:ind w:left="5" w:firstLine="475"/>
        <w:rPr>
          <w:rFonts w:ascii="宋体" w:hAnsi="宋体" w:cs="宋体" w:hint="eastAsia"/>
          <w:sz w:val="24"/>
        </w:rPr>
      </w:pPr>
      <w:r>
        <w:rPr>
          <w:rFonts w:ascii="宋体" w:hAnsi="宋体" w:cs="宋体" w:hint="eastAsia"/>
          <w:sz w:val="24"/>
          <w:szCs w:val="24"/>
        </w:rPr>
        <w:t>里程K33+675～K33+711段下穿机场换乘中心（砼2）。该建筑采用桩基础，基础底标高409～413，基底与隧顶中档风化基岩厚度约25～29m，约等于4.1～4.8倍洞跨。根据重庆地区六号线隧道的施工经验，及地区经验可知，本段隧道的修建对上部机场换乘中心的影响小。</w:t>
      </w:r>
    </w:p>
    <w:p>
      <w:pPr>
        <w:pageBreakBefore w:val="0"/>
        <w:numPr>
          <w:ilvl w:val="0"/>
          <w:numId w:val="9"/>
        </w:numPr>
        <w:tabs>
          <w:tab w:val="clear" w:pos="283"/>
          <w:tab w:val="left" w:pos="1200"/>
        </w:tabs>
        <w:kinsoku/>
        <w:topLinePunct w:val="0"/>
        <w:bidi w:val="0"/>
        <w:snapToGrid/>
        <w:spacing w:line="500" w:lineRule="auto"/>
        <w:ind w:left="5" w:firstLine="475"/>
        <w:rPr>
          <w:rFonts w:ascii="宋体" w:hAnsi="宋体" w:cs="宋体" w:hint="eastAsia"/>
          <w:sz w:val="24"/>
        </w:rPr>
      </w:pPr>
      <w:r>
        <w:rPr>
          <w:rFonts w:ascii="宋体" w:hAnsi="宋体" w:cs="宋体" w:hint="eastAsia"/>
          <w:sz w:val="24"/>
          <w:szCs w:val="24"/>
        </w:rPr>
        <w:t>里程K33+710～K33+737段下穿机场上跨桥。该建筑采用桩基础，基础底标高401～405，基底与隧顶中档风化基岩厚度约17m，约等于2.8倍洞跨。根据重庆地区六号线隧道施工的经验，及地区经验可知，本段隧道的修建对于上部机场换乘中心的影响小。</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82" w:name="_Toc7812"/>
      <w:bookmarkStart w:id="83" w:name="_Toc18170"/>
      <w:bookmarkStart w:id="84" w:name="_Toc13427"/>
      <w:bookmarkStart w:id="85" w:name="_Toc29435"/>
      <w:r>
        <w:rPr>
          <w:rFonts w:hint="eastAsia"/>
          <w:lang w:val="en-US" w:eastAsia="zh-CN"/>
        </w:rPr>
        <w:t>建议</w:t>
      </w:r>
      <w:bookmarkEnd w:id="82"/>
      <w:bookmarkEnd w:id="83"/>
      <w:bookmarkEnd w:id="84"/>
      <w:bookmarkEnd w:id="85"/>
    </w:p>
    <w:p>
      <w:pPr>
        <w:pageBreakBefore w:val="0"/>
        <w:numPr>
          <w:ilvl w:val="0"/>
          <w:numId w:val="10"/>
        </w:numPr>
        <w:tabs>
          <w:tab w:val="left" w:pos="808"/>
          <w:tab w:val="left" w:pos="1200"/>
        </w:tabs>
        <w:kinsoku/>
        <w:topLinePunct w:val="0"/>
        <w:bidi w:val="0"/>
        <w:snapToGrid/>
        <w:spacing w:line="500" w:lineRule="auto"/>
        <w:ind w:left="5" w:firstLine="475"/>
        <w:rPr>
          <w:rFonts w:ascii="宋体" w:hAnsi="宋体" w:cs="宋体" w:hint="eastAsia"/>
          <w:sz w:val="24"/>
        </w:rPr>
      </w:pPr>
      <w:r>
        <w:rPr>
          <w:rFonts w:ascii="宋体" w:hAnsi="宋体" w:cs="宋体" w:hint="eastAsia"/>
          <w:sz w:val="24"/>
          <w:szCs w:val="24"/>
        </w:rPr>
        <w:t>拟建十号线T3航站楼～T2航站楼区间沿线隧道围岩岩性有一定的差异，在掘进机造型及刀具选择上，应充足考虑其对地层的适宜性。</w:t>
      </w:r>
    </w:p>
    <w:p>
      <w:pPr>
        <w:pageBreakBefore w:val="0"/>
        <w:numPr>
          <w:ilvl w:val="0"/>
          <w:numId w:val="10"/>
        </w:numPr>
        <w:tabs>
          <w:tab w:val="left" w:pos="808"/>
          <w:tab w:val="left" w:pos="1200"/>
        </w:tabs>
        <w:kinsoku/>
        <w:topLinePunct w:val="0"/>
        <w:bidi w:val="0"/>
        <w:snapToGrid/>
        <w:spacing w:line="500" w:lineRule="auto"/>
        <w:ind w:left="5" w:firstLine="475"/>
        <w:rPr>
          <w:rFonts w:ascii="宋体" w:hAnsi="宋体" w:cs="宋体" w:hint="eastAsia"/>
          <w:sz w:val="24"/>
        </w:rPr>
      </w:pPr>
      <w:r>
        <w:rPr>
          <w:rFonts w:ascii="宋体" w:hAnsi="宋体" w:cs="宋体" w:hint="eastAsia"/>
          <w:sz w:val="24"/>
          <w:szCs w:val="24"/>
        </w:rPr>
        <w:t>本次勘察线路通过地区重要位于现有江北机场及江北机场拟扩建区域，水文地质条件较简朴。沿线地下水重要为第四系松散层孔隙水、基岩裂隙水两类，总体上水量较小。场区地表水和地下水对混凝土结构为弱腐蚀性。</w:t>
      </w:r>
    </w:p>
    <w:p>
      <w:pPr>
        <w:pageBreakBefore w:val="0"/>
        <w:numPr>
          <w:ilvl w:val="0"/>
          <w:numId w:val="10"/>
        </w:numPr>
        <w:tabs>
          <w:tab w:val="left" w:pos="808"/>
          <w:tab w:val="left" w:pos="1200"/>
        </w:tabs>
        <w:kinsoku/>
        <w:topLinePunct w:val="0"/>
        <w:bidi w:val="0"/>
        <w:snapToGrid/>
        <w:spacing w:line="500" w:lineRule="auto"/>
        <w:ind w:left="5" w:firstLine="475"/>
        <w:rPr>
          <w:rFonts w:ascii="宋体" w:hAnsi="宋体" w:cs="宋体" w:hint="eastAsia"/>
          <w:sz w:val="24"/>
        </w:rPr>
      </w:pPr>
      <w:r>
        <w:rPr>
          <w:rFonts w:ascii="宋体" w:hAnsi="宋体" w:cs="宋体" w:hint="eastAsia"/>
          <w:sz w:val="24"/>
          <w:szCs w:val="24"/>
        </w:rPr>
        <w:t>拟建复合式复合式TBM暗挖隧道为深埋隧道，成洞条件较好。</w:t>
      </w:r>
    </w:p>
    <w:p>
      <w:pPr>
        <w:pageBreakBefore w:val="0"/>
        <w:numPr>
          <w:ilvl w:val="0"/>
          <w:numId w:val="10"/>
        </w:numPr>
        <w:tabs>
          <w:tab w:val="left" w:pos="808"/>
          <w:tab w:val="left" w:pos="1200"/>
        </w:tabs>
        <w:kinsoku/>
        <w:topLinePunct w:val="0"/>
        <w:bidi w:val="0"/>
        <w:snapToGrid/>
        <w:spacing w:line="500" w:lineRule="auto"/>
        <w:ind w:left="5" w:firstLine="475"/>
        <w:rPr>
          <w:rFonts w:ascii="宋体" w:hAnsi="宋体" w:cs="宋体" w:hint="eastAsia"/>
          <w:sz w:val="24"/>
        </w:rPr>
      </w:pPr>
      <w:r>
        <w:rPr>
          <w:rFonts w:ascii="宋体" w:hAnsi="宋体" w:cs="宋体" w:hint="eastAsia"/>
          <w:sz w:val="24"/>
          <w:szCs w:val="24"/>
        </w:rPr>
        <w:t>在进行掘进碎岩参数及刀具选择时，应充足考虑岩石强度差异。建议按砂岩天然抗压强度（55.3Mpa）的1.5～2.0倍作为刀具选择的依据。</w:t>
      </w:r>
    </w:p>
    <w:p>
      <w:pPr>
        <w:pageBreakBefore w:val="0"/>
        <w:numPr>
          <w:ilvl w:val="0"/>
          <w:numId w:val="10"/>
        </w:numPr>
        <w:tabs>
          <w:tab w:val="left" w:pos="808"/>
          <w:tab w:val="left" w:pos="1200"/>
        </w:tabs>
        <w:kinsoku/>
        <w:topLinePunct w:val="0"/>
        <w:bidi w:val="0"/>
        <w:snapToGrid/>
        <w:spacing w:line="500" w:lineRule="auto"/>
        <w:ind w:left="5" w:firstLine="475"/>
        <w:rPr>
          <w:rFonts w:ascii="宋体" w:hAnsi="宋体" w:cs="宋体" w:hint="eastAsia"/>
          <w:sz w:val="24"/>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1"/>
          <w:cols w:space="708"/>
          <w:titlePg w:val="0"/>
          <w:docGrid w:type="lines" w:linePitch="312"/>
        </w:sectPr>
      </w:pPr>
      <w:r>
        <w:rPr>
          <w:rFonts w:ascii="宋体" w:hAnsi="宋体" w:cs="宋体" w:hint="eastAsia"/>
          <w:sz w:val="24"/>
          <w:szCs w:val="24"/>
        </w:rPr>
        <w:t>本报告中对隧道围岩的分级及隧道深、浅埋的划分依据勘查时获得的设计资料进行，在施工图设计时若方案发生变更，应对围岩分级、埋深分类做出校核。</w:t>
      </w:r>
    </w:p>
    <w:p>
      <w:pPr>
        <w:pStyle w:val="Heading2"/>
        <w:pageBreakBefore w:val="0"/>
        <w:tabs>
          <w:tab w:val="left" w:pos="360"/>
          <w:tab w:val="left" w:pos="575"/>
        </w:tabs>
        <w:kinsoku/>
        <w:topLinePunct w:val="0"/>
        <w:bidi w:val="0"/>
        <w:snapToGrid/>
        <w:spacing w:line="500" w:lineRule="auto"/>
        <w:rPr>
          <w:rFonts w:hint="eastAsia"/>
        </w:rPr>
      </w:pPr>
      <w:bookmarkStart w:id="86" w:name="_Toc394494607"/>
      <w:bookmarkStart w:id="87" w:name="_Toc5043"/>
      <w:bookmarkStart w:id="88" w:name="_Toc24028"/>
      <w:bookmarkStart w:id="89" w:name="_Toc24615"/>
      <w:bookmarkStart w:id="90" w:name="_Toc27940"/>
      <w:r>
        <w:rPr>
          <w:rFonts w:hint="eastAsia"/>
        </w:rPr>
        <w:t>周边环境及管线</w:t>
      </w:r>
      <w:bookmarkEnd w:id="86"/>
      <w:bookmarkEnd w:id="87"/>
      <w:bookmarkEnd w:id="88"/>
      <w:bookmarkEnd w:id="89"/>
      <w:bookmarkEnd w:id="90"/>
    </w:p>
    <w:p>
      <w:pPr>
        <w:pageBreakBefore w:val="0"/>
        <w:kinsoku/>
        <w:topLinePunct w:val="0"/>
        <w:bidi w:val="0"/>
        <w:snapToGrid/>
        <w:spacing w:line="500" w:lineRule="auto"/>
        <w:ind w:firstLine="480" w:firstLineChars="200"/>
        <w:rPr>
          <w:rFonts w:ascii="宋体" w:hAnsi="宋体" w:cs="宋体" w:hint="eastAsia"/>
          <w:color w:val="000000"/>
          <w:sz w:val="24"/>
        </w:rPr>
      </w:pPr>
      <w:r>
        <w:rPr>
          <w:rFonts w:ascii="宋体" w:hAnsi="宋体" w:cs="宋体" w:hint="eastAsia"/>
          <w:color w:val="000000"/>
          <w:sz w:val="24"/>
        </w:rPr>
        <w:t>该区间复合式TBM先后穿越机场第二跑道（宽度3600m</w:t>
      </w:r>
      <w:r>
        <w:rPr>
          <w:rFonts w:ascii="宋体" w:hAnsi="宋体" w:cs="宋体" w:hint="eastAsia"/>
          <w:color w:val="000000"/>
          <w:sz w:val="24"/>
        </w:rPr>
        <w:t>×</w:t>
      </w:r>
      <w:r>
        <w:rPr>
          <w:rFonts w:ascii="宋体" w:hAnsi="宋体" w:cs="宋体" w:hint="eastAsia"/>
          <w:color w:val="000000"/>
          <w:sz w:val="24"/>
        </w:rPr>
        <w:t>60m）、第一跑道（宽度3200m</w:t>
      </w:r>
      <w:r>
        <w:rPr>
          <w:rFonts w:ascii="宋体" w:hAnsi="宋体" w:cs="宋体" w:hint="eastAsia"/>
          <w:color w:val="000000"/>
          <w:sz w:val="24"/>
        </w:rPr>
        <w:t>×</w:t>
      </w:r>
      <w:r>
        <w:rPr>
          <w:rFonts w:ascii="宋体" w:hAnsi="宋体" w:cs="宋体" w:hint="eastAsia"/>
          <w:color w:val="000000"/>
          <w:sz w:val="24"/>
        </w:rPr>
        <w:t>60m）、滑行道、联络道、停机坪、机场场区内部众多管线、候机指廊B北侧端部、T2B航站楼南侧端部、机场交通换乘中心及航站楼高架桥等，因此需在复合式TBM穿越前对机场的相关信息进行充足的调研为穿越施工提供参考和指导。</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91" w:name="_Toc394494608"/>
      <w:bookmarkStart w:id="92" w:name="_Toc7570"/>
      <w:bookmarkStart w:id="93" w:name="_Toc24708"/>
      <w:bookmarkStart w:id="94" w:name="_Toc3445"/>
      <w:bookmarkStart w:id="95" w:name="_Toc11742"/>
      <w:r>
        <w:rPr>
          <w:rFonts w:hint="eastAsia"/>
          <w:lang w:val="en-US" w:eastAsia="zh-CN"/>
        </w:rPr>
        <w:t>机场滑行道、跑道及停机坪</w:t>
      </w:r>
      <w:bookmarkEnd w:id="91"/>
      <w:bookmarkEnd w:id="92"/>
      <w:bookmarkEnd w:id="93"/>
      <w:bookmarkEnd w:id="94"/>
      <w:bookmarkEnd w:id="95"/>
    </w:p>
    <w:p>
      <w:pPr>
        <w:pageBreakBefore w:val="0"/>
        <w:kinsoku/>
        <w:topLinePunct w:val="0"/>
        <w:bidi w:val="0"/>
        <w:snapToGrid/>
        <w:spacing w:line="500" w:lineRule="auto"/>
        <w:ind w:firstLine="480" w:firstLineChars="200"/>
        <w:rPr>
          <w:rFonts w:ascii="宋体" w:hAnsi="宋体" w:cs="宋体" w:hint="eastAsia"/>
          <w:color w:val="FF0000"/>
          <w:sz w:val="24"/>
        </w:rPr>
      </w:pPr>
      <w:r>
        <w:rPr>
          <w:rFonts w:ascii="宋体" w:hAnsi="宋体" w:cs="宋体" w:hint="eastAsia"/>
          <w:color w:val="000000"/>
          <w:sz w:val="24"/>
        </w:rPr>
        <w:t>左右线隧道先后穿越运营中的第二跑道（宽度3600m</w:t>
      </w:r>
      <w:r>
        <w:rPr>
          <w:rFonts w:ascii="宋体" w:hAnsi="宋体" w:cs="宋体" w:hint="eastAsia"/>
          <w:color w:val="000000"/>
          <w:sz w:val="24"/>
        </w:rPr>
        <w:t>×</w:t>
      </w:r>
      <w:r>
        <w:rPr>
          <w:rFonts w:ascii="宋体" w:hAnsi="宋体" w:cs="宋体" w:hint="eastAsia"/>
          <w:color w:val="000000"/>
          <w:sz w:val="24"/>
        </w:rPr>
        <w:t>60m）、第一跑道（宽度3200m</w:t>
      </w:r>
      <w:r>
        <w:rPr>
          <w:rFonts w:ascii="宋体" w:hAnsi="宋体" w:cs="宋体" w:hint="eastAsia"/>
          <w:color w:val="000000"/>
          <w:sz w:val="24"/>
        </w:rPr>
        <w:t>×</w:t>
      </w:r>
      <w:r>
        <w:rPr>
          <w:rFonts w:ascii="宋体" w:hAnsi="宋体" w:cs="宋体" w:hint="eastAsia"/>
          <w:color w:val="000000"/>
          <w:sz w:val="24"/>
        </w:rPr>
        <w:t>60m）、滑行道、联络道及停机坪。</w:t>
      </w:r>
    </w:p>
    <w:p>
      <w:pPr>
        <w:pageBreakBefore w:val="0"/>
        <w:kinsoku/>
        <w:topLinePunct w:val="0"/>
        <w:bidi w:val="0"/>
        <w:snapToGrid/>
        <w:spacing w:line="500" w:lineRule="auto"/>
        <w:ind w:firstLine="480" w:firstLineChars="200"/>
        <w:rPr>
          <w:rFonts w:ascii="宋体" w:hAnsi="宋体" w:cs="宋体" w:hint="eastAsia"/>
          <w:color w:val="000000"/>
          <w:sz w:val="24"/>
        </w:rPr>
      </w:pPr>
      <w:r>
        <w:rPr>
          <w:rFonts w:ascii="宋体" w:hAnsi="宋体" w:cs="宋体" w:hint="eastAsia"/>
          <w:color w:val="000000"/>
          <w:sz w:val="24"/>
        </w:rPr>
        <w:t>第一机场跑道通过一次</w:t>
      </w:r>
      <w:r>
        <w:rPr>
          <w:rFonts w:ascii="宋体" w:hAnsi="宋体" w:cs="宋体" w:hint="eastAsia"/>
          <w:color w:val="000000"/>
          <w:sz w:val="24"/>
        </w:rPr>
        <w:t>“</w:t>
      </w:r>
      <w:r>
        <w:rPr>
          <w:rFonts w:ascii="宋体" w:hAnsi="宋体" w:cs="宋体" w:hint="eastAsia"/>
          <w:color w:val="000000"/>
          <w:sz w:val="24"/>
        </w:rPr>
        <w:t>沥青混凝土盖被工程</w:t>
      </w:r>
      <w:r>
        <w:rPr>
          <w:rFonts w:ascii="宋体" w:hAnsi="宋体" w:cs="宋体" w:hint="eastAsia"/>
          <w:color w:val="000000"/>
          <w:sz w:val="24"/>
        </w:rPr>
        <w:t>”</w:t>
      </w:r>
      <w:r>
        <w:rPr>
          <w:rFonts w:ascii="宋体" w:hAnsi="宋体" w:cs="宋体" w:hint="eastAsia"/>
          <w:color w:val="000000"/>
          <w:sz w:val="24"/>
        </w:rPr>
        <w:t>，同时滑行道、联络道及停机坪等建造年代长远，较多资料无法查询，现道结构如下图所示。</w:t>
      </w:r>
    </w:p>
    <w:p>
      <w:pPr>
        <w:pStyle w:val="2"/>
        <w:pageBreakBefore w:val="0"/>
        <w:numPr>
          <w:ilvl w:val="0"/>
          <w:numId w:val="0"/>
        </w:numPr>
        <w:shd w:val="clear" w:color="auto" w:fill="FFFF00"/>
        <w:kinsoku/>
        <w:wordWrap w:val="0"/>
        <w:topLinePunct w:val="0"/>
        <w:bidi w:val="0"/>
        <w:snapToGrid/>
        <w:spacing w:line="500" w:lineRule="auto"/>
        <w:ind w:right="313" w:leftChars="0" w:rightChars="149"/>
        <w:jc w:val="right"/>
        <w:rPr>
          <w:rFonts w:ascii="宋体" w:hAnsi="宋体" w:hint="eastAsia"/>
          <w:b/>
          <w:color w:val="auto"/>
          <w:szCs w:val="24"/>
          <w:highlight w:val="none"/>
        </w:rPr>
      </w:pPr>
      <w:r>
        <w:rPr>
          <w:rFonts w:ascii="宋体" w:hAnsi="宋体" w:hint="eastAsia"/>
          <w:b/>
          <w:color w:val="auto"/>
          <w:szCs w:val="24"/>
          <w:highlight w:val="none"/>
        </w:rPr>
        <w:t>区间隧道与机场跑道及滑行道位置关系登记表</w:t>
      </w:r>
      <w:r>
        <w:rPr>
          <w:rFonts w:ascii="宋体" w:hAnsi="宋体" w:hint="eastAsia"/>
          <w:b/>
          <w:color w:val="auto"/>
          <w:szCs w:val="24"/>
          <w:highlight w:val="none"/>
          <w:lang w:val="en-US" w:eastAsia="zh-CN"/>
        </w:rPr>
        <w:t xml:space="preserve">        表2-3-1</w:t>
      </w:r>
    </w:p>
    <w:tbl>
      <w:tblPr>
        <w:tblStyle w:val="TableNormal"/>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67"/>
        <w:gridCol w:w="1238"/>
        <w:gridCol w:w="1160"/>
        <w:gridCol w:w="1236"/>
        <w:gridCol w:w="1182"/>
        <w:gridCol w:w="1554"/>
        <w:gridCol w:w="878"/>
        <w:gridCol w:w="878"/>
      </w:tblGrid>
      <w:tr>
        <w:tblPrEx>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0"/>
          <w:tblHeader/>
          <w:jc w:val="center"/>
        </w:trPr>
        <w:tc>
          <w:tcPr>
            <w:tcW w:w="567" w:type="dxa"/>
            <w:vMerge w:val="restart"/>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序</w:t>
            </w:r>
          </w:p>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号</w:t>
            </w:r>
          </w:p>
        </w:tc>
        <w:tc>
          <w:tcPr>
            <w:tcW w:w="1238" w:type="dxa"/>
            <w:vMerge w:val="restart"/>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项 目</w:t>
            </w:r>
          </w:p>
        </w:tc>
        <w:tc>
          <w:tcPr>
            <w:tcW w:w="2396" w:type="dxa"/>
            <w:gridSpan w:val="2"/>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地铁里程</w:t>
            </w:r>
          </w:p>
        </w:tc>
        <w:tc>
          <w:tcPr>
            <w:tcW w:w="1182" w:type="dxa"/>
            <w:vMerge w:val="restart"/>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穿越长度</w:t>
            </w:r>
          </w:p>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(m)</w:t>
            </w:r>
          </w:p>
        </w:tc>
        <w:tc>
          <w:tcPr>
            <w:tcW w:w="1554" w:type="dxa"/>
            <w:vMerge w:val="restart"/>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覆 土</w:t>
            </w:r>
          </w:p>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（m）</w:t>
            </w:r>
          </w:p>
        </w:tc>
        <w:tc>
          <w:tcPr>
            <w:tcW w:w="878" w:type="dxa"/>
            <w:vMerge w:val="restart"/>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穿越</w:t>
            </w:r>
          </w:p>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形式</w:t>
            </w:r>
          </w:p>
        </w:tc>
        <w:tc>
          <w:tcPr>
            <w:tcW w:w="878" w:type="dxa"/>
            <w:vMerge w:val="restart"/>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备注</w:t>
            </w:r>
          </w:p>
        </w:tc>
      </w:tr>
      <w:tr>
        <w:tblPrEx>
          <w:jc w:val="center"/>
          <w:tblLayout w:type="fixed"/>
          <w:tblCellMar>
            <w:top w:w="0" w:type="dxa"/>
            <w:left w:w="108" w:type="dxa"/>
            <w:bottom w:w="0" w:type="dxa"/>
            <w:right w:w="108" w:type="dxa"/>
          </w:tblCellMar>
          <w:tblLook w:val="0000"/>
        </w:tblPrEx>
        <w:trPr>
          <w:trHeight w:val="414"/>
          <w:tblHeader/>
          <w:jc w:val="center"/>
        </w:trPr>
        <w:tc>
          <w:tcPr>
            <w:tcW w:w="1" w:type="dxa"/>
            <w:vMerge/>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p>
        </w:tc>
        <w:tc>
          <w:tcPr>
            <w:tcW w:w="1" w:type="dxa"/>
            <w:vMerge/>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p>
        </w:tc>
        <w:tc>
          <w:tcPr>
            <w:tcW w:w="1160" w:type="dxa"/>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进入</w:t>
            </w:r>
          </w:p>
        </w:tc>
        <w:tc>
          <w:tcPr>
            <w:tcW w:w="1236" w:type="dxa"/>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r>
              <w:rPr>
                <w:rFonts w:ascii="宋体" w:hAnsi="宋体" w:cs="宋体" w:hint="eastAsia"/>
                <w:b/>
                <w:bCs/>
                <w:color w:val="000000"/>
                <w:kern w:val="0"/>
                <w:sz w:val="24"/>
                <w:szCs w:val="24"/>
                <w:highlight w:val="none"/>
              </w:rPr>
              <w:t>离开</w:t>
            </w:r>
          </w:p>
        </w:tc>
        <w:tc>
          <w:tcPr>
            <w:tcW w:w="1" w:type="dxa"/>
            <w:vMerge/>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p>
        </w:tc>
        <w:tc>
          <w:tcPr>
            <w:tcW w:w="1" w:type="dxa"/>
            <w:vMerge/>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p>
        </w:tc>
        <w:tc>
          <w:tcPr>
            <w:tcW w:w="1" w:type="dxa"/>
            <w:vMerge/>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p>
        </w:tc>
        <w:tc>
          <w:tcPr>
            <w:tcW w:w="1" w:type="dxa"/>
            <w:vMerge/>
            <w:vAlign w:val="center"/>
          </w:tcPr>
          <w:p>
            <w:pPr>
              <w:pageBreakBefore w:val="0"/>
              <w:widowControl/>
              <w:shd w:val="clear" w:color="auto" w:fill="FFFF00"/>
              <w:kinsoku/>
              <w:topLinePunct w:val="0"/>
              <w:bidi w:val="0"/>
              <w:snapToGrid/>
              <w:jc w:val="center"/>
              <w:rPr>
                <w:rFonts w:ascii="宋体" w:hAnsi="宋体" w:cs="宋体" w:hint="eastAsia"/>
                <w:b/>
                <w:bCs/>
                <w:color w:val="000000"/>
                <w:kern w:val="0"/>
                <w:sz w:val="24"/>
                <w:highlight w:val="none"/>
              </w:rPr>
            </w:pPr>
          </w:p>
        </w:tc>
      </w:tr>
      <w:tr>
        <w:tblPrEx>
          <w:jc w:val="center"/>
          <w:tblLayout w:type="fixed"/>
          <w:tblCellMar>
            <w:top w:w="0" w:type="dxa"/>
            <w:left w:w="108" w:type="dxa"/>
            <w:bottom w:w="0" w:type="dxa"/>
            <w:right w:w="108" w:type="dxa"/>
          </w:tblCellMar>
          <w:tblLook w:val="0000"/>
        </w:tblPrEx>
        <w:trPr>
          <w:trHeight w:val="600"/>
          <w:jc w:val="center"/>
        </w:trPr>
        <w:tc>
          <w:tcPr>
            <w:tcW w:w="567"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1</w:t>
            </w:r>
          </w:p>
        </w:tc>
        <w:tc>
          <w:tcPr>
            <w:tcW w:w="1238"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第二跑道</w:t>
            </w:r>
          </w:p>
        </w:tc>
        <w:tc>
          <w:tcPr>
            <w:tcW w:w="1160"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K32+552</w:t>
            </w:r>
          </w:p>
        </w:tc>
        <w:tc>
          <w:tcPr>
            <w:tcW w:w="1236"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K32+612</w:t>
            </w:r>
          </w:p>
        </w:tc>
        <w:tc>
          <w:tcPr>
            <w:tcW w:w="1182"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60</w:t>
            </w:r>
          </w:p>
        </w:tc>
        <w:tc>
          <w:tcPr>
            <w:tcW w:w="1554"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18.4～19.2</w:t>
            </w:r>
          </w:p>
        </w:tc>
        <w:tc>
          <w:tcPr>
            <w:tcW w:w="878"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下穿</w:t>
            </w:r>
          </w:p>
        </w:tc>
        <w:tc>
          <w:tcPr>
            <w:tcW w:w="878" w:type="dxa"/>
            <w:vMerge w:val="restart"/>
            <w:vAlign w:val="center"/>
          </w:tcPr>
          <w:p>
            <w:pPr>
              <w:pageBreakBefore w:val="0"/>
              <w:widowControl/>
              <w:shd w:val="clear" w:color="auto" w:fill="FFFF00"/>
              <w:kinsoku/>
              <w:topLinePunct w:val="0"/>
              <w:bidi w:val="0"/>
              <w:snapToGrid/>
              <w:jc w:val="both"/>
              <w:rPr>
                <w:rFonts w:ascii="宋体" w:eastAsia="宋体" w:hAnsi="宋体" w:cs="宋体" w:hint="eastAsia"/>
                <w:color w:val="000000"/>
                <w:kern w:val="0"/>
                <w:sz w:val="22"/>
                <w:highlight w:val="none"/>
              </w:rPr>
            </w:pPr>
            <w:r>
              <w:rPr>
                <w:rFonts w:ascii="宋体" w:hAnsi="宋体" w:cs="宋体" w:hint="eastAsia"/>
                <w:color w:val="000000"/>
                <w:kern w:val="0"/>
                <w:sz w:val="22"/>
                <w:highlight w:val="none"/>
                <w:lang w:eastAsia="zh-CN"/>
              </w:rPr>
              <w:t>区间左线</w:t>
            </w:r>
          </w:p>
        </w:tc>
      </w:tr>
      <w:tr>
        <w:tblPrEx>
          <w:jc w:val="center"/>
          <w:tblLayout w:type="fixed"/>
          <w:tblCellMar>
            <w:top w:w="0" w:type="dxa"/>
            <w:left w:w="108" w:type="dxa"/>
            <w:bottom w:w="0" w:type="dxa"/>
            <w:right w:w="108" w:type="dxa"/>
          </w:tblCellMar>
          <w:tblLook w:val="0000"/>
        </w:tblPrEx>
        <w:trPr>
          <w:trHeight w:val="600"/>
          <w:jc w:val="center"/>
        </w:trPr>
        <w:tc>
          <w:tcPr>
            <w:tcW w:w="567"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2</w:t>
            </w:r>
          </w:p>
        </w:tc>
        <w:tc>
          <w:tcPr>
            <w:tcW w:w="1238"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滑行道</w:t>
            </w:r>
          </w:p>
        </w:tc>
        <w:tc>
          <w:tcPr>
            <w:tcW w:w="1160"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K32+658</w:t>
            </w:r>
          </w:p>
        </w:tc>
        <w:tc>
          <w:tcPr>
            <w:tcW w:w="1236"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K32+798</w:t>
            </w:r>
          </w:p>
        </w:tc>
        <w:tc>
          <w:tcPr>
            <w:tcW w:w="1182"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139</w:t>
            </w:r>
          </w:p>
        </w:tc>
        <w:tc>
          <w:tcPr>
            <w:tcW w:w="1554"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19.7～21.3</w:t>
            </w:r>
          </w:p>
        </w:tc>
        <w:tc>
          <w:tcPr>
            <w:tcW w:w="878"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下穿</w:t>
            </w:r>
          </w:p>
        </w:tc>
        <w:tc>
          <w:tcPr>
            <w:tcW w:w="1" w:type="dxa"/>
            <w:vMerge/>
            <w:vAlign w:val="center"/>
          </w:tcPr>
          <w:p>
            <w:pPr>
              <w:pageBreakBefore w:val="0"/>
              <w:widowControl/>
              <w:shd w:val="clear" w:color="auto" w:fill="FFFF00"/>
              <w:kinsoku/>
              <w:topLinePunct w:val="0"/>
              <w:bidi w:val="0"/>
              <w:snapToGrid/>
              <w:jc w:val="center"/>
              <w:rPr>
                <w:rFonts w:ascii="宋体" w:hAnsi="宋体" w:cs="宋体" w:hint="eastAsia"/>
                <w:color w:val="000000"/>
                <w:kern w:val="0"/>
                <w:sz w:val="22"/>
                <w:highlight w:val="none"/>
              </w:rPr>
            </w:pPr>
          </w:p>
        </w:tc>
      </w:tr>
      <w:tr>
        <w:tblPrEx>
          <w:jc w:val="center"/>
          <w:tblLayout w:type="fixed"/>
          <w:tblCellMar>
            <w:top w:w="0" w:type="dxa"/>
            <w:left w:w="108" w:type="dxa"/>
            <w:bottom w:w="0" w:type="dxa"/>
            <w:right w:w="108" w:type="dxa"/>
          </w:tblCellMar>
          <w:tblLook w:val="0000"/>
        </w:tblPrEx>
        <w:trPr>
          <w:trHeight w:val="600"/>
          <w:jc w:val="center"/>
        </w:trPr>
        <w:tc>
          <w:tcPr>
            <w:tcW w:w="567"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3</w:t>
            </w:r>
          </w:p>
        </w:tc>
        <w:tc>
          <w:tcPr>
            <w:tcW w:w="1238"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第一跑道</w:t>
            </w:r>
          </w:p>
        </w:tc>
        <w:tc>
          <w:tcPr>
            <w:tcW w:w="1160"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K32+924</w:t>
            </w:r>
          </w:p>
        </w:tc>
        <w:tc>
          <w:tcPr>
            <w:tcW w:w="1236"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K33+000</w:t>
            </w:r>
          </w:p>
        </w:tc>
        <w:tc>
          <w:tcPr>
            <w:tcW w:w="1182"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75</w:t>
            </w:r>
          </w:p>
        </w:tc>
        <w:tc>
          <w:tcPr>
            <w:tcW w:w="1554"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23.3～24.2</w:t>
            </w:r>
          </w:p>
        </w:tc>
        <w:tc>
          <w:tcPr>
            <w:tcW w:w="878"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下穿</w:t>
            </w:r>
          </w:p>
        </w:tc>
        <w:tc>
          <w:tcPr>
            <w:tcW w:w="1" w:type="dxa"/>
            <w:vMerge/>
            <w:vAlign w:val="center"/>
          </w:tcPr>
          <w:p>
            <w:pPr>
              <w:pageBreakBefore w:val="0"/>
              <w:widowControl/>
              <w:shd w:val="clear" w:color="auto" w:fill="FFFF00"/>
              <w:kinsoku/>
              <w:topLinePunct w:val="0"/>
              <w:bidi w:val="0"/>
              <w:snapToGrid/>
              <w:jc w:val="center"/>
              <w:rPr>
                <w:rFonts w:ascii="宋体" w:hAnsi="宋体" w:cs="宋体" w:hint="eastAsia"/>
                <w:color w:val="000000"/>
                <w:kern w:val="0"/>
                <w:sz w:val="22"/>
                <w:highlight w:val="none"/>
              </w:rPr>
            </w:pPr>
          </w:p>
        </w:tc>
      </w:tr>
      <w:tr>
        <w:tblPrEx>
          <w:jc w:val="center"/>
          <w:tblLayout w:type="fixed"/>
          <w:tblCellMar>
            <w:top w:w="0" w:type="dxa"/>
            <w:left w:w="108" w:type="dxa"/>
            <w:bottom w:w="0" w:type="dxa"/>
            <w:right w:w="108" w:type="dxa"/>
          </w:tblCellMar>
          <w:tblLook w:val="0000"/>
        </w:tblPrEx>
        <w:trPr>
          <w:trHeight w:val="600"/>
          <w:jc w:val="center"/>
        </w:trPr>
        <w:tc>
          <w:tcPr>
            <w:tcW w:w="567"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4</w:t>
            </w:r>
          </w:p>
        </w:tc>
        <w:tc>
          <w:tcPr>
            <w:tcW w:w="1238"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滑行道</w:t>
            </w:r>
          </w:p>
        </w:tc>
        <w:tc>
          <w:tcPr>
            <w:tcW w:w="1160"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K33+151</w:t>
            </w:r>
          </w:p>
        </w:tc>
        <w:tc>
          <w:tcPr>
            <w:tcW w:w="1236"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K33+200</w:t>
            </w:r>
          </w:p>
        </w:tc>
        <w:tc>
          <w:tcPr>
            <w:tcW w:w="1182"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48</w:t>
            </w:r>
          </w:p>
        </w:tc>
        <w:tc>
          <w:tcPr>
            <w:tcW w:w="1554"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24.4～24.8</w:t>
            </w:r>
          </w:p>
        </w:tc>
        <w:tc>
          <w:tcPr>
            <w:tcW w:w="878" w:type="dxa"/>
            <w:vAlign w:val="center"/>
          </w:tcPr>
          <w:p>
            <w:pPr>
              <w:pageBreakBefore w:val="0"/>
              <w:widowControl/>
              <w:shd w:val="clear" w:color="auto" w:fill="FFFF00"/>
              <w:kinsoku/>
              <w:topLinePunct w:val="0"/>
              <w:bidi w:val="0"/>
              <w:snapToGrid/>
              <w:jc w:val="center"/>
              <w:rPr>
                <w:rFonts w:ascii="宋体" w:hAnsi="宋体" w:cs="宋体" w:hint="eastAsia"/>
                <w:color w:val="000000"/>
                <w:kern w:val="0"/>
                <w:sz w:val="24"/>
                <w:highlight w:val="none"/>
              </w:rPr>
            </w:pPr>
            <w:r>
              <w:rPr>
                <w:rFonts w:ascii="宋体" w:hAnsi="宋体" w:cs="宋体" w:hint="eastAsia"/>
                <w:color w:val="000000"/>
                <w:kern w:val="0"/>
                <w:sz w:val="24"/>
                <w:szCs w:val="24"/>
                <w:highlight w:val="none"/>
              </w:rPr>
              <w:t>下穿</w:t>
            </w:r>
          </w:p>
        </w:tc>
        <w:tc>
          <w:tcPr>
            <w:tcW w:w="1" w:type="dxa"/>
            <w:vMerge/>
            <w:vAlign w:val="center"/>
          </w:tcPr>
          <w:p>
            <w:pPr>
              <w:pageBreakBefore w:val="0"/>
              <w:widowControl/>
              <w:shd w:val="clear" w:color="auto" w:fill="FFFF00"/>
              <w:kinsoku/>
              <w:topLinePunct w:val="0"/>
              <w:bidi w:val="0"/>
              <w:snapToGrid/>
              <w:jc w:val="center"/>
              <w:rPr>
                <w:rFonts w:ascii="宋体" w:hAnsi="宋体" w:cs="宋体" w:hint="eastAsia"/>
                <w:color w:val="000000"/>
                <w:kern w:val="0"/>
                <w:sz w:val="22"/>
                <w:highlight w:val="none"/>
              </w:rPr>
            </w:pPr>
          </w:p>
        </w:tc>
      </w:tr>
    </w:tbl>
    <w:p>
      <w:p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2"/>
          <w:cols w:space="708"/>
          <w:titlePg w:val="0"/>
          <w:docGrid w:type="lines" w:linePitch="312"/>
        </w:sectPr>
      </w:pPr>
    </w:p>
    <w:p>
      <w:pPr>
        <w:pageBreakBefore w:val="0"/>
        <w:kinsoku/>
        <w:topLinePunct w:val="0"/>
        <w:bidi w:val="0"/>
        <w:snapToGrid/>
        <w:spacing w:line="360" w:lineRule="auto"/>
        <w:jc w:val="center"/>
        <w:rPr>
          <w:rFonts w:ascii="宋体" w:hAnsi="宋体" w:cs="宋体" w:hint="eastAsia"/>
          <w:color w:val="000000"/>
          <w:sz w:val="28"/>
          <w:szCs w:val="28"/>
        </w:rPr>
      </w:pPr>
      <w:r>
        <w:rPr>
          <w:rFonts w:ascii="宋体" w:hAnsi="宋体" w:cs="宋体" w:hint="eastAsia"/>
          <w:color w:val="000000"/>
          <w:sz w:val="28"/>
          <w:szCs w:val="28"/>
        </w:rPr>
        <w:pict>
          <v:shape id="图片 3" o:spid="_x0000_i1028" type="#_x0000_t75" style="width:330.05pt;height:153pt;mso-position-horizontal-relative:page;mso-position-vertical-relative:page;mso-wrap-style:square" filled="f" stroked="f">
            <v:imagedata r:id="rId7" o:title=""/>
            <v:path o:extrusionok="f"/>
            <o:lock v:ext="edit" aspectratio="t"/>
          </v:shape>
        </w:pict>
      </w:r>
    </w:p>
    <w:p>
      <w:pPr>
        <w:pStyle w:val="Default"/>
        <w:pageBreakBefore w:val="0"/>
        <w:numPr>
          <w:ilvl w:val="0"/>
          <w:numId w:val="0"/>
        </w:numPr>
        <w:kinsoku/>
        <w:topLinePunct w:val="0"/>
        <w:bidi w:val="0"/>
        <w:snapToGrid/>
        <w:spacing w:line="500" w:lineRule="auto"/>
        <w:ind w:leftChars="0"/>
        <w:jc w:val="center"/>
        <w:rPr>
          <w:rFonts w:ascii="宋体" w:hAnsi="宋体" w:cs="宋体" w:hint="eastAsia"/>
          <w:b/>
        </w:rPr>
      </w:pPr>
      <w:r>
        <w:rPr>
          <w:rFonts w:ascii="宋体" w:hAnsi="宋体" w:cs="宋体" w:hint="eastAsia"/>
          <w:b/>
          <w:lang w:eastAsia="zh-CN"/>
        </w:rPr>
        <w:t>图</w:t>
      </w:r>
      <w:r>
        <w:rPr>
          <w:rFonts w:ascii="宋体" w:hAnsi="宋体" w:cs="宋体" w:hint="eastAsia"/>
          <w:b/>
          <w:lang w:val="en-US" w:eastAsia="zh-CN"/>
        </w:rPr>
        <w:t>2-3-1</w:t>
      </w:r>
      <w:r>
        <w:rPr>
          <w:rFonts w:ascii="宋体" w:hAnsi="宋体" w:cs="宋体" w:hint="eastAsia"/>
          <w:b/>
        </w:rPr>
        <w:t xml:space="preserve">  现有跑道道面结构</w:t>
      </w:r>
    </w:p>
    <w:p>
      <w:pPr>
        <w:pageBreakBefore w:val="0"/>
        <w:kinsoku/>
        <w:topLinePunct w:val="0"/>
        <w:bidi w:val="0"/>
        <w:snapToGrid/>
        <w:spacing w:line="500" w:lineRule="auto"/>
        <w:ind w:firstLine="480" w:firstLineChars="200"/>
        <w:rPr>
          <w:rFonts w:ascii="宋体" w:hAnsi="宋体" w:cs="宋体" w:hint="eastAsia"/>
          <w:color w:val="000000"/>
          <w:sz w:val="24"/>
        </w:rPr>
      </w:pPr>
      <w:r>
        <w:rPr>
          <w:rFonts w:ascii="宋体" w:hAnsi="宋体" w:cs="宋体" w:hint="eastAsia"/>
          <w:color w:val="000000"/>
          <w:sz w:val="24"/>
        </w:rPr>
        <w:t>近几年的跑道自身的变化趋势暂无资料，复合式TBM穿越实行前运用自动沉降监测可获得短暂的变形曲线，了解飞机运营对跑道的影响，便于后期针对数据变化进行分析。</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96" w:name="_Toc394494609"/>
      <w:bookmarkStart w:id="97" w:name="_Toc4194"/>
      <w:bookmarkStart w:id="98" w:name="_Toc24342"/>
      <w:bookmarkStart w:id="99" w:name="_Toc16632"/>
      <w:bookmarkStart w:id="100" w:name="_Toc9795"/>
      <w:r>
        <w:rPr>
          <w:rFonts w:hint="eastAsia"/>
          <w:lang w:val="en-US" w:eastAsia="zh-CN"/>
        </w:rPr>
        <w:t>T2B航站楼指廊及综合换乘中心</w:t>
      </w:r>
      <w:bookmarkEnd w:id="96"/>
      <w:bookmarkEnd w:id="97"/>
      <w:bookmarkEnd w:id="98"/>
      <w:bookmarkEnd w:id="99"/>
      <w:bookmarkEnd w:id="100"/>
    </w:p>
    <w:p>
      <w:pPr>
        <w:pStyle w:val="2"/>
        <w:pageBreakBefore w:val="0"/>
        <w:kinsoku/>
        <w:topLinePunct w:val="0"/>
        <w:bidi w:val="0"/>
        <w:snapToGrid/>
        <w:spacing w:line="500" w:lineRule="auto"/>
        <w:rPr>
          <w:rFonts w:ascii="宋体" w:hAnsi="宋体" w:hint="eastAsia"/>
          <w:b/>
          <w:color w:val="auto"/>
        </w:rPr>
      </w:pPr>
      <w:r>
        <w:rPr>
          <w:rFonts w:ascii="宋体" w:hAnsi="宋体" w:hint="eastAsia"/>
          <w:color w:val="000000"/>
        </w:rPr>
        <w:t>左右线隧道先后穿越运营中的T2B航站楼指廊。左线下穿位置在设计图3-J轴、3-K轴之间，右线下穿位置在设计图3-M轴、3-N轴之间。区间线间距为17.2m，埋深为32.47m。T2B航站楼指廊为地上三层框架结构，基础形式为桩基础，桩深为4m。</w:t>
      </w:r>
    </w:p>
    <w:p>
      <w:pPr>
        <w:pageBreakBefore w:val="0"/>
        <w:kinsoku/>
        <w:topLinePunct w:val="0"/>
        <w:bidi w:val="0"/>
        <w:snapToGrid/>
        <w:spacing w:line="360" w:lineRule="auto"/>
        <w:jc w:val="center"/>
        <w:rPr>
          <w:rFonts w:ascii="宋体" w:hAnsi="宋体" w:cs="宋体" w:hint="eastAsia"/>
          <w:b/>
          <w:sz w:val="28"/>
          <w:szCs w:val="28"/>
        </w:rPr>
      </w:pPr>
      <w:r>
        <w:rPr>
          <w:rFonts w:ascii="宋体" w:hAnsi="宋体" w:cs="宋体" w:hint="eastAsia"/>
          <w:b/>
          <w:sz w:val="24"/>
        </w:rPr>
        <w:pict>
          <v:shape id="Picture 9" o:spid="_x0000_i1029" type="#_x0000_t75" style="width:467.5pt;height:202.55pt;mso-position-horizontal-relative:page;mso-position-vertical-relative:page;mso-wrap-style:square" filled="f" stroked="f">
            <v:imagedata r:id="rId8" o:title="" gain="1.25" blacklevel="-6554f"/>
            <v:path o:extrusionok="f"/>
            <o:lock v:ext="edit" aspectratio="t"/>
          </v:shape>
        </w:pict>
      </w:r>
    </w:p>
    <w:p>
      <w:pPr>
        <w:pStyle w:val="Default"/>
        <w:pageBreakBefore w:val="0"/>
        <w:numPr>
          <w:ilvl w:val="0"/>
          <w:numId w:val="0"/>
        </w:numPr>
        <w:kinsoku/>
        <w:topLinePunct w:val="0"/>
        <w:bidi w:val="0"/>
        <w:snapToGrid/>
        <w:spacing w:line="500" w:lineRule="auto"/>
        <w:ind w:leftChars="0"/>
        <w:jc w:val="center"/>
        <w:rPr>
          <w:rFonts w:ascii="宋体" w:hAnsi="宋体" w:cs="宋体" w:hint="eastAsia"/>
          <w:b/>
          <w:color w:val="auto"/>
        </w:rPr>
      </w:pPr>
      <w:r>
        <w:rPr>
          <w:rFonts w:ascii="宋体" w:hAnsi="宋体" w:cs="宋体" w:hint="eastAsia"/>
          <w:b/>
          <w:color w:val="auto"/>
          <w:lang w:eastAsia="zh-CN"/>
        </w:rPr>
        <w:t>图</w:t>
      </w:r>
      <w:r>
        <w:rPr>
          <w:rFonts w:ascii="宋体" w:hAnsi="宋体" w:cs="宋体" w:hint="eastAsia"/>
          <w:b/>
          <w:color w:val="auto"/>
          <w:lang w:val="en-US" w:eastAsia="zh-CN"/>
        </w:rPr>
        <w:t>2-3-2</w:t>
      </w:r>
      <w:r>
        <w:rPr>
          <w:rFonts w:ascii="宋体" w:hAnsi="宋体" w:cs="宋体" w:hint="eastAsia"/>
          <w:b/>
          <w:color w:val="auto"/>
        </w:rPr>
        <w:t xml:space="preserve">  复合式TBM下穿T2B航站楼指廊示意图</w:t>
      </w:r>
    </w:p>
    <w:p>
      <w:pPr>
        <w:pStyle w:val="2"/>
        <w:pageBreakBefore w:val="0"/>
        <w:kinsoku/>
        <w:topLinePunct w:val="0"/>
        <w:bidi w:val="0"/>
        <w:snapToGrid/>
        <w:spacing w:line="500" w:lineRule="auto"/>
        <w:rPr>
          <w:rFonts w:ascii="宋体" w:hAnsi="宋体" w:hint="eastAsia"/>
          <w:color w:val="000000"/>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3"/>
          <w:cols w:space="708"/>
          <w:titlePg w:val="0"/>
          <w:docGrid w:type="lines" w:linePitch="312"/>
        </w:sectPr>
      </w:pPr>
    </w:p>
    <w:p>
      <w:pPr>
        <w:pStyle w:val="2"/>
        <w:pageBreakBefore w:val="0"/>
        <w:kinsoku/>
        <w:topLinePunct w:val="0"/>
        <w:bidi w:val="0"/>
        <w:snapToGrid/>
        <w:spacing w:line="500" w:lineRule="auto"/>
        <w:rPr>
          <w:rFonts w:ascii="宋体" w:hAnsi="宋体" w:hint="eastAsia"/>
          <w:color w:val="000000"/>
        </w:rPr>
      </w:pPr>
      <w:r>
        <w:rPr>
          <w:rFonts w:ascii="宋体" w:hAnsi="宋体" w:hint="eastAsia"/>
          <w:color w:val="000000"/>
        </w:rPr>
        <w:t>左右线隧道先后穿越运营中的综合换乘中心。左线下穿位置在设计图5-3轴～5-4轴，右线下穿位置在设计图5-1轴～5-1/1轴。区间线间距为18m，埋深为32m。T2B航站楼指廊为地上三层框架结构，基础形式为桩基础。最深桩基础底部距隧道顶部约24m。</w:t>
      </w:r>
    </w:p>
    <w:p>
      <w:pPr>
        <w:pStyle w:val="Heading3"/>
        <w:pageBreakBefore w:val="0"/>
        <w:tabs>
          <w:tab w:val="left" w:pos="0"/>
          <w:tab w:val="left" w:pos="720"/>
        </w:tabs>
        <w:kinsoku/>
        <w:topLinePunct w:val="0"/>
        <w:bidi w:val="0"/>
        <w:snapToGrid/>
        <w:spacing w:line="500" w:lineRule="auto"/>
        <w:rPr>
          <w:rFonts w:hint="eastAsia"/>
          <w:lang w:val="en-US" w:eastAsia="zh-CN"/>
        </w:rPr>
      </w:pPr>
      <w:bookmarkStart w:id="101" w:name="_Toc394494610"/>
      <w:bookmarkStart w:id="102" w:name="_Toc24730"/>
      <w:bookmarkStart w:id="103" w:name="_Toc31344"/>
      <w:bookmarkStart w:id="104" w:name="_Toc19989"/>
      <w:bookmarkStart w:id="105" w:name="_Toc29898"/>
      <w:r>
        <w:rPr>
          <w:rFonts w:hint="eastAsia"/>
          <w:lang w:val="en-US" w:eastAsia="zh-CN"/>
        </w:rPr>
        <w:t>机场内外埋设的管线</w:t>
      </w:r>
      <w:bookmarkEnd w:id="101"/>
      <w:bookmarkEnd w:id="102"/>
      <w:bookmarkEnd w:id="103"/>
      <w:bookmarkEnd w:id="104"/>
      <w:bookmarkEnd w:id="105"/>
    </w:p>
    <w:p>
      <w:pPr>
        <w:pStyle w:val="2"/>
        <w:pageBreakBefore w:val="0"/>
        <w:kinsoku/>
        <w:topLinePunct w:val="0"/>
        <w:bidi w:val="0"/>
        <w:snapToGrid/>
        <w:spacing w:line="500" w:lineRule="auto"/>
        <w:rPr>
          <w:rFonts w:ascii="宋体" w:hAnsi="宋体" w:hint="eastAsia"/>
          <w:color w:val="auto"/>
        </w:rPr>
      </w:pPr>
      <w:r>
        <w:rPr>
          <w:rFonts w:ascii="宋体" w:hAnsi="宋体" w:hint="eastAsia"/>
          <w:color w:val="auto"/>
        </w:rPr>
        <w:t>左右线隧道先后穿越安防电力电缆1条、安防线缆2条、排水(混凝土)管路6条、灯管电缆4条。具体情况见下表。</w:t>
      </w:r>
    </w:p>
    <w:p>
      <w:pPr>
        <w:pStyle w:val="2"/>
        <w:pageBreakBefore w:val="0"/>
        <w:kinsoku/>
        <w:topLinePunct w:val="0"/>
        <w:bidi w:val="0"/>
        <w:snapToGrid/>
        <w:spacing w:line="500" w:lineRule="auto"/>
        <w:ind w:left="0" w:firstLine="0" w:leftChars="0" w:firstLineChars="0"/>
        <w:jc w:val="right"/>
        <w:rPr>
          <w:rFonts w:ascii="宋体" w:hAnsi="宋体" w:hint="eastAsia"/>
          <w:b/>
          <w:color w:val="auto"/>
          <w:szCs w:val="24"/>
          <w:highlight w:val="yellow"/>
        </w:rPr>
      </w:pPr>
      <w:r>
        <w:rPr>
          <w:rFonts w:ascii="宋体" w:hAnsi="宋体" w:hint="eastAsia"/>
          <w:b/>
          <w:color w:val="auto"/>
          <w:szCs w:val="24"/>
          <w:highlight w:val="yellow"/>
        </w:rPr>
        <w:t>区间隧道与机场地下管线位置关系登记表</w:t>
      </w:r>
      <w:r>
        <w:rPr>
          <w:rFonts w:ascii="宋体" w:hAnsi="宋体" w:hint="eastAsia"/>
          <w:b/>
          <w:color w:val="auto"/>
          <w:szCs w:val="24"/>
          <w:highlight w:val="yellow"/>
          <w:lang w:val="en-US" w:eastAsia="zh-CN"/>
        </w:rPr>
        <w:t xml:space="preserve">             表3-3-2</w:t>
      </w:r>
    </w:p>
    <w:tbl>
      <w:tblPr>
        <w:tblStyle w:val="TableNormal"/>
        <w:jc w:val="center"/>
        <w:tblBorders>
          <w:top w:val="thinThickSmallGap" w:sz="12" w:space="0" w:color="auto"/>
          <w:left w:val="thinThickSmallGap" w:sz="12" w:space="0" w:color="auto"/>
          <w:bottom w:val="thickThinSmallGap" w:sz="12" w:space="0" w:color="auto"/>
          <w:right w:val="thickThinSmallGap" w:sz="12"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459"/>
        <w:gridCol w:w="1670"/>
        <w:gridCol w:w="1296"/>
        <w:gridCol w:w="1296"/>
        <w:gridCol w:w="1104"/>
        <w:gridCol w:w="709"/>
        <w:gridCol w:w="1701"/>
        <w:gridCol w:w="1233"/>
      </w:tblGrid>
      <w:tr>
        <w:tblPrEx>
          <w:jc w:val="center"/>
          <w:tblBorders>
            <w:top w:val="thinThickSmallGap" w:sz="12" w:space="0" w:color="auto"/>
            <w:left w:val="thinThickSmallGap" w:sz="12" w:space="0" w:color="auto"/>
            <w:bottom w:val="thickThinSmallGap" w:sz="12" w:space="0" w:color="auto"/>
            <w:right w:val="thickThinSmallGap" w:sz="12"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tblHeader/>
          <w:jc w:val="center"/>
        </w:trPr>
        <w:tc>
          <w:tcPr>
            <w:tcW w:w="459" w:type="dxa"/>
            <w:vMerge w:val="restart"/>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序</w:t>
            </w:r>
          </w:p>
          <w:p>
            <w:pPr>
              <w:pageBreakBefore w:val="0"/>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号</w:t>
            </w:r>
          </w:p>
        </w:tc>
        <w:tc>
          <w:tcPr>
            <w:tcW w:w="1670" w:type="dxa"/>
            <w:vMerge w:val="restart"/>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项 目</w:t>
            </w:r>
          </w:p>
        </w:tc>
        <w:tc>
          <w:tcPr>
            <w:tcW w:w="2592" w:type="dxa"/>
            <w:gridSpan w:val="2"/>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地铁里程</w:t>
            </w:r>
          </w:p>
        </w:tc>
        <w:tc>
          <w:tcPr>
            <w:tcW w:w="1104" w:type="dxa"/>
            <w:vMerge w:val="restart"/>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距线路</w:t>
            </w:r>
          </w:p>
          <w:p>
            <w:pPr>
              <w:pageBreakBefore w:val="0"/>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（m）</w:t>
            </w:r>
          </w:p>
        </w:tc>
        <w:tc>
          <w:tcPr>
            <w:tcW w:w="709" w:type="dxa"/>
            <w:vMerge w:val="restart"/>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穿越</w:t>
            </w:r>
          </w:p>
          <w:p>
            <w:pPr>
              <w:pageBreakBefore w:val="0"/>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形式</w:t>
            </w:r>
          </w:p>
        </w:tc>
        <w:tc>
          <w:tcPr>
            <w:tcW w:w="1701" w:type="dxa"/>
            <w:vMerge w:val="restart"/>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夹角</w:t>
            </w:r>
          </w:p>
        </w:tc>
        <w:tc>
          <w:tcPr>
            <w:tcW w:w="1233" w:type="dxa"/>
            <w:vMerge w:val="restart"/>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备注</w:t>
            </w:r>
          </w:p>
        </w:tc>
      </w:tr>
      <w:tr>
        <w:tblPrEx>
          <w:jc w:val="center"/>
          <w:tblLayout w:type="fixed"/>
          <w:tblCellMar>
            <w:top w:w="0" w:type="dxa"/>
            <w:left w:w="108" w:type="dxa"/>
            <w:bottom w:w="0" w:type="dxa"/>
            <w:right w:w="108" w:type="dxa"/>
          </w:tblCellMar>
          <w:tblLook w:val="0000"/>
        </w:tblPrEx>
        <w:trPr>
          <w:trHeight w:val="285"/>
          <w:tblHeader/>
          <w:jc w:val="center"/>
        </w:trPr>
        <w:tc>
          <w:tcPr>
            <w:tcW w:w="1" w:type="dxa"/>
            <w:vMerge/>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p>
        </w:tc>
        <w:tc>
          <w:tcPr>
            <w:tcW w:w="1" w:type="dxa"/>
            <w:vMerge/>
            <w:vAlign w:val="center"/>
          </w:tcPr>
          <w:p>
            <w:pPr>
              <w:pageBreakBefore w:val="0"/>
              <w:widowControl/>
              <w:kinsoku/>
              <w:topLinePunct w:val="0"/>
              <w:bidi w:val="0"/>
              <w:snapToGrid/>
              <w:spacing w:line="360" w:lineRule="auto"/>
              <w:jc w:val="left"/>
              <w:rPr>
                <w:rFonts w:ascii="宋体" w:hAnsi="宋体" w:cs="宋体" w:hint="eastAsia"/>
                <w:b/>
                <w:bCs/>
                <w:color w:val="000000"/>
                <w:kern w:val="0"/>
                <w:sz w:val="24"/>
                <w:highlight w:val="yellow"/>
              </w:rPr>
            </w:pPr>
          </w:p>
        </w:tc>
        <w:tc>
          <w:tcPr>
            <w:tcW w:w="1296" w:type="dxa"/>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进入</w:t>
            </w:r>
          </w:p>
        </w:tc>
        <w:tc>
          <w:tcPr>
            <w:tcW w:w="1296" w:type="dxa"/>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r>
              <w:rPr>
                <w:rFonts w:ascii="宋体" w:hAnsi="宋体" w:cs="宋体" w:hint="eastAsia"/>
                <w:b/>
                <w:bCs/>
                <w:color w:val="000000"/>
                <w:kern w:val="0"/>
                <w:sz w:val="24"/>
                <w:szCs w:val="24"/>
                <w:highlight w:val="yellow"/>
              </w:rPr>
              <w:t>离开</w:t>
            </w:r>
          </w:p>
        </w:tc>
        <w:tc>
          <w:tcPr>
            <w:tcW w:w="1" w:type="dxa"/>
            <w:vMerge/>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p>
        </w:tc>
        <w:tc>
          <w:tcPr>
            <w:tcW w:w="1" w:type="dxa"/>
            <w:vMerge/>
            <w:vAlign w:val="center"/>
          </w:tcPr>
          <w:p>
            <w:pPr>
              <w:pageBreakBefore w:val="0"/>
              <w:widowControl/>
              <w:kinsoku/>
              <w:topLinePunct w:val="0"/>
              <w:bidi w:val="0"/>
              <w:snapToGrid/>
              <w:spacing w:line="360" w:lineRule="auto"/>
              <w:jc w:val="center"/>
              <w:rPr>
                <w:rFonts w:ascii="宋体" w:hAnsi="宋体" w:cs="宋体" w:hint="eastAsia"/>
                <w:b/>
                <w:bCs/>
                <w:color w:val="000000"/>
                <w:kern w:val="0"/>
                <w:sz w:val="24"/>
                <w:highlight w:val="yellow"/>
              </w:rPr>
            </w:pPr>
          </w:p>
        </w:tc>
        <w:tc>
          <w:tcPr>
            <w:tcW w:w="1" w:type="dxa"/>
            <w:vMerge/>
            <w:vAlign w:val="center"/>
          </w:tcPr>
          <w:p>
            <w:pPr>
              <w:pageBreakBefore w:val="0"/>
              <w:widowControl/>
              <w:kinsoku/>
              <w:topLinePunct w:val="0"/>
              <w:bidi w:val="0"/>
              <w:snapToGrid/>
              <w:spacing w:line="360" w:lineRule="auto"/>
              <w:jc w:val="left"/>
              <w:rPr>
                <w:rFonts w:ascii="宋体" w:hAnsi="宋体" w:cs="宋体" w:hint="eastAsia"/>
                <w:b/>
                <w:bCs/>
                <w:color w:val="000000"/>
                <w:kern w:val="0"/>
                <w:sz w:val="24"/>
                <w:highlight w:val="yellow"/>
              </w:rPr>
            </w:pPr>
          </w:p>
        </w:tc>
        <w:tc>
          <w:tcPr>
            <w:tcW w:w="1" w:type="dxa"/>
            <w:vMerge/>
            <w:vAlign w:val="center"/>
          </w:tcPr>
          <w:p>
            <w:pPr>
              <w:pageBreakBefore w:val="0"/>
              <w:widowControl/>
              <w:kinsoku/>
              <w:topLinePunct w:val="0"/>
              <w:bidi w:val="0"/>
              <w:snapToGrid/>
              <w:spacing w:line="360" w:lineRule="auto"/>
              <w:jc w:val="left"/>
              <w:rPr>
                <w:rFonts w:ascii="宋体" w:hAnsi="宋体" w:cs="宋体" w:hint="eastAsia"/>
                <w:b/>
                <w:bCs/>
                <w:color w:val="000000"/>
                <w:kern w:val="0"/>
                <w:sz w:val="24"/>
                <w:highlight w:val="yellow"/>
              </w:rPr>
            </w:pP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安防电力电缆</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K32+329.3</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K32+330.3</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20.55</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60</w:t>
            </w:r>
            <w:r>
              <w:rPr>
                <w:rFonts w:ascii="宋体" w:hAnsi="宋体" w:cs="宋体" w:hint="eastAsia"/>
                <w:color w:val="000000"/>
                <w:kern w:val="0"/>
                <w:sz w:val="22"/>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安防线缆1</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K32+331.6</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K32+332.6</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20.44</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60</w:t>
            </w:r>
            <w:r>
              <w:rPr>
                <w:rFonts w:ascii="宋体" w:hAnsi="宋体" w:cs="宋体" w:hint="eastAsia"/>
                <w:color w:val="000000"/>
                <w:kern w:val="0"/>
                <w:sz w:val="22"/>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3</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排水管路1</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K32+421.8</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K32+422.8</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16.8</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69</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33</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7</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4</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排水管路2</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K32+460.1</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K32+461.1</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17.26</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45</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1</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24</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5</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排水管路3</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K32+624.2</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K32+625.2</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19.32</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109</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4</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58</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6</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排水管路4</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K32+647</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K32+648</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19.58</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89</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0</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6</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7</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灯光线缆1</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K32+705.8</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K32+768.7</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20.07</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侧穿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180</w:t>
            </w:r>
            <w:r>
              <w:rPr>
                <w:rFonts w:ascii="宋体" w:hAnsi="宋体" w:cs="宋体" w:hint="eastAsia"/>
                <w:color w:val="000000"/>
                <w:kern w:val="0"/>
                <w:sz w:val="22"/>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水平距离相距46m</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8</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安防线缆2</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K32+800.4</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K32+801.4</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21.68</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102</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1</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6</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9</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排水管路5</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K32+807.9</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K32+808.9</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21.4</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102</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18</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50</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10</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灯光线缆2</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K32+894.5</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K32+973</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22.19</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侧穿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13</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52</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15</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11</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灯光线缆3</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K32+988.7</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K32+989.7</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23.99</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103</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51</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15</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12</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排水管路6</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K33+065.5</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K33+066.5</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23.72</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102</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57</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40</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13</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灯光线缆4</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K33+085.3</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K33+086.3</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23.88</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101</w:t>
            </w:r>
            <w:r>
              <w:rPr>
                <w:rFonts w:ascii="宋体" w:hAnsi="宋体" w:cs="宋体" w:hint="eastAsia"/>
                <w:color w:val="000000"/>
                <w:kern w:val="0"/>
                <w:sz w:val="22"/>
                <w:highlight w:val="yellow"/>
              </w:rPr>
              <w:t>°</w:t>
            </w:r>
            <w:r>
              <w:rPr>
                <w:rFonts w:ascii="宋体" w:hAnsi="宋体" w:cs="宋体" w:hint="eastAsia"/>
                <w:color w:val="000000"/>
                <w:kern w:val="0"/>
                <w:sz w:val="22"/>
                <w:highlight w:val="yellow"/>
              </w:rPr>
              <w:t>25</w:t>
            </w:r>
            <w:r>
              <w:rPr>
                <w:rFonts w:ascii="宋体" w:hAnsi="宋体" w:cs="宋体" w:hint="eastAsia"/>
                <w:color w:val="000000"/>
                <w:kern w:val="0"/>
                <w:szCs w:val="21"/>
                <w:highlight w:val="yellow"/>
              </w:rPr>
              <w:t>′</w:t>
            </w:r>
            <w:r>
              <w:rPr>
                <w:rFonts w:ascii="宋体" w:hAnsi="宋体" w:cs="宋体" w:hint="eastAsia"/>
                <w:color w:val="000000"/>
                <w:kern w:val="0"/>
                <w:szCs w:val="21"/>
                <w:highlight w:val="yellow"/>
              </w:rPr>
              <w:t>16</w:t>
            </w:r>
            <w:r>
              <w:rPr>
                <w:rFonts w:ascii="宋体" w:hAnsi="宋体" w:cs="宋体" w:hint="eastAsia"/>
                <w:color w:val="000000"/>
                <w:kern w:val="0"/>
                <w:szCs w:val="21"/>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机场内部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14</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雨水管</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K33+712.1</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K33+712.1</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29.91</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89</w:t>
            </w:r>
            <w:r>
              <w:rPr>
                <w:rFonts w:ascii="宋体" w:hAnsi="宋体" w:cs="宋体" w:hint="eastAsia"/>
                <w:color w:val="000000"/>
                <w:kern w:val="0"/>
                <w:sz w:val="22"/>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机场外部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15</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污水管</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K33+718.2</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K33+718.2</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29.92</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89</w:t>
            </w:r>
            <w:r>
              <w:rPr>
                <w:rFonts w:ascii="宋体" w:hAnsi="宋体" w:cs="宋体" w:hint="eastAsia"/>
                <w:color w:val="000000"/>
                <w:kern w:val="0"/>
                <w:sz w:val="22"/>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机场外部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16</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综合管廊</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K33+726.2</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K33+726.2</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28.87</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89</w:t>
            </w:r>
            <w:r>
              <w:rPr>
                <w:rFonts w:ascii="宋体" w:hAnsi="宋体" w:cs="宋体" w:hint="eastAsia"/>
                <w:color w:val="000000"/>
                <w:kern w:val="0"/>
                <w:sz w:val="22"/>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机场外部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17</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给水管(铸铁)</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K33+726.2</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K33+726.2</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30.12</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89</w:t>
            </w:r>
            <w:r>
              <w:rPr>
                <w:rFonts w:ascii="宋体" w:hAnsi="宋体" w:cs="宋体" w:hint="eastAsia"/>
                <w:color w:val="000000"/>
                <w:kern w:val="0"/>
                <w:sz w:val="22"/>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机场外部</w:t>
            </w:r>
          </w:p>
        </w:tc>
      </w:tr>
      <w:tr>
        <w:tblPrEx>
          <w:jc w:val="center"/>
          <w:tblLayout w:type="fixed"/>
          <w:tblCellMar>
            <w:top w:w="0" w:type="dxa"/>
            <w:left w:w="108" w:type="dxa"/>
            <w:bottom w:w="0" w:type="dxa"/>
            <w:right w:w="108" w:type="dxa"/>
          </w:tblCellMar>
          <w:tblLook w:val="0000"/>
        </w:tblPrEx>
        <w:trPr>
          <w:trHeight w:val="285"/>
          <w:jc w:val="center"/>
        </w:trPr>
        <w:tc>
          <w:tcPr>
            <w:tcW w:w="45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18</w:t>
            </w:r>
          </w:p>
        </w:tc>
        <w:tc>
          <w:tcPr>
            <w:tcW w:w="1670"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弱电</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K33+729.8</w:t>
            </w:r>
          </w:p>
        </w:tc>
        <w:tc>
          <w:tcPr>
            <w:tcW w:w="1296"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K33+729.8</w:t>
            </w:r>
          </w:p>
        </w:tc>
        <w:tc>
          <w:tcPr>
            <w:tcW w:w="1104"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30.18</w:t>
            </w:r>
          </w:p>
        </w:tc>
        <w:tc>
          <w:tcPr>
            <w:tcW w:w="709"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4"/>
                <w:highlight w:val="yellow"/>
              </w:rPr>
            </w:pPr>
            <w:r>
              <w:rPr>
                <w:rFonts w:ascii="宋体" w:hAnsi="宋体" w:cs="宋体" w:hint="eastAsia"/>
                <w:color w:val="000000"/>
                <w:kern w:val="0"/>
                <w:sz w:val="24"/>
                <w:szCs w:val="24"/>
                <w:highlight w:val="yellow"/>
              </w:rPr>
              <w:t>下穿</w:t>
            </w:r>
          </w:p>
        </w:tc>
        <w:tc>
          <w:tcPr>
            <w:tcW w:w="1701"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89</w:t>
            </w:r>
            <w:r>
              <w:rPr>
                <w:rFonts w:ascii="宋体" w:hAnsi="宋体" w:cs="宋体" w:hint="eastAsia"/>
                <w:color w:val="000000"/>
                <w:kern w:val="0"/>
                <w:sz w:val="22"/>
                <w:highlight w:val="yellow"/>
              </w:rPr>
              <w:t>°</w:t>
            </w:r>
          </w:p>
        </w:tc>
        <w:tc>
          <w:tcPr>
            <w:tcW w:w="1233" w:type="dxa"/>
            <w:vAlign w:val="center"/>
          </w:tcPr>
          <w:p>
            <w:pPr>
              <w:pageBreakBefore w:val="0"/>
              <w:widowControl/>
              <w:kinsoku/>
              <w:topLinePunct w:val="0"/>
              <w:bidi w:val="0"/>
              <w:snapToGrid/>
              <w:spacing w:line="360" w:lineRule="auto"/>
              <w:jc w:val="center"/>
              <w:rPr>
                <w:rFonts w:ascii="宋体" w:hAnsi="宋体" w:cs="宋体" w:hint="eastAsia"/>
                <w:color w:val="000000"/>
                <w:kern w:val="0"/>
                <w:sz w:val="22"/>
                <w:highlight w:val="yellow"/>
              </w:rPr>
            </w:pPr>
            <w:r>
              <w:rPr>
                <w:rFonts w:ascii="宋体" w:hAnsi="宋体" w:cs="宋体" w:hint="eastAsia"/>
                <w:color w:val="000000"/>
                <w:kern w:val="0"/>
                <w:sz w:val="22"/>
                <w:highlight w:val="yellow"/>
              </w:rPr>
              <w:t>机场外部</w:t>
            </w:r>
          </w:p>
        </w:tc>
      </w:tr>
    </w:tbl>
    <w:p>
      <w:p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4"/>
          <w:cols w:space="708"/>
          <w:titlePg w:val="0"/>
          <w:docGrid w:type="lines" w:linePitch="312"/>
        </w:sectPr>
      </w:pPr>
    </w:p>
    <w:p>
      <w:pPr>
        <w:pStyle w:val="Heading2"/>
        <w:pageBreakBefore w:val="0"/>
        <w:tabs>
          <w:tab w:val="left" w:pos="360"/>
          <w:tab w:val="left" w:pos="575"/>
        </w:tabs>
        <w:kinsoku/>
        <w:topLinePunct w:val="0"/>
        <w:bidi w:val="0"/>
        <w:snapToGrid/>
        <w:spacing w:line="500" w:lineRule="auto"/>
        <w:rPr>
          <w:rFonts w:hint="eastAsia"/>
          <w:highlight w:val="none"/>
        </w:rPr>
      </w:pPr>
      <w:bookmarkStart w:id="106" w:name="_Toc10285"/>
      <w:bookmarkStart w:id="107" w:name="_Toc8995"/>
      <w:bookmarkStart w:id="108" w:name="_Toc25082"/>
      <w:bookmarkStart w:id="109" w:name="_Toc27585"/>
      <w:r>
        <w:rPr>
          <w:rFonts w:hint="eastAsia"/>
          <w:highlight w:val="none"/>
        </w:rPr>
        <w:t>设备简介</w:t>
      </w:r>
      <w:bookmarkEnd w:id="106"/>
      <w:bookmarkEnd w:id="107"/>
      <w:bookmarkEnd w:id="108"/>
      <w:bookmarkEnd w:id="109"/>
    </w:p>
    <w:p>
      <w:pPr>
        <w:pageBreakBefore w:val="0"/>
        <w:tabs>
          <w:tab w:val="left" w:pos="720"/>
        </w:tabs>
        <w:kinsoku/>
        <w:topLinePunct w:val="0"/>
        <w:autoSpaceDE w:val="0"/>
        <w:autoSpaceDN w:val="0"/>
        <w:bidi w:val="0"/>
        <w:adjustRightInd w:val="0"/>
        <w:snapToGrid/>
        <w:spacing w:line="500" w:lineRule="auto"/>
        <w:ind w:firstLine="480"/>
        <w:rPr>
          <w:sz w:val="24"/>
          <w:lang w:val="zh-CN"/>
        </w:rPr>
      </w:pPr>
      <w:r>
        <w:rPr>
          <w:rFonts w:hint="eastAsia"/>
          <w:sz w:val="24"/>
          <w:lang w:val="en-US" w:eastAsia="zh-CN"/>
        </w:rPr>
        <w:t>TBM</w:t>
      </w:r>
      <w:r>
        <w:rPr>
          <w:sz w:val="24"/>
          <w:lang w:val="zh-CN"/>
        </w:rPr>
        <w:t>区间隧道采用</w:t>
      </w:r>
      <w:r>
        <w:rPr>
          <w:rFonts w:hint="eastAsia"/>
          <w:sz w:val="24"/>
          <w:lang w:val="en-US" w:eastAsia="zh-CN"/>
        </w:rPr>
        <w:t>2</w:t>
      </w:r>
      <w:r>
        <w:rPr>
          <w:sz w:val="24"/>
          <w:lang w:val="zh-CN"/>
        </w:rPr>
        <w:t>台φ</w:t>
      </w:r>
      <w:r>
        <w:rPr>
          <w:rFonts w:hint="eastAsia"/>
          <w:sz w:val="24"/>
          <w:lang w:val="en-US" w:eastAsia="zh-CN"/>
        </w:rPr>
        <w:t>6.885</w:t>
      </w:r>
      <w:r>
        <w:rPr>
          <w:sz w:val="24"/>
          <w:lang w:val="zh-CN"/>
        </w:rPr>
        <w:t>m</w:t>
      </w:r>
      <w:r>
        <w:rPr>
          <w:rFonts w:hint="eastAsia"/>
          <w:sz w:val="24"/>
          <w:lang w:val="zh-CN"/>
        </w:rPr>
        <w:t>复合式</w:t>
      </w:r>
      <w:r>
        <w:rPr>
          <w:rFonts w:hint="eastAsia"/>
          <w:sz w:val="24"/>
          <w:lang w:val="en-US" w:eastAsia="zh-CN"/>
        </w:rPr>
        <w:t>TBM</w:t>
      </w:r>
      <w:r>
        <w:rPr>
          <w:sz w:val="24"/>
          <w:lang w:val="zh-CN"/>
        </w:rPr>
        <w:t>施工。</w:t>
      </w:r>
      <w:r>
        <w:rPr>
          <w:rFonts w:hint="eastAsia"/>
          <w:sz w:val="24"/>
          <w:lang w:val="zh-CN"/>
        </w:rPr>
        <w:t>复合式</w:t>
      </w:r>
      <w:r>
        <w:rPr>
          <w:rFonts w:hint="eastAsia"/>
          <w:sz w:val="24"/>
          <w:lang w:val="en-US" w:eastAsia="zh-CN"/>
        </w:rPr>
        <w:t>TBM</w:t>
      </w:r>
      <w:r>
        <w:rPr>
          <w:sz w:val="24"/>
          <w:lang w:val="zh-CN"/>
        </w:rPr>
        <w:t>全长</w:t>
      </w:r>
      <w:r>
        <w:rPr>
          <w:rFonts w:hint="eastAsia"/>
          <w:sz w:val="24"/>
          <w:lang w:val="en-US" w:eastAsia="zh-CN"/>
        </w:rPr>
        <w:t>90</w:t>
      </w:r>
      <w:r>
        <w:rPr>
          <w:sz w:val="24"/>
          <w:lang w:val="zh-CN"/>
        </w:rPr>
        <w:t>m，主机长度为</w:t>
      </w:r>
      <w:r>
        <w:rPr>
          <w:rFonts w:hint="eastAsia"/>
          <w:sz w:val="24"/>
          <w:lang w:val="en-US" w:eastAsia="zh-CN"/>
        </w:rPr>
        <w:t>9.26</w:t>
      </w:r>
      <w:r>
        <w:rPr>
          <w:sz w:val="24"/>
          <w:lang w:val="zh-CN"/>
        </w:rPr>
        <w:t>m(</w:t>
      </w:r>
      <w:r>
        <w:rPr>
          <w:rFonts w:hint="eastAsia"/>
          <w:sz w:val="24"/>
          <w:lang w:val="zh-CN"/>
        </w:rPr>
        <w:t>含</w:t>
      </w:r>
      <w:r>
        <w:rPr>
          <w:sz w:val="24"/>
          <w:lang w:val="zh-CN"/>
        </w:rPr>
        <w:t>刀盘)。</w:t>
      </w:r>
    </w:p>
    <w:p>
      <w:pPr>
        <w:pageBreakBefore w:val="0"/>
        <w:tabs>
          <w:tab w:val="left" w:pos="720"/>
        </w:tabs>
        <w:kinsoku/>
        <w:topLinePunct w:val="0"/>
        <w:autoSpaceDE w:val="0"/>
        <w:autoSpaceDN w:val="0"/>
        <w:bidi w:val="0"/>
        <w:adjustRightInd w:val="0"/>
        <w:snapToGrid/>
        <w:spacing w:line="500" w:lineRule="auto"/>
        <w:ind w:firstLine="480"/>
        <w:rPr>
          <w:rFonts w:hint="eastAsia"/>
          <w:sz w:val="24"/>
        </w:rPr>
      </w:pPr>
      <w:r>
        <w:rPr>
          <w:rFonts w:hint="eastAsia"/>
          <w:sz w:val="24"/>
          <w:lang w:val="en-US" w:eastAsia="zh-CN"/>
        </w:rPr>
        <w:t>刀盘为六牛腿、六刀梁及刮渣口结构，开挖直径为</w:t>
      </w:r>
      <w:r>
        <w:rPr>
          <w:rFonts w:hint="eastAsia"/>
          <w:sz w:val="24"/>
          <w:lang w:val="en-US" w:eastAsia="zh-CN"/>
        </w:rPr>
        <w:t>Φ</w:t>
      </w:r>
      <w:r>
        <w:rPr>
          <w:rFonts w:hint="eastAsia"/>
          <w:sz w:val="24"/>
          <w:lang w:val="en-US" w:eastAsia="zh-CN"/>
        </w:rPr>
        <w:t>6885mm，刀盘结构总重约60T，可双向旋转。刀盘共配置中心双联滚刀6把，单刃滚刀38把，刮刀55把，边刮刀4把，刮板160把，超挖刀1把，考虑重庆砂岩对刀盘磨损大，大圆环整环贴复合钢板，切口层焊接24把合金保护刀；面板有6个泡沫改良口和2个膨润土改良口。刀盘布置见图2-4-1。</w:t>
      </w:r>
    </w:p>
    <w:p>
      <w:pPr>
        <w:keepNext w:val="0"/>
        <w:keepLines w:val="0"/>
        <w:pageBreakBefore w:val="0"/>
        <w:widowControl w:val="0"/>
        <w:kinsoku/>
        <w:wordWrap/>
        <w:overflowPunct/>
        <w:topLinePunct w:val="0"/>
        <w:autoSpaceDE w:val="0"/>
        <w:autoSpaceDN w:val="0"/>
        <w:bidi w:val="0"/>
        <w:adjustRightInd w:val="0"/>
        <w:snapToGrid/>
        <w:spacing w:line="240" w:lineRule="auto"/>
        <w:ind w:left="0" w:right="0" w:firstLine="0" w:leftChars="0" w:rightChars="0" w:firstLineChars="0"/>
        <w:jc w:val="center"/>
        <w:textAlignment w:val="auto"/>
        <w:outlineLvl w:val="9"/>
        <w:rPr>
          <w:sz w:val="28"/>
          <w:szCs w:val="28"/>
          <w:lang w:val="zh-CN"/>
        </w:rPr>
      </w:pPr>
      <w:r>
        <w:rPr>
          <w:rFonts w:ascii="Times New Roman" w:hAnsi="Times New Roman"/>
          <w:sz w:val="28"/>
          <w:szCs w:val="28"/>
          <w:bdr w:val="single" w:sz="4" w:space="0" w:color="auto"/>
        </w:rPr>
        <w:pict>
          <v:shape id="图片 0" o:spid="_x0000_i1030" type="#_x0000_t75" alt="11111.jpg" style="width:388.3pt;height:282.75pt;mso-position-horizontal-relative:page;mso-position-vertical-relative:page;mso-wrap-style:square" filled="f" stroked="f">
            <v:imagedata r:id="rId9" o:title="11111" croptop="2013f" cropleft="395f" cropright="3598f"/>
            <v:path o:extrusionok="f"/>
            <o:lock v:ext="edit" aspectratio="t"/>
          </v:shape>
        </w:pict>
      </w:r>
    </w:p>
    <w:p>
      <w:pPr>
        <w:pageBreakBefore w:val="0"/>
        <w:kinsoku/>
        <w:topLinePunct w:val="0"/>
        <w:autoSpaceDE w:val="0"/>
        <w:autoSpaceDN w:val="0"/>
        <w:bidi w:val="0"/>
        <w:adjustRightInd w:val="0"/>
        <w:snapToGrid/>
        <w:spacing w:line="500" w:lineRule="auto"/>
        <w:jc w:val="center"/>
        <w:rPr>
          <w:rFonts w:ascii="宋体" w:eastAsia="宋体" w:hAnsi="宋体" w:cs="宋体" w:hint="eastAsia"/>
          <w:sz w:val="24"/>
        </w:rPr>
      </w:pPr>
      <w:r>
        <w:rPr>
          <w:rFonts w:ascii="宋体" w:eastAsia="宋体" w:hAnsi="宋体" w:cs="宋体" w:hint="eastAsia"/>
          <w:b/>
          <w:sz w:val="24"/>
          <w:szCs w:val="24"/>
          <w:lang w:val="zh-CN"/>
        </w:rPr>
        <w:t>图</w:t>
      </w:r>
      <w:r>
        <w:rPr>
          <w:rFonts w:ascii="宋体" w:eastAsia="宋体" w:hAnsi="宋体" w:cs="宋体" w:hint="eastAsia"/>
          <w:b/>
          <w:sz w:val="24"/>
          <w:szCs w:val="24"/>
          <w:lang w:val="en-US" w:eastAsia="zh-CN"/>
        </w:rPr>
        <w:t>2-4-1</w:t>
      </w:r>
      <w:r>
        <w:rPr>
          <w:rFonts w:ascii="宋体" w:eastAsia="宋体" w:hAnsi="宋体" w:cs="宋体" w:hint="eastAsia"/>
          <w:b/>
          <w:sz w:val="24"/>
          <w:szCs w:val="24"/>
          <w:lang w:val="zh-CN"/>
        </w:rPr>
        <w:t xml:space="preserve"> </w:t>
      </w:r>
      <w:r>
        <w:rPr>
          <w:rFonts w:ascii="宋体" w:eastAsia="宋体" w:hAnsi="宋体" w:cs="宋体" w:hint="eastAsia"/>
          <w:b/>
          <w:sz w:val="24"/>
          <w:szCs w:val="24"/>
          <w:lang w:val="en-US" w:eastAsia="zh-CN"/>
        </w:rPr>
        <w:t xml:space="preserve"> TBM</w:t>
      </w:r>
      <w:r>
        <w:rPr>
          <w:rFonts w:ascii="宋体" w:eastAsia="宋体" w:hAnsi="宋体" w:cs="宋体" w:hint="eastAsia"/>
          <w:b/>
          <w:sz w:val="24"/>
          <w:szCs w:val="24"/>
          <w:lang w:val="zh-CN"/>
        </w:rPr>
        <w:t>刀盘示意图</w:t>
      </w:r>
    </w:p>
    <w:p>
      <w:pPr>
        <w:pageBreakBefore w:val="0"/>
        <w:tabs>
          <w:tab w:val="left" w:pos="720"/>
        </w:tabs>
        <w:kinsoku/>
        <w:topLinePunct w:val="0"/>
        <w:autoSpaceDE w:val="0"/>
        <w:autoSpaceDN w:val="0"/>
        <w:bidi w:val="0"/>
        <w:adjustRightInd w:val="0"/>
        <w:snapToGrid/>
        <w:spacing w:line="500" w:lineRule="auto"/>
        <w:ind w:firstLine="480"/>
        <w:rPr>
          <w:rFonts w:hint="eastAsia"/>
          <w:sz w:val="24"/>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5"/>
          <w:cols w:space="708"/>
          <w:titlePg w:val="0"/>
          <w:docGrid w:type="lines" w:linePitch="312"/>
        </w:sectPr>
      </w:pPr>
      <w:r>
        <w:rPr>
          <w:rFonts w:hint="eastAsia"/>
          <w:sz w:val="24"/>
          <w:lang w:val="en-US" w:eastAsia="zh-CN"/>
        </w:rPr>
        <w:t>TBM布置油缸为20组，分组：上6下12左7右7。推动系统：采用原32根240/200-2250mm推动油缸，总推力5060T，推力比135T/m2。见图2-4-2。</w:t>
      </w:r>
    </w:p>
    <w:p>
      <w:pPr>
        <w:pageBreakBefore w:val="0"/>
        <w:kinsoku/>
        <w:topLinePunct w:val="0"/>
        <w:bidi w:val="0"/>
        <w:snapToGrid/>
        <w:jc w:val="center"/>
        <w:rPr>
          <w:sz w:val="28"/>
          <w:szCs w:val="28"/>
        </w:rPr>
      </w:pPr>
      <w:r>
        <w:rPr>
          <w:rFonts w:ascii="Times New Roman" w:hAnsi="Times New Roman"/>
          <w:sz w:val="28"/>
          <w:szCs w:val="28"/>
          <w:bdr w:val="single" w:sz="4" w:space="0" w:color="auto"/>
        </w:rPr>
        <w:pict>
          <v:shape id="图片 16" o:spid="_x0000_i1031" type="#_x0000_t75" style="width:284.6pt;height:251.05pt;mso-position-horizontal-relative:page;mso-position-vertical-relative:page;mso-wrap-style:square" filled="f" stroked="f">
            <v:imagedata r:id="rId10" o:title=""/>
            <v:path o:extrusionok="f"/>
            <o:lock v:ext="edit" aspectratio="t"/>
          </v:shape>
        </w:pict>
      </w:r>
    </w:p>
    <w:p>
      <w:pPr>
        <w:pageBreakBefore w:val="0"/>
        <w:kinsoku/>
        <w:topLinePunct w:val="0"/>
        <w:autoSpaceDE w:val="0"/>
        <w:autoSpaceDN w:val="0"/>
        <w:bidi w:val="0"/>
        <w:adjustRightInd w:val="0"/>
        <w:snapToGrid/>
        <w:spacing w:line="500" w:lineRule="auto"/>
        <w:jc w:val="center"/>
      </w:pPr>
      <w:r>
        <w:rPr>
          <w:rFonts w:ascii="宋体" w:eastAsia="宋体" w:hAnsi="宋体" w:cs="宋体" w:hint="eastAsia"/>
          <w:b/>
          <w:sz w:val="24"/>
          <w:szCs w:val="24"/>
          <w:lang w:val="zh-CN"/>
        </w:rPr>
        <w:t>图</w:t>
      </w:r>
      <w:r>
        <w:rPr>
          <w:rFonts w:ascii="宋体" w:eastAsia="宋体" w:hAnsi="宋体" w:cs="宋体" w:hint="eastAsia"/>
          <w:b/>
          <w:sz w:val="24"/>
          <w:szCs w:val="24"/>
          <w:lang w:val="en-US" w:eastAsia="zh-CN"/>
        </w:rPr>
        <w:t xml:space="preserve">2-4-2  </w:t>
      </w:r>
      <w:r>
        <w:rPr>
          <w:rFonts w:ascii="宋体" w:eastAsia="宋体" w:hAnsi="宋体" w:cs="宋体" w:hint="eastAsia"/>
          <w:b/>
          <w:sz w:val="24"/>
          <w:szCs w:val="24"/>
          <w:lang w:val="zh-CN"/>
        </w:rPr>
        <w:t xml:space="preserve"> </w:t>
      </w:r>
      <w:r>
        <w:rPr>
          <w:rFonts w:ascii="宋体" w:eastAsia="宋体" w:hAnsi="宋体" w:cs="宋体" w:hint="eastAsia"/>
          <w:b/>
          <w:sz w:val="24"/>
          <w:szCs w:val="24"/>
          <w:lang w:val="en-US" w:eastAsia="zh-CN"/>
        </w:rPr>
        <w:t>TBM</w:t>
      </w:r>
      <w:r>
        <w:rPr>
          <w:rFonts w:ascii="宋体" w:eastAsia="宋体" w:hAnsi="宋体" w:cs="宋体" w:hint="eastAsia"/>
          <w:b/>
          <w:sz w:val="24"/>
          <w:szCs w:val="24"/>
          <w:lang w:val="zh-CN"/>
        </w:rPr>
        <w:t>推动油缸布置示意图</w:t>
      </w:r>
    </w:p>
    <w:p>
      <w:pPr>
        <w:pStyle w:val="Heading2"/>
        <w:tabs>
          <w:tab w:val="left" w:pos="360"/>
          <w:tab w:val="left" w:pos="575"/>
        </w:tabs>
        <w:spacing w:line="500" w:lineRule="auto"/>
        <w:rPr>
          <w:rFonts w:hint="eastAsia"/>
        </w:rPr>
      </w:pPr>
      <w:r>
        <w:rPr>
          <w:rFonts w:hint="eastAsia"/>
          <w:lang w:val="en-US" w:eastAsia="zh-CN"/>
        </w:rPr>
        <w:t xml:space="preserve"> </w:t>
      </w:r>
      <w:bookmarkStart w:id="110" w:name="_Toc21041"/>
      <w:bookmarkStart w:id="111" w:name="_Toc14579"/>
      <w:bookmarkStart w:id="112" w:name="_Toc7689"/>
      <w:bookmarkStart w:id="113" w:name="_Toc551"/>
      <w:r>
        <w:rPr>
          <w:rFonts w:hint="eastAsia"/>
        </w:rPr>
        <w:t>实验意义</w:t>
      </w:r>
      <w:bookmarkEnd w:id="110"/>
      <w:bookmarkEnd w:id="111"/>
      <w:bookmarkEnd w:id="112"/>
      <w:bookmarkEnd w:id="113"/>
    </w:p>
    <w:p>
      <w:pPr>
        <w:pageBreakBefore w:val="0"/>
        <w:kinsoku/>
        <w:topLinePunct w:val="0"/>
        <w:bidi w:val="0"/>
        <w:snapToGrid/>
        <w:spacing w:line="500" w:lineRule="auto"/>
        <w:ind w:firstLine="480" w:firstLineChars="200"/>
        <w:rPr>
          <w:rFonts w:hint="eastAsia"/>
        </w:rPr>
      </w:pPr>
      <w:r>
        <w:rPr>
          <w:sz w:val="24"/>
        </w:rPr>
        <w:t>通过实验段</w:t>
      </w:r>
      <w:r>
        <w:rPr>
          <w:rFonts w:hint="eastAsia"/>
          <w:sz w:val="24"/>
          <w:lang w:val="en-US" w:eastAsia="zh-CN"/>
        </w:rPr>
        <w:t>TBM</w:t>
      </w:r>
      <w:r>
        <w:rPr>
          <w:sz w:val="24"/>
        </w:rPr>
        <w:t>施工的摸索和总结，初步掌握在复杂环境下</w:t>
      </w:r>
      <w:r>
        <w:rPr>
          <w:rFonts w:hint="eastAsia"/>
          <w:sz w:val="24"/>
          <w:lang w:eastAsia="zh-CN"/>
        </w:rPr>
        <w:t>砂质泥岩及砂岩</w:t>
      </w:r>
      <w:r>
        <w:rPr>
          <w:sz w:val="24"/>
        </w:rPr>
        <w:t>地层盾构施工经验和沉降控制措施，为后续过</w:t>
      </w:r>
      <w:r>
        <w:rPr>
          <w:rFonts w:hint="eastAsia"/>
          <w:sz w:val="24"/>
          <w:lang w:eastAsia="zh-CN"/>
        </w:rPr>
        <w:t>机场及</w:t>
      </w:r>
      <w:r>
        <w:rPr>
          <w:sz w:val="24"/>
        </w:rPr>
        <w:t>其他风险源提供可靠的依据，保证</w:t>
      </w:r>
      <w:r>
        <w:rPr>
          <w:rFonts w:hint="eastAsia"/>
          <w:sz w:val="24"/>
          <w:lang w:val="en-US" w:eastAsia="zh-CN"/>
        </w:rPr>
        <w:t>TBM</w:t>
      </w:r>
      <w:r>
        <w:rPr>
          <w:sz w:val="24"/>
        </w:rPr>
        <w:t>施工安全。</w:t>
      </w:r>
    </w:p>
    <w:p>
      <w:pPr>
        <w:pStyle w:val="Heading3"/>
        <w:tabs>
          <w:tab w:val="left" w:pos="0"/>
          <w:tab w:val="left" w:pos="720"/>
        </w:tabs>
        <w:spacing w:line="500" w:lineRule="auto"/>
        <w:rPr>
          <w:rFonts w:hint="eastAsia"/>
        </w:rPr>
      </w:pPr>
      <w:bookmarkStart w:id="114" w:name="_Toc394494612"/>
      <w:bookmarkStart w:id="115" w:name="_Toc5532"/>
      <w:bookmarkStart w:id="116" w:name="_Toc1850"/>
      <w:bookmarkStart w:id="117" w:name="_Toc18004"/>
      <w:bookmarkStart w:id="118" w:name="_Toc9282"/>
      <w:r>
        <w:rPr>
          <w:rFonts w:hint="eastAsia"/>
        </w:rPr>
        <w:t>穿越机场环境保护规定高、距离长</w:t>
      </w:r>
      <w:bookmarkEnd w:id="114"/>
      <w:bookmarkEnd w:id="115"/>
      <w:bookmarkEnd w:id="116"/>
      <w:bookmarkEnd w:id="117"/>
      <w:bookmarkEnd w:id="118"/>
    </w:p>
    <w:p>
      <w:pPr>
        <w:pageBreakBefore w:val="0"/>
        <w:kinsoku/>
        <w:topLinePunct w:val="0"/>
        <w:bidi w:val="0"/>
        <w:snapToGrid/>
        <w:spacing w:line="500" w:lineRule="auto"/>
        <w:ind w:firstLine="480" w:firstLineChars="200"/>
        <w:rPr>
          <w:rFonts w:ascii="宋体" w:hAnsi="宋体" w:cs="宋体" w:hint="eastAsia"/>
          <w:sz w:val="24"/>
        </w:rPr>
      </w:pPr>
      <w:r>
        <w:rPr>
          <w:rFonts w:ascii="宋体" w:hAnsi="宋体" w:cs="宋体" w:hint="eastAsia"/>
          <w:sz w:val="24"/>
        </w:rPr>
        <w:t>机场跑道区的允许沉降量涉及的问题比较多，其取值直接影响工程造价和跑道使用性能。机场对跑道保护的控制值如下：</w:t>
      </w:r>
    </w:p>
    <w:p>
      <w:pPr>
        <w:pStyle w:val="Default"/>
        <w:pageBreakBefore w:val="0"/>
        <w:numPr>
          <w:ilvl w:val="0"/>
          <w:numId w:val="11"/>
        </w:numPr>
        <w:kinsoku/>
        <w:topLinePunct w:val="0"/>
        <w:bidi w:val="0"/>
        <w:snapToGrid/>
        <w:spacing w:line="500" w:lineRule="auto"/>
        <w:rPr>
          <w:rFonts w:ascii="宋体" w:hAnsi="宋体" w:cs="宋体" w:hint="eastAsia"/>
        </w:rPr>
      </w:pPr>
      <w:r>
        <w:rPr>
          <w:rFonts w:ascii="宋体" w:hAnsi="宋体" w:cs="宋体" w:hint="eastAsia"/>
        </w:rPr>
        <w:t>道面高程：施工区域与周边区域产生差异沉降</w:t>
      </w:r>
      <w:r>
        <w:rPr>
          <w:rFonts w:ascii="宋体" w:hAnsi="宋体" w:cs="宋体" w:hint="eastAsia"/>
        </w:rPr>
        <w:t>≦</w:t>
      </w:r>
      <w:r>
        <w:rPr>
          <w:rFonts w:ascii="宋体" w:hAnsi="宋体" w:cs="宋体" w:hint="eastAsia"/>
        </w:rPr>
        <w:t xml:space="preserve"> 10mm；</w:t>
      </w:r>
    </w:p>
    <w:p>
      <w:pPr>
        <w:pStyle w:val="Default"/>
        <w:pageBreakBefore w:val="0"/>
        <w:numPr>
          <w:ilvl w:val="0"/>
          <w:numId w:val="11"/>
        </w:numPr>
        <w:kinsoku/>
        <w:topLinePunct w:val="0"/>
        <w:bidi w:val="0"/>
        <w:snapToGrid/>
        <w:spacing w:line="500" w:lineRule="auto"/>
        <w:rPr>
          <w:rFonts w:ascii="宋体" w:hAnsi="宋体" w:cs="宋体" w:hint="eastAsia"/>
        </w:rPr>
      </w:pPr>
      <w:r>
        <w:rPr>
          <w:rFonts w:ascii="宋体" w:hAnsi="宋体" w:cs="宋体" w:hint="eastAsia"/>
        </w:rPr>
        <w:t>道面高程沉降不大于10mm；</w:t>
      </w:r>
    </w:p>
    <w:p>
      <w:pPr>
        <w:pStyle w:val="Default"/>
        <w:pageBreakBefore w:val="0"/>
        <w:numPr>
          <w:ilvl w:val="0"/>
          <w:numId w:val="11"/>
        </w:numPr>
        <w:kinsoku/>
        <w:topLinePunct w:val="0"/>
        <w:bidi w:val="0"/>
        <w:snapToGrid/>
        <w:spacing w:line="500" w:lineRule="auto"/>
        <w:rPr>
          <w:rFonts w:ascii="宋体" w:hAnsi="宋体" w:cs="宋体" w:hint="eastAsia"/>
        </w:rPr>
      </w:pPr>
      <w:r>
        <w:rPr>
          <w:rFonts w:ascii="宋体" w:hAnsi="宋体" w:cs="宋体" w:hint="eastAsia"/>
        </w:rPr>
        <w:t>道面倾斜控制值：</w:t>
      </w:r>
      <w:r>
        <w:rPr>
          <w:rFonts w:ascii="宋体" w:hAnsi="宋体" w:cs="宋体" w:hint="eastAsia"/>
        </w:rPr>
        <w:t>≦</w:t>
      </w:r>
      <w:r>
        <w:rPr>
          <w:rFonts w:ascii="宋体" w:hAnsi="宋体" w:cs="宋体" w:hint="eastAsia"/>
        </w:rPr>
        <w:t>0.1%。</w:t>
      </w:r>
    </w:p>
    <w:p>
      <w:pPr>
        <w:pageBreakBefore w:val="0"/>
        <w:kinsoku/>
        <w:topLinePunct w:val="0"/>
        <w:bidi w:val="0"/>
        <w:snapToGrid/>
        <w:spacing w:line="500" w:lineRule="auto"/>
        <w:ind w:firstLine="495"/>
        <w:rPr>
          <w:rFonts w:ascii="宋体" w:hAnsi="宋体" w:cs="宋体" w:hint="eastAsia"/>
          <w:color w:val="000000"/>
          <w:sz w:val="24"/>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6"/>
          <w:cols w:space="708"/>
          <w:titlePg w:val="0"/>
          <w:docGrid w:type="lines" w:linePitch="312"/>
        </w:sectPr>
      </w:pPr>
    </w:p>
    <w:p>
      <w:pPr>
        <w:pageBreakBefore w:val="0"/>
        <w:kinsoku/>
        <w:topLinePunct w:val="0"/>
        <w:bidi w:val="0"/>
        <w:snapToGrid/>
        <w:spacing w:line="500" w:lineRule="auto"/>
        <w:ind w:firstLine="495"/>
        <w:rPr>
          <w:rFonts w:ascii="宋体" w:hAnsi="宋体" w:cs="宋体" w:hint="eastAsia"/>
          <w:color w:val="000000"/>
          <w:sz w:val="24"/>
        </w:rPr>
      </w:pPr>
      <w:r>
        <w:rPr>
          <w:rFonts w:ascii="宋体" w:hAnsi="宋体" w:cs="宋体" w:hint="eastAsia"/>
          <w:sz w:val="24"/>
        </w:rPr>
        <w:t>穿越距离长：隧道处在现有机场影响范围内的距离约为1011m，其中停机坪范围约为305m，机场跑道及滑行道范围约为648m。根据目前空港一路站复合式TBM始发井的位置计算，上下行线复合式TBM在</w:t>
      </w:r>
      <w:r>
        <w:rPr>
          <w:rFonts w:ascii="宋体" w:hAnsi="宋体" w:cs="宋体" w:hint="eastAsia"/>
          <w:color w:val="000000"/>
          <w:sz w:val="24"/>
        </w:rPr>
        <w:t>出洞后推动约406m进入机场第二跑道，依次穿越滑行道、第一跑道、停机坪等。因此在如此长距离的范围内需对机场设施进行保护，沉降控制精度高。</w:t>
      </w:r>
    </w:p>
    <w:p>
      <w:pPr>
        <w:pStyle w:val="Heading3"/>
        <w:tabs>
          <w:tab w:val="left" w:pos="0"/>
          <w:tab w:val="left" w:pos="720"/>
        </w:tabs>
        <w:spacing w:line="500" w:lineRule="auto"/>
        <w:rPr>
          <w:rFonts w:hint="eastAsia"/>
          <w:lang w:val="en-US" w:eastAsia="zh-CN"/>
        </w:rPr>
      </w:pPr>
      <w:bookmarkStart w:id="119" w:name="_Toc394494613"/>
      <w:r>
        <w:rPr>
          <w:rFonts w:hint="eastAsia"/>
          <w:lang w:val="en-US" w:eastAsia="zh-CN"/>
        </w:rPr>
        <w:t xml:space="preserve"> </w:t>
      </w:r>
      <w:bookmarkStart w:id="120" w:name="_Toc31715"/>
      <w:bookmarkStart w:id="121" w:name="_Toc28406"/>
      <w:bookmarkStart w:id="122" w:name="_Toc11516"/>
      <w:bookmarkStart w:id="123" w:name="_Toc18558"/>
      <w:r>
        <w:rPr>
          <w:rFonts w:hint="eastAsia"/>
          <w:lang w:val="en-US" w:eastAsia="zh-CN"/>
        </w:rPr>
        <w:t>监测方法及监测时间等受限制较多</w:t>
      </w:r>
      <w:bookmarkEnd w:id="119"/>
      <w:bookmarkEnd w:id="120"/>
      <w:bookmarkEnd w:id="121"/>
      <w:bookmarkEnd w:id="122"/>
      <w:bookmarkEnd w:id="123"/>
    </w:p>
    <w:p>
      <w:pPr>
        <w:pageBreakBefore w:val="0"/>
        <w:kinsoku/>
        <w:topLinePunct w:val="0"/>
        <w:bidi w:val="0"/>
        <w:snapToGrid/>
        <w:spacing w:line="500" w:lineRule="auto"/>
        <w:ind w:firstLine="480" w:firstLineChars="200"/>
        <w:rPr>
          <w:rFonts w:ascii="宋体" w:hAnsi="宋体" w:cs="宋体" w:hint="eastAsia"/>
          <w:sz w:val="24"/>
        </w:rPr>
      </w:pPr>
      <w:r>
        <w:rPr>
          <w:rFonts w:ascii="宋体" w:hAnsi="宋体" w:cs="宋体" w:hint="eastAsia"/>
          <w:sz w:val="24"/>
        </w:rPr>
        <w:t>重庆江北国际机场是中国民航区域性枢纽之一，飞行区等级为4E级。目前，重庆机场拥有两条跑道（其中：第一跑道长3200米、第二跑道长3600米）；两座航站楼共20万平方米（其中：国际楼2万平米、国内楼18万平米）；停机坪76万平方米，停机位89个，货库9万平米。2023年旅客吞吐量突破2023万大关，运送吞吐量大。</w:t>
      </w:r>
    </w:p>
    <w:p>
      <w:pPr>
        <w:pageBreakBefore w:val="0"/>
        <w:kinsoku/>
        <w:topLinePunct w:val="0"/>
        <w:bidi w:val="0"/>
        <w:snapToGrid/>
        <w:spacing w:line="500" w:lineRule="auto"/>
        <w:ind w:firstLine="480" w:firstLineChars="200"/>
        <w:rPr>
          <w:rFonts w:ascii="宋体" w:hAnsi="宋体" w:cs="宋体" w:hint="eastAsia"/>
          <w:color w:val="000000"/>
          <w:sz w:val="24"/>
        </w:rPr>
      </w:pPr>
      <w:r>
        <w:rPr>
          <w:rFonts w:ascii="宋体" w:hAnsi="宋体" w:cs="宋体" w:hint="eastAsia"/>
          <w:sz w:val="24"/>
        </w:rPr>
        <w:t>江北机场现有跑道目前处在繁忙的运营中，机场内滑行道及飞机跑道属禁区,监测人员及多种常规监测方法均受机场运营限制而不能实行。根据实际情况施工监测必须满足飞机的起降限制规定，又需保证监测的覆盖面、监测的频率和精度等，为复合式TBM施工提供及时、准确的参考资料施工难度高。</w:t>
      </w:r>
    </w:p>
    <w:p>
      <w:pPr>
        <w:pageBreakBefore w:val="0"/>
        <w:kinsoku/>
        <w:topLinePunct w:val="0"/>
        <w:bidi w:val="0"/>
        <w:snapToGrid/>
        <w:spacing w:line="500" w:lineRule="auto"/>
        <w:ind w:firstLine="480" w:firstLineChars="200"/>
        <w:rPr>
          <w:rFonts w:ascii="宋体" w:hAnsi="宋体" w:cs="宋体" w:hint="eastAsia"/>
        </w:rPr>
      </w:pPr>
      <w:r>
        <w:rPr>
          <w:rFonts w:ascii="宋体" w:hAnsi="宋体" w:cs="宋体" w:hint="eastAsia"/>
          <w:color w:val="000000"/>
          <w:sz w:val="24"/>
        </w:rPr>
        <w:t>根据调研，每日凌晨部分停航时间可允许我方测量人员进入机场内校核测量数据。届时根据实际情况遵循机场方统一调度安排。</w:t>
      </w:r>
    </w:p>
    <w:p>
      <w:pPr>
        <w:pStyle w:val="Heading2"/>
        <w:pageBreakBefore w:val="0"/>
        <w:tabs>
          <w:tab w:val="left" w:pos="360"/>
          <w:tab w:val="left" w:pos="575"/>
        </w:tabs>
        <w:kinsoku/>
        <w:topLinePunct w:val="0"/>
        <w:bidi w:val="0"/>
        <w:snapToGrid/>
        <w:spacing w:line="500" w:lineRule="auto"/>
        <w:rPr>
          <w:rFonts w:hint="eastAsia"/>
        </w:rPr>
      </w:pPr>
      <w:bookmarkStart w:id="124" w:name="_Toc6314"/>
      <w:bookmarkStart w:id="125" w:name="_Toc31483"/>
      <w:bookmarkStart w:id="126" w:name="_Toc15264"/>
      <w:bookmarkStart w:id="127" w:name="_Toc19666"/>
      <w:r>
        <w:rPr>
          <w:rFonts w:hint="eastAsia"/>
        </w:rPr>
        <w:t>实验目的</w:t>
      </w:r>
      <w:bookmarkEnd w:id="124"/>
      <w:bookmarkEnd w:id="125"/>
      <w:bookmarkEnd w:id="126"/>
      <w:bookmarkEnd w:id="127"/>
    </w:p>
    <w:p>
      <w:pPr>
        <w:pageBreakBefore w:val="0"/>
        <w:tabs>
          <w:tab w:val="left" w:pos="720"/>
        </w:tabs>
        <w:kinsoku/>
        <w:topLinePunct w:val="0"/>
        <w:autoSpaceDE w:val="0"/>
        <w:autoSpaceDN w:val="0"/>
        <w:bidi w:val="0"/>
        <w:adjustRightInd w:val="0"/>
        <w:snapToGrid/>
        <w:spacing w:line="500" w:lineRule="auto"/>
        <w:ind w:firstLine="480" w:firstLineChars="200"/>
        <w:rPr>
          <w:sz w:val="24"/>
          <w:lang w:val="zh-CN"/>
        </w:rPr>
      </w:pPr>
      <w:r>
        <w:rPr>
          <w:sz w:val="24"/>
          <w:lang w:val="zh-CN"/>
        </w:rPr>
        <w:t>(1)</w:t>
      </w:r>
      <w:r>
        <w:rPr>
          <w:rFonts w:hint="eastAsia"/>
          <w:sz w:val="24"/>
          <w:lang w:val="en-US" w:eastAsia="zh-CN"/>
        </w:rPr>
        <w:t xml:space="preserve"> </w:t>
      </w:r>
      <w:r>
        <w:rPr>
          <w:sz w:val="24"/>
          <w:lang w:val="zh-CN"/>
        </w:rPr>
        <w:t>纯熟掌握</w:t>
      </w:r>
      <w:r>
        <w:rPr>
          <w:rFonts w:hint="eastAsia"/>
          <w:sz w:val="24"/>
          <w:lang w:val="en-US" w:eastAsia="zh-CN"/>
        </w:rPr>
        <w:t>TBM</w:t>
      </w:r>
      <w:r>
        <w:rPr>
          <w:sz w:val="24"/>
          <w:lang w:val="zh-CN"/>
        </w:rPr>
        <w:t>机械设备，收集</w:t>
      </w:r>
      <w:r>
        <w:rPr>
          <w:rFonts w:hint="eastAsia"/>
          <w:sz w:val="24"/>
          <w:lang w:val="en-US" w:eastAsia="zh-CN"/>
        </w:rPr>
        <w:t>TBM</w:t>
      </w:r>
      <w:r>
        <w:rPr>
          <w:sz w:val="24"/>
          <w:lang w:val="zh-CN"/>
        </w:rPr>
        <w:t>在</w:t>
      </w:r>
      <w:r>
        <w:rPr>
          <w:rFonts w:hint="eastAsia"/>
          <w:sz w:val="24"/>
          <w:lang w:val="zh-CN"/>
        </w:rPr>
        <w:t>砂质泥岩及砂岩</w:t>
      </w:r>
      <w:r>
        <w:rPr>
          <w:sz w:val="24"/>
          <w:lang w:val="zh-CN"/>
        </w:rPr>
        <w:t>地层的各种施工参数，总结出</w:t>
      </w:r>
      <w:r>
        <w:rPr>
          <w:sz w:val="24"/>
        </w:rPr>
        <w:t>适应</w:t>
      </w:r>
      <w:r>
        <w:rPr>
          <w:rFonts w:hint="eastAsia"/>
          <w:sz w:val="24"/>
          <w:lang w:eastAsia="zh-CN"/>
        </w:rPr>
        <w:t>重庆砂质泥岩及砂岩</w:t>
      </w:r>
      <w:r>
        <w:rPr>
          <w:sz w:val="24"/>
        </w:rPr>
        <w:t>地层的最优掘进参数，保证施工安全、快速掘进和对环境影响小。</w:t>
      </w:r>
    </w:p>
    <w:p>
      <w:pPr>
        <w:pageBreakBefore w:val="0"/>
        <w:tabs>
          <w:tab w:val="left" w:pos="720"/>
        </w:tabs>
        <w:kinsoku/>
        <w:topLinePunct w:val="0"/>
        <w:autoSpaceDE w:val="0"/>
        <w:autoSpaceDN w:val="0"/>
        <w:bidi w:val="0"/>
        <w:adjustRightInd w:val="0"/>
        <w:snapToGrid/>
        <w:spacing w:line="500" w:lineRule="auto"/>
        <w:ind w:firstLine="480" w:firstLineChars="200"/>
        <w:rPr>
          <w:sz w:val="24"/>
          <w:lang w:val="zh-CN"/>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7"/>
          <w:cols w:space="708"/>
          <w:titlePg w:val="0"/>
          <w:docGrid w:type="lines" w:linePitch="312"/>
        </w:sectPr>
      </w:pPr>
      <w:r>
        <w:rPr>
          <w:sz w:val="24"/>
          <w:lang w:val="zh-CN"/>
        </w:rPr>
        <w:t>(2)</w:t>
      </w:r>
      <w:r>
        <w:rPr>
          <w:rFonts w:hint="eastAsia"/>
          <w:sz w:val="24"/>
          <w:lang w:val="en-US" w:eastAsia="zh-CN"/>
        </w:rPr>
        <w:t xml:space="preserve"> </w:t>
      </w:r>
      <w:r>
        <w:rPr>
          <w:sz w:val="24"/>
          <w:lang w:val="zh-CN"/>
        </w:rPr>
        <w:t>运用实验段的各种监测数据分析总结</w:t>
      </w:r>
      <w:r>
        <w:rPr>
          <w:rFonts w:hint="eastAsia"/>
          <w:sz w:val="24"/>
          <w:lang w:val="zh-CN"/>
        </w:rPr>
        <w:t>砂质泥岩及砂岩</w:t>
      </w:r>
    </w:p>
    <w:p>
      <w:pPr>
        <w:pageBreakBefore w:val="0"/>
        <w:tabs>
          <w:tab w:val="left" w:pos="720"/>
        </w:tabs>
        <w:kinsoku/>
        <w:topLinePunct w:val="0"/>
        <w:autoSpaceDE w:val="0"/>
        <w:autoSpaceDN w:val="0"/>
        <w:bidi w:val="0"/>
        <w:adjustRightInd w:val="0"/>
        <w:snapToGrid/>
        <w:spacing w:line="500" w:lineRule="auto"/>
        <w:ind w:firstLine="480" w:firstLineChars="200"/>
        <w:rPr>
          <w:sz w:val="24"/>
          <w:lang w:val="zh-CN"/>
        </w:rPr>
      </w:pPr>
      <w:r>
        <w:rPr>
          <w:sz w:val="24"/>
          <w:lang w:val="zh-CN"/>
        </w:rPr>
        <w:t>地层的沉降变化规律，为后续</w:t>
      </w:r>
      <w:r>
        <w:rPr>
          <w:rFonts w:hint="eastAsia"/>
          <w:sz w:val="24"/>
          <w:lang w:val="en-US" w:eastAsia="zh-CN"/>
        </w:rPr>
        <w:t>TBM</w:t>
      </w:r>
      <w:r>
        <w:rPr>
          <w:sz w:val="24"/>
          <w:lang w:val="zh-CN"/>
        </w:rPr>
        <w:t>施工提供预测分析，尽量减少对周边环境的影响。</w:t>
      </w:r>
    </w:p>
    <w:p>
      <w:pPr>
        <w:pageBreakBefore w:val="0"/>
        <w:tabs>
          <w:tab w:val="left" w:pos="720"/>
        </w:tabs>
        <w:kinsoku/>
        <w:topLinePunct w:val="0"/>
        <w:autoSpaceDE w:val="0"/>
        <w:autoSpaceDN w:val="0"/>
        <w:bidi w:val="0"/>
        <w:adjustRightInd w:val="0"/>
        <w:snapToGrid/>
        <w:spacing w:line="500" w:lineRule="auto"/>
        <w:ind w:firstLine="480" w:firstLineChars="200"/>
        <w:rPr>
          <w:sz w:val="24"/>
          <w:lang w:val="zh-CN"/>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8"/>
          <w:cols w:space="708"/>
          <w:titlePg w:val="0"/>
          <w:docGrid w:type="lines" w:linePitch="312"/>
        </w:sectPr>
      </w:pPr>
      <w:r>
        <w:rPr>
          <w:sz w:val="24"/>
          <w:lang w:val="zh-CN"/>
        </w:rPr>
        <w:t>(3)</w:t>
      </w:r>
      <w:r>
        <w:rPr>
          <w:rFonts w:hint="eastAsia"/>
          <w:sz w:val="24"/>
          <w:lang w:val="en-US" w:eastAsia="zh-CN"/>
        </w:rPr>
        <w:t xml:space="preserve"> </w:t>
      </w:r>
      <w:r>
        <w:rPr>
          <w:sz w:val="24"/>
          <w:lang w:val="zh-CN"/>
        </w:rPr>
        <w:t>通过在实验段各个阶段实验掘进过程中的采集和分析解决，找出掘进参数</w:t>
      </w:r>
      <w:r>
        <w:rPr>
          <w:rFonts w:hint="eastAsia"/>
          <w:sz w:val="24"/>
          <w:lang w:val="zh-CN"/>
        </w:rPr>
        <w:t>、安全换刀</w:t>
      </w:r>
      <w:r>
        <w:rPr>
          <w:sz w:val="24"/>
          <w:lang w:val="zh-CN"/>
        </w:rPr>
        <w:t>等施工指标对周边环境影响的范围及大小，为</w:t>
      </w:r>
      <w:r>
        <w:rPr>
          <w:rFonts w:hint="eastAsia"/>
          <w:sz w:val="24"/>
          <w:lang w:val="zh-CN"/>
        </w:rPr>
        <w:t>安全顺利通过机场</w:t>
      </w:r>
      <w:r>
        <w:rPr>
          <w:sz w:val="24"/>
          <w:lang w:val="zh-CN"/>
        </w:rPr>
        <w:t>积累经验，保障其安全。</w:t>
      </w:r>
    </w:p>
    <w:p>
      <w:pPr>
        <w:pStyle w:val="Heading1"/>
        <w:numPr>
          <w:ilvl w:val="0"/>
          <w:numId w:val="0"/>
        </w:numPr>
        <w:tabs>
          <w:tab w:val="left" w:pos="425"/>
        </w:tabs>
        <w:spacing w:line="500" w:lineRule="auto"/>
        <w:ind w:left="840"/>
      </w:pPr>
      <w:bookmarkStart w:id="128" w:name="_Toc28656"/>
      <w:bookmarkStart w:id="129" w:name="_Toc7279"/>
      <w:bookmarkStart w:id="130" w:name="_Toc25677"/>
      <w:bookmarkStart w:id="131" w:name="_Toc31398"/>
      <w:r>
        <w:rPr>
          <w:lang w:val="en-US" w:eastAsia="zh-CN"/>
        </w:rPr>
        <w:t>实验段施工</w:t>
      </w:r>
      <w:r>
        <w:rPr>
          <w:rFonts w:hint="eastAsia"/>
          <w:lang w:val="en-US" w:eastAsia="zh-CN"/>
        </w:rPr>
        <w:t>计划</w:t>
      </w:r>
      <w:bookmarkEnd w:id="128"/>
      <w:bookmarkEnd w:id="129"/>
      <w:bookmarkEnd w:id="130"/>
      <w:bookmarkEnd w:id="131"/>
    </w:p>
    <w:p>
      <w:pPr>
        <w:pStyle w:val="Heading2"/>
        <w:numPr>
          <w:numId w:val="12"/>
        </w:numPr>
        <w:tabs>
          <w:tab w:val="clear" w:pos="360"/>
          <w:tab w:val="left" w:pos="432"/>
          <w:tab w:val="clear" w:pos="575"/>
        </w:tabs>
        <w:spacing w:line="500" w:lineRule="auto"/>
      </w:pPr>
      <w:bookmarkStart w:id="132" w:name="_Toc19453"/>
      <w:bookmarkStart w:id="133" w:name="_Toc31228"/>
      <w:bookmarkStart w:id="134" w:name="_Toc22310"/>
      <w:bookmarkStart w:id="135" w:name="_Toc22251"/>
      <w:r>
        <w:rPr>
          <w:rFonts w:hint="eastAsia"/>
          <w:lang w:val="en-US" w:eastAsia="zh-CN"/>
        </w:rPr>
        <w:t>实验段范围与地质情况</w:t>
      </w:r>
      <w:bookmarkEnd w:id="132"/>
      <w:bookmarkEnd w:id="133"/>
      <w:bookmarkEnd w:id="134"/>
      <w:bookmarkEnd w:id="135"/>
    </w:p>
    <w:p>
      <w:pPr>
        <w:pStyle w:val="Heading3"/>
        <w:tabs>
          <w:tab w:val="clear" w:pos="575"/>
        </w:tabs>
        <w:spacing w:line="500" w:lineRule="auto"/>
        <w:rPr>
          <w:rFonts w:hint="eastAsia"/>
          <w:lang w:val="en-US" w:eastAsia="zh-CN"/>
        </w:rPr>
      </w:pPr>
      <w:bookmarkStart w:id="136" w:name="_Toc4648"/>
      <w:bookmarkStart w:id="137" w:name="_Toc9288"/>
      <w:bookmarkStart w:id="138" w:name="_Toc14318"/>
      <w:bookmarkStart w:id="139" w:name="_Toc3659"/>
      <w:r>
        <w:rPr>
          <w:rFonts w:hint="eastAsia"/>
          <w:lang w:val="en-US" w:eastAsia="zh-CN"/>
        </w:rPr>
        <w:t>实验范围</w:t>
      </w:r>
      <w:bookmarkEnd w:id="136"/>
      <w:bookmarkEnd w:id="137"/>
      <w:bookmarkEnd w:id="138"/>
      <w:bookmarkEnd w:id="139"/>
    </w:p>
    <w:p>
      <w:pPr>
        <w:pageBreakBefore w:val="0"/>
        <w:kinsoku/>
        <w:topLinePunct w:val="0"/>
        <w:autoSpaceDE w:val="0"/>
        <w:autoSpaceDN w:val="0"/>
        <w:bidi w:val="0"/>
        <w:adjustRightInd w:val="0"/>
        <w:snapToGrid/>
        <w:spacing w:line="500" w:lineRule="auto"/>
        <w:ind w:firstLine="482"/>
        <w:rPr>
          <w:rFonts w:eastAsia="宋体" w:hint="eastAsia"/>
          <w:sz w:val="24"/>
        </w:rPr>
      </w:pPr>
      <w:r>
        <w:rPr>
          <w:rFonts w:hint="eastAsia"/>
          <w:sz w:val="24"/>
          <w:lang w:eastAsia="zh-CN"/>
        </w:rPr>
        <w:t>根据上述实验目的及</w:t>
      </w:r>
      <w:r>
        <w:rPr>
          <w:rFonts w:hint="eastAsia"/>
          <w:sz w:val="24"/>
          <w:lang w:val="en-US" w:eastAsia="zh-CN"/>
        </w:rPr>
        <w:t>TBM始发段地质及周边环境情况，拟拟定</w:t>
      </w:r>
      <w:r>
        <w:rPr>
          <w:rFonts w:cs="宋体" w:hint="eastAsia"/>
          <w:sz w:val="24"/>
        </w:rPr>
        <w:t>T3航站楼站站后始发井～T2航站楼站区间</w:t>
      </w:r>
      <w:r>
        <w:rPr>
          <w:rFonts w:cs="宋体" w:hint="eastAsia"/>
          <w:sz w:val="24"/>
          <w:lang w:eastAsia="zh-CN"/>
        </w:rPr>
        <w:t>TBM通过始发段后的</w:t>
      </w:r>
      <w:r>
        <w:rPr>
          <w:rFonts w:cs="宋体" w:hint="eastAsia"/>
          <w:sz w:val="24"/>
        </w:rPr>
        <w:t>初始100米作为实验段掘进</w:t>
      </w:r>
      <w:r>
        <w:rPr>
          <w:rFonts w:cs="宋体" w:hint="eastAsia"/>
          <w:sz w:val="24"/>
          <w:lang w:eastAsia="zh-CN"/>
        </w:rPr>
        <w:t>。实验段设立左右线区间里程均为：K32+</w:t>
      </w:r>
      <w:r>
        <w:rPr>
          <w:rFonts w:cs="宋体" w:hint="eastAsia"/>
          <w:sz w:val="24"/>
          <w:lang w:val="en-US" w:eastAsia="zh-CN"/>
        </w:rPr>
        <w:t>242</w:t>
      </w:r>
      <w:r>
        <w:rPr>
          <w:rFonts w:cs="宋体" w:hint="eastAsia"/>
          <w:sz w:val="24"/>
          <w:lang w:eastAsia="zh-CN"/>
        </w:rPr>
        <w:t>.</w:t>
      </w:r>
      <w:r>
        <w:rPr>
          <w:rFonts w:cs="宋体" w:hint="eastAsia"/>
          <w:sz w:val="24"/>
          <w:lang w:val="en-US" w:eastAsia="zh-CN"/>
        </w:rPr>
        <w:t>64</w:t>
      </w:r>
      <w:r>
        <w:rPr>
          <w:rFonts w:cs="宋体" w:hint="eastAsia"/>
          <w:sz w:val="24"/>
          <w:lang w:eastAsia="zh-CN"/>
        </w:rPr>
        <w:t>～K32+3</w:t>
      </w:r>
      <w:r>
        <w:rPr>
          <w:rFonts w:cs="宋体" w:hint="eastAsia"/>
          <w:sz w:val="24"/>
          <w:lang w:val="en-US" w:eastAsia="zh-CN"/>
        </w:rPr>
        <w:t>42.64</w:t>
      </w:r>
      <w:r>
        <w:rPr>
          <w:rFonts w:cs="宋体" w:hint="eastAsia"/>
          <w:sz w:val="24"/>
          <w:lang w:eastAsia="zh-CN"/>
        </w:rPr>
        <w:t>。</w:t>
      </w:r>
      <w:r>
        <w:rPr>
          <w:rFonts w:hint="eastAsia"/>
          <w:sz w:val="24"/>
          <w:lang w:val="en-US" w:eastAsia="zh-CN"/>
        </w:rPr>
        <w:t>TBM</w:t>
      </w:r>
      <w:r>
        <w:rPr>
          <w:sz w:val="24"/>
        </w:rPr>
        <w:t>始发姿态为下坡段始发，纵向坡度为</w:t>
      </w:r>
      <w:r>
        <w:rPr>
          <w:rFonts w:hint="eastAsia"/>
          <w:sz w:val="24"/>
          <w:lang w:val="en-US" w:eastAsia="zh-CN"/>
        </w:rPr>
        <w:t>1</w:t>
      </w:r>
      <w:r>
        <w:rPr>
          <w:sz w:val="24"/>
        </w:rPr>
        <w:t>.4‰。</w:t>
      </w:r>
    </w:p>
    <w:p>
      <w:pPr>
        <w:pageBreakBefore w:val="0"/>
        <w:kinsoku/>
        <w:topLinePunct w:val="0"/>
        <w:autoSpaceDE w:val="0"/>
        <w:autoSpaceDN w:val="0"/>
        <w:bidi w:val="0"/>
        <w:adjustRightInd w:val="0"/>
        <w:snapToGrid/>
        <w:spacing w:line="360" w:lineRule="auto"/>
        <w:ind w:left="0" w:firstLine="0" w:leftChars="0" w:firstLineChars="0"/>
        <w:jc w:val="center"/>
      </w:pPr>
      <w:r>
        <w:pict>
          <v:shape id="图片 5392" o:spid="_x0000_i1032" type="#_x0000_t75" style="width:461.85pt;height:289.25pt;mso-position-horizontal-relative:page;mso-position-vertical-relative:page;mso-wrap-style:square" filled="f" stroked="t">
            <v:stroke linestyle="single"/>
            <v:imagedata r:id="rId11" o:title=""/>
            <v:path o:extrusionok="f"/>
            <o:lock v:ext="edit" aspectratio="t"/>
          </v:shape>
        </w:pict>
      </w:r>
    </w:p>
    <w:p>
      <w:pPr>
        <w:pageBreakBefore w:val="0"/>
        <w:kinsoku/>
        <w:topLinePunct w:val="0"/>
        <w:autoSpaceDE w:val="0"/>
        <w:autoSpaceDN w:val="0"/>
        <w:bidi w:val="0"/>
        <w:adjustRightInd w:val="0"/>
        <w:snapToGrid/>
        <w:spacing w:line="500" w:lineRule="auto"/>
        <w:ind w:left="0" w:firstLine="0" w:leftChars="0" w:firstLineChars="0"/>
        <w:jc w:val="center"/>
        <w:rPr>
          <w:rFonts w:ascii="宋体" w:eastAsia="宋体" w:hAnsi="宋体" w:cs="宋体" w:hint="eastAsia"/>
          <w:b/>
          <w:bCs/>
          <w:sz w:val="24"/>
        </w:rPr>
      </w:pPr>
      <w:r>
        <w:rPr>
          <w:rFonts w:ascii="宋体" w:eastAsia="宋体" w:hAnsi="宋体" w:cs="宋体" w:hint="eastAsia"/>
          <w:b/>
          <w:bCs/>
          <w:sz w:val="24"/>
          <w:szCs w:val="24"/>
          <w:lang w:eastAsia="zh-CN"/>
        </w:rPr>
        <w:t>图</w:t>
      </w:r>
      <w:r>
        <w:rPr>
          <w:rFonts w:ascii="宋体" w:eastAsia="宋体" w:hAnsi="宋体" w:cs="宋体" w:hint="eastAsia"/>
          <w:b/>
          <w:bCs/>
          <w:sz w:val="24"/>
          <w:szCs w:val="24"/>
          <w:lang w:val="en-US" w:eastAsia="zh-CN"/>
        </w:rPr>
        <w:t>3-1-1  实验段平面示意图</w:t>
      </w:r>
    </w:p>
    <w:p>
      <w:pPr>
        <w:pStyle w:val="Heading3"/>
        <w:tabs>
          <w:tab w:val="clear" w:pos="575"/>
        </w:tabs>
        <w:spacing w:line="500" w:lineRule="auto"/>
        <w:rPr>
          <w:rFonts w:hint="eastAsia"/>
          <w:lang w:val="en-US" w:eastAsia="zh-CN"/>
        </w:rPr>
      </w:pPr>
      <w:bookmarkStart w:id="140" w:name="_Toc28895"/>
      <w:bookmarkStart w:id="141" w:name="_Toc641"/>
      <w:bookmarkStart w:id="142" w:name="_Toc10703"/>
      <w:bookmarkStart w:id="143" w:name="_Toc19282"/>
      <w:r>
        <w:rPr>
          <w:rFonts w:hint="eastAsia"/>
          <w:lang w:val="en-US" w:eastAsia="zh-CN"/>
        </w:rPr>
        <w:t>地质水文条件</w:t>
      </w:r>
      <w:bookmarkEnd w:id="140"/>
      <w:bookmarkEnd w:id="141"/>
      <w:bookmarkEnd w:id="142"/>
      <w:bookmarkEnd w:id="143"/>
    </w:p>
    <w:p>
      <w:pPr>
        <w:pageBreakBefore w:val="0"/>
        <w:kinsoku/>
        <w:topLinePunct w:val="0"/>
        <w:autoSpaceDE w:val="0"/>
        <w:autoSpaceDN w:val="0"/>
        <w:bidi w:val="0"/>
        <w:adjustRightInd w:val="0"/>
        <w:snapToGrid/>
        <w:spacing w:line="500" w:lineRule="auto"/>
        <w:ind w:firstLine="480"/>
        <w:rPr>
          <w:rFonts w:hint="eastAsia"/>
          <w:sz w:val="24"/>
          <w:lang w:val="zh-CN"/>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19"/>
          <w:cols w:space="708"/>
          <w:titlePg w:val="0"/>
          <w:docGrid w:type="lines" w:linePitch="312"/>
        </w:sectPr>
      </w:pPr>
      <w:r>
        <w:rPr>
          <w:sz w:val="24"/>
          <w:lang w:val="zh-CN"/>
        </w:rPr>
        <w:t>沿线重要位于第四系构造剥蚀丘陵地貌上，</w:t>
      </w:r>
      <w:r>
        <w:rPr>
          <w:rFonts w:hint="eastAsia"/>
          <w:sz w:val="24"/>
          <w:lang w:val="zh-CN"/>
        </w:rPr>
        <w:t>隧道穿越的重要地层为</w:t>
      </w:r>
      <w:r>
        <w:rPr>
          <w:sz w:val="24"/>
          <w:lang w:val="zh-CN"/>
        </w:rPr>
        <w:t>砂</w:t>
      </w:r>
      <w:r>
        <w:rPr>
          <w:rFonts w:hint="eastAsia"/>
          <w:sz w:val="24"/>
          <w:lang w:val="zh-CN"/>
        </w:rPr>
        <w:t>质泥</w:t>
      </w:r>
    </w:p>
    <w:p>
      <w:pPr>
        <w:pageBreakBefore w:val="0"/>
        <w:kinsoku/>
        <w:topLinePunct w:val="0"/>
        <w:autoSpaceDE w:val="0"/>
        <w:autoSpaceDN w:val="0"/>
        <w:bidi w:val="0"/>
        <w:adjustRightInd w:val="0"/>
        <w:snapToGrid/>
        <w:spacing w:line="500" w:lineRule="auto"/>
        <w:ind w:firstLine="480"/>
        <w:rPr>
          <w:rFonts w:hint="eastAsia"/>
          <w:sz w:val="24"/>
          <w:lang w:val="zh-CN"/>
        </w:rPr>
      </w:pPr>
      <w:r>
        <w:rPr>
          <w:sz w:val="24"/>
          <w:lang w:val="zh-CN"/>
        </w:rPr>
        <w:t>岩，局部分布有页岩及泥质灰岩。</w:t>
      </w:r>
      <w:r>
        <w:rPr>
          <w:rFonts w:hint="eastAsia"/>
          <w:sz w:val="24"/>
          <w:lang w:val="zh-CN"/>
        </w:rPr>
        <w:t>砂岩强度为</w:t>
      </w:r>
      <w:r>
        <w:rPr>
          <w:sz w:val="24"/>
          <w:lang w:val="zh-CN"/>
        </w:rPr>
        <w:t>33.9</w:t>
      </w:r>
      <w:r>
        <w:rPr>
          <w:rFonts w:hint="eastAsia"/>
          <w:sz w:val="24"/>
          <w:lang w:val="zh-CN"/>
        </w:rPr>
        <w:t>～</w:t>
      </w:r>
      <w:r>
        <w:rPr>
          <w:sz w:val="24"/>
          <w:lang w:val="zh-CN"/>
        </w:rPr>
        <w:t>43.7</w:t>
      </w:r>
      <w:r>
        <w:rPr>
          <w:rFonts w:hint="eastAsia"/>
          <w:sz w:val="24"/>
          <w:lang w:val="zh-CN"/>
        </w:rPr>
        <w:t>M</w:t>
      </w:r>
      <w:r>
        <w:rPr>
          <w:sz w:val="24"/>
          <w:lang w:val="zh-CN"/>
        </w:rPr>
        <w:t>p</w:t>
      </w:r>
      <w:r>
        <w:rPr>
          <w:rFonts w:hint="eastAsia"/>
          <w:sz w:val="24"/>
          <w:lang w:val="zh-CN"/>
        </w:rPr>
        <w:t>a，砂质泥岩强度为</w:t>
      </w:r>
      <w:r>
        <w:rPr>
          <w:sz w:val="24"/>
          <w:lang w:val="zh-CN"/>
        </w:rPr>
        <w:t>7.6</w:t>
      </w:r>
      <w:r>
        <w:rPr>
          <w:rFonts w:hint="eastAsia"/>
          <w:sz w:val="24"/>
          <w:lang w:val="zh-CN"/>
        </w:rPr>
        <w:t>～</w:t>
      </w:r>
      <w:r>
        <w:rPr>
          <w:sz w:val="24"/>
          <w:lang w:val="zh-CN"/>
        </w:rPr>
        <w:t>18.2</w:t>
      </w:r>
      <w:r>
        <w:rPr>
          <w:rFonts w:hint="eastAsia"/>
          <w:sz w:val="24"/>
          <w:lang w:val="zh-CN"/>
        </w:rPr>
        <w:t>M</w:t>
      </w:r>
      <w:r>
        <w:rPr>
          <w:sz w:val="24"/>
          <w:lang w:val="zh-CN"/>
        </w:rPr>
        <w:t>p</w:t>
      </w:r>
      <w:r>
        <w:rPr>
          <w:rFonts w:hint="eastAsia"/>
          <w:sz w:val="24"/>
          <w:lang w:val="zh-CN"/>
        </w:rPr>
        <w:t>a。</w:t>
      </w:r>
      <w:r>
        <w:rPr>
          <w:sz w:val="24"/>
          <w:lang w:val="zh-CN"/>
        </w:rPr>
        <w:t>地下水的富水性受地形地貌、岩性及裂隙发育限度控制，重要为大气降水、地面池塘水体渗漏及城市地下排水管线渗漏补给</w:t>
      </w:r>
      <w:r>
        <w:rPr>
          <w:rFonts w:hint="eastAsia"/>
          <w:sz w:val="24"/>
          <w:lang w:val="zh-CN"/>
        </w:rPr>
        <w:t>，</w:t>
      </w:r>
      <w:r>
        <w:rPr>
          <w:sz w:val="24"/>
          <w:lang w:val="zh-CN"/>
        </w:rPr>
        <w:t>沿线地下水</w:t>
      </w:r>
      <w:r>
        <w:rPr>
          <w:rFonts w:hint="eastAsia"/>
          <w:sz w:val="24"/>
          <w:lang w:val="zh-CN"/>
        </w:rPr>
        <w:t>重要为</w:t>
      </w:r>
      <w:r>
        <w:rPr>
          <w:sz w:val="24"/>
          <w:lang w:val="zh-CN"/>
        </w:rPr>
        <w:t>基岩裂隙水</w:t>
      </w:r>
      <w:r>
        <w:rPr>
          <w:rFonts w:hint="eastAsia"/>
          <w:sz w:val="24"/>
          <w:lang w:val="zh-CN"/>
        </w:rPr>
        <w:t>，含水薄弱。</w:t>
      </w:r>
    </w:p>
    <w:p/>
    <w:p>
      <w:pPr>
        <w:pStyle w:val="Heading2"/>
        <w:tabs>
          <w:tab w:val="left" w:pos="360"/>
          <w:tab w:val="left" w:pos="575"/>
        </w:tabs>
        <w:spacing w:line="500" w:lineRule="auto"/>
        <w:rPr>
          <w:rFonts w:hint="eastAsia"/>
          <w:lang w:val="en-US" w:eastAsia="zh-CN"/>
        </w:rPr>
      </w:pPr>
      <w:bookmarkStart w:id="144" w:name="_Toc16511"/>
      <w:bookmarkStart w:id="145" w:name="_Toc7852"/>
      <w:bookmarkStart w:id="146" w:name="_Toc5873"/>
      <w:bookmarkStart w:id="147" w:name="_Toc21434"/>
      <w:r>
        <w:rPr>
          <w:rFonts w:hint="eastAsia"/>
          <w:lang w:val="en-US" w:eastAsia="zh-CN"/>
        </w:rPr>
        <w:t>组织机构</w:t>
      </w:r>
      <w:bookmarkEnd w:id="144"/>
      <w:bookmarkEnd w:id="145"/>
      <w:bookmarkEnd w:id="146"/>
      <w:bookmarkEnd w:id="147"/>
    </w:p>
    <w:p>
      <w:pPr>
        <w:pageBreakBefore w:val="0"/>
        <w:kinsoku/>
        <w:topLinePunct w:val="0"/>
        <w:bidi w:val="0"/>
        <w:snapToGrid/>
        <w:spacing w:line="500" w:lineRule="auto"/>
        <w:ind w:firstLine="480" w:firstLineChars="200"/>
        <w:rPr>
          <w:sz w:val="24"/>
        </w:rPr>
      </w:pPr>
      <w:r>
        <w:rPr>
          <w:sz w:val="24"/>
        </w:rPr>
        <w:t>实验段施工组织结构图如图</w:t>
      </w:r>
      <w:r>
        <w:rPr>
          <w:rFonts w:hint="eastAsia"/>
          <w:sz w:val="24"/>
          <w:lang w:val="en-US" w:eastAsia="zh-CN"/>
        </w:rPr>
        <w:t>3-2-1</w:t>
      </w:r>
      <w:r>
        <w:rPr>
          <w:sz w:val="24"/>
        </w:rPr>
        <w:t>所示：</w:t>
      </w:r>
    </w:p>
    <w:p>
      <w:pPr>
        <w:pageBreakBefore w:val="0"/>
        <w:pBdr>
          <w:top w:val="none" w:sz="0" w:space="0" w:color="auto"/>
          <w:left w:val="none" w:sz="0" w:space="0" w:color="auto"/>
          <w:bottom w:val="none" w:sz="0" w:space="0" w:color="auto"/>
          <w:right w:val="none" w:sz="0" w:space="0" w:color="auto"/>
          <w:between w:val="none" w:sz="0" w:space="0" w:color="auto"/>
        </w:pBdr>
        <w:kinsoku/>
        <w:topLinePunct w:val="0"/>
        <w:bidi w:val="0"/>
        <w:snapToGrid/>
        <w:spacing w:line="360" w:lineRule="auto"/>
        <w:ind w:left="0" w:firstLine="0" w:leftChars="0" w:firstLineChars="0"/>
        <w:jc w:val="center"/>
        <w:rPr>
          <w:rFonts w:eastAsia="宋体" w:hint="eastAsia"/>
          <w:b/>
          <w:sz w:val="28"/>
          <w:szCs w:val="28"/>
        </w:rPr>
      </w:pPr>
      <w:r>
        <w:rPr>
          <w:rFonts w:eastAsia="宋体" w:hint="eastAsia"/>
          <w:b/>
          <w:sz w:val="28"/>
          <w:szCs w:val="28"/>
          <w:lang w:eastAsia="zh-CN"/>
        </w:rPr>
        <w:pict>
          <v:shape id="图片 172" o:spid="_x0000_i1033" type="#_x0000_t75" style="width:460.45pt;height:255.7pt;mso-position-horizontal-relative:page;mso-position-vertical-relative:page;mso-wrap-style:square" filled="f" stroked="f">
            <v:imagedata r:id="rId12" o:title="ZS])A9QSQ3BRFRAII6`{2NF"/>
            <v:path o:extrusionok="f"/>
            <o:lock v:ext="edit" aspectratio="t"/>
          </v:shape>
        </w:pict>
      </w:r>
    </w:p>
    <w:p>
      <w:pPr>
        <w:pageBreakBefore w:val="0"/>
        <w:kinsoku/>
        <w:topLinePunct w:val="0"/>
        <w:bidi w:val="0"/>
        <w:snapToGrid/>
        <w:spacing w:line="500" w:lineRule="auto"/>
        <w:ind w:left="0" w:firstLine="0" w:leftChars="0" w:firstLineChars="0"/>
        <w:jc w:val="center"/>
        <w:rPr>
          <w:b/>
          <w:sz w:val="24"/>
        </w:rPr>
      </w:pPr>
      <w:r>
        <w:rPr>
          <w:b/>
          <w:sz w:val="24"/>
          <w:szCs w:val="24"/>
        </w:rPr>
        <w:t>图</w:t>
      </w:r>
      <w:r>
        <w:rPr>
          <w:rFonts w:hint="eastAsia"/>
          <w:b/>
          <w:sz w:val="24"/>
          <w:szCs w:val="24"/>
          <w:lang w:val="en-US" w:eastAsia="zh-CN"/>
        </w:rPr>
        <w:t xml:space="preserve">3-2-1 </w:t>
      </w:r>
      <w:r>
        <w:rPr>
          <w:b/>
          <w:sz w:val="24"/>
          <w:szCs w:val="24"/>
        </w:rPr>
        <w:t xml:space="preserve"> 实验段施工组织结构图</w:t>
      </w:r>
    </w:p>
    <w:p>
      <w:pPr>
        <w:pStyle w:val="Heading2"/>
        <w:pageBreakBefore w:val="0"/>
        <w:tabs>
          <w:tab w:val="left" w:pos="360"/>
          <w:tab w:val="left" w:pos="575"/>
        </w:tabs>
        <w:kinsoku/>
        <w:topLinePunct w:val="0"/>
        <w:bidi w:val="0"/>
        <w:snapToGrid/>
        <w:spacing w:line="500" w:lineRule="auto"/>
        <w:rPr>
          <w:rFonts w:hint="eastAsia"/>
          <w:lang w:val="en-US" w:eastAsia="zh-CN"/>
        </w:rPr>
      </w:pPr>
      <w:bookmarkStart w:id="148" w:name="_Toc20482"/>
      <w:bookmarkStart w:id="149" w:name="_Toc31511"/>
      <w:bookmarkStart w:id="150" w:name="_Toc18667"/>
      <w:bookmarkStart w:id="151" w:name="_Toc308"/>
      <w:r>
        <w:rPr>
          <w:rFonts w:hint="eastAsia"/>
          <w:lang w:val="en-US" w:eastAsia="zh-CN"/>
        </w:rPr>
        <w:t>资源配置</w:t>
      </w:r>
      <w:bookmarkEnd w:id="148"/>
      <w:bookmarkEnd w:id="149"/>
      <w:bookmarkEnd w:id="150"/>
      <w:bookmarkEnd w:id="151"/>
    </w:p>
    <w:p>
      <w:pPr>
        <w:pStyle w:val="Heading3"/>
        <w:tabs>
          <w:tab w:val="left" w:pos="0"/>
          <w:tab w:val="left" w:pos="720"/>
        </w:tabs>
        <w:spacing w:line="500" w:lineRule="auto"/>
        <w:rPr>
          <w:rFonts w:hint="eastAsia"/>
        </w:rPr>
      </w:pPr>
      <w:r>
        <w:rPr>
          <w:rFonts w:hint="eastAsia"/>
        </w:rPr>
        <w:t xml:space="preserve"> </w:t>
      </w:r>
      <w:bookmarkStart w:id="152" w:name="_Toc8516"/>
      <w:bookmarkStart w:id="153" w:name="_Toc4802"/>
      <w:bookmarkStart w:id="154" w:name="_Toc16839"/>
      <w:bookmarkStart w:id="155" w:name="_Toc21795"/>
      <w:r>
        <w:rPr>
          <w:rFonts w:hint="eastAsia"/>
        </w:rPr>
        <w:t>人力资源</w:t>
      </w:r>
      <w:bookmarkEnd w:id="152"/>
      <w:bookmarkEnd w:id="153"/>
      <w:bookmarkEnd w:id="154"/>
      <w:bookmarkEnd w:id="155"/>
    </w:p>
    <w:p>
      <w:pPr>
        <w:pStyle w:val="20085"/>
        <w:pageBreakBefore w:val="0"/>
        <w:kinsoku/>
        <w:topLinePunct w:val="0"/>
        <w:bidi w:val="0"/>
        <w:snapToGrid/>
        <w:spacing w:line="500" w:lineRule="auto"/>
        <w:ind w:firstLine="482"/>
        <w:rPr>
          <w:rFonts w:cs="Times New Roman"/>
          <w:kern w:val="0"/>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20"/>
          <w:cols w:space="708"/>
          <w:titlePg w:val="0"/>
          <w:docGrid w:type="lines" w:linePitch="312"/>
        </w:sectPr>
      </w:pPr>
      <w:r>
        <w:rPr>
          <w:rFonts w:cs="Times New Roman"/>
          <w:kern w:val="0"/>
        </w:rPr>
        <w:t>将参与本工程全体施工人员分为管理层与作业层，分别组织、统一管理。其中管理层涉及项目班子和五部一室实行8小时工作制。作业层按照工序组建队、班、组，实行1</w:t>
      </w:r>
      <w:r>
        <w:rPr>
          <w:rFonts w:cs="Times New Roman" w:hint="eastAsia"/>
          <w:kern w:val="0"/>
          <w:lang w:val="en-US" w:eastAsia="zh-CN"/>
        </w:rPr>
        <w:t>2</w:t>
      </w:r>
      <w:r>
        <w:rPr>
          <w:rFonts w:cs="Times New Roman"/>
          <w:kern w:val="0"/>
        </w:rPr>
        <w:t>+1</w:t>
      </w:r>
      <w:r>
        <w:rPr>
          <w:rFonts w:cs="Times New Roman" w:hint="eastAsia"/>
          <w:kern w:val="0"/>
          <w:lang w:val="en-US" w:eastAsia="zh-CN"/>
        </w:rPr>
        <w:t>2两</w:t>
      </w:r>
      <w:r>
        <w:rPr>
          <w:rFonts w:cs="Times New Roman"/>
          <w:kern w:val="0"/>
        </w:rPr>
        <w:t>班倒工作制。</w:t>
      </w:r>
      <w:r>
        <w:rPr>
          <w:rFonts w:cs="Times New Roman" w:hint="eastAsia"/>
          <w:kern w:val="0"/>
          <w:lang w:eastAsia="zh-CN"/>
        </w:rPr>
        <w:t>详见表</w:t>
      </w:r>
      <w:r>
        <w:rPr>
          <w:rFonts w:cs="Times New Roman" w:hint="eastAsia"/>
          <w:kern w:val="0"/>
          <w:lang w:val="en-US" w:eastAsia="zh-CN"/>
        </w:rPr>
        <w:t>3-3-1。</w:t>
      </w:r>
    </w:p>
    <w:p>
      <w:pPr>
        <w:pageBreakBefore w:val="0"/>
        <w:kinsoku/>
        <w:topLinePunct w:val="0"/>
        <w:bidi w:val="0"/>
        <w:snapToGrid/>
        <w:spacing w:line="500" w:lineRule="auto"/>
        <w:jc w:val="right"/>
        <w:rPr>
          <w:b/>
          <w:sz w:val="24"/>
        </w:rPr>
      </w:pPr>
      <w:r>
        <w:rPr>
          <w:b/>
          <w:sz w:val="24"/>
          <w:szCs w:val="24"/>
        </w:rPr>
        <w:t xml:space="preserve">  </w:t>
      </w:r>
      <w:r>
        <w:rPr>
          <w:rFonts w:hint="eastAsia"/>
          <w:b/>
          <w:sz w:val="24"/>
          <w:szCs w:val="24"/>
          <w:lang w:eastAsia="zh-CN"/>
        </w:rPr>
        <w:t>人员及</w:t>
      </w:r>
      <w:r>
        <w:rPr>
          <w:b/>
          <w:sz w:val="24"/>
          <w:szCs w:val="24"/>
        </w:rPr>
        <w:t>劳动力配备表</w:t>
      </w:r>
      <w:r>
        <w:rPr>
          <w:rFonts w:hint="eastAsia"/>
          <w:b/>
          <w:sz w:val="24"/>
          <w:szCs w:val="24"/>
          <w:lang w:val="en-US" w:eastAsia="zh-CN"/>
        </w:rPr>
        <w:t xml:space="preserve">                      </w:t>
      </w:r>
      <w:r>
        <w:rPr>
          <w:b/>
          <w:sz w:val="24"/>
          <w:szCs w:val="24"/>
        </w:rPr>
        <w:t>表</w:t>
      </w:r>
      <w:r>
        <w:rPr>
          <w:rFonts w:hint="eastAsia"/>
          <w:b/>
          <w:sz w:val="24"/>
          <w:szCs w:val="24"/>
          <w:lang w:val="en-US" w:eastAsia="zh-CN"/>
        </w:rPr>
        <w:t>3-3-1</w:t>
      </w:r>
    </w:p>
    <w:tbl>
      <w:tblPr>
        <w:tblStyle w:val="TableNormal"/>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52"/>
        <w:gridCol w:w="2918"/>
        <w:gridCol w:w="1674"/>
        <w:gridCol w:w="3813"/>
      </w:tblGrid>
      <w:tr>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454"/>
          <w:tblHeader/>
        </w:trPr>
        <w:tc>
          <w:tcPr>
            <w:tcW w:w="1052"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b/>
                <w:bCs/>
                <w:kern w:val="0"/>
                <w:szCs w:val="21"/>
              </w:rPr>
            </w:pPr>
            <w:r>
              <w:rPr>
                <w:rFonts w:ascii="宋体" w:eastAsia="宋体" w:hAnsi="宋体" w:cs="宋体" w:hint="eastAsia"/>
                <w:b/>
                <w:bCs/>
                <w:kern w:val="0"/>
                <w:sz w:val="21"/>
                <w:szCs w:val="21"/>
              </w:rPr>
              <w:t>序号</w:t>
            </w:r>
          </w:p>
        </w:tc>
        <w:tc>
          <w:tcPr>
            <w:tcW w:w="291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b/>
                <w:bCs/>
                <w:kern w:val="0"/>
                <w:szCs w:val="21"/>
              </w:rPr>
            </w:pPr>
            <w:r>
              <w:rPr>
                <w:rFonts w:ascii="宋体" w:eastAsia="宋体" w:hAnsi="宋体" w:cs="宋体" w:hint="eastAsia"/>
                <w:b/>
                <w:bCs/>
                <w:kern w:val="0"/>
                <w:sz w:val="21"/>
                <w:szCs w:val="21"/>
              </w:rPr>
              <w:t>岗位</w:t>
            </w:r>
          </w:p>
        </w:tc>
        <w:tc>
          <w:tcPr>
            <w:tcW w:w="167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b/>
                <w:bCs/>
                <w:kern w:val="0"/>
                <w:szCs w:val="21"/>
              </w:rPr>
            </w:pPr>
            <w:r>
              <w:rPr>
                <w:rFonts w:ascii="宋体" w:eastAsia="宋体" w:hAnsi="宋体" w:cs="宋体" w:hint="eastAsia"/>
                <w:b/>
                <w:bCs/>
                <w:kern w:val="0"/>
                <w:sz w:val="21"/>
                <w:szCs w:val="21"/>
              </w:rPr>
              <w:t>人数(名)</w:t>
            </w:r>
          </w:p>
        </w:tc>
        <w:tc>
          <w:tcPr>
            <w:tcW w:w="3813"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b/>
                <w:bCs/>
                <w:kern w:val="0"/>
                <w:szCs w:val="21"/>
              </w:rPr>
            </w:pPr>
            <w:r>
              <w:rPr>
                <w:rFonts w:ascii="宋体" w:eastAsia="宋体" w:hAnsi="宋体" w:cs="宋体" w:hint="eastAsia"/>
                <w:b/>
                <w:bCs/>
                <w:kern w:val="0"/>
                <w:sz w:val="21"/>
                <w:szCs w:val="21"/>
              </w:rPr>
              <w:t>备注</w:t>
            </w:r>
          </w:p>
        </w:tc>
      </w:tr>
      <w:tr>
        <w:tblPrEx>
          <w:tblLayout w:type="fixed"/>
          <w:tblCellMar>
            <w:top w:w="0" w:type="dxa"/>
            <w:left w:w="108" w:type="dxa"/>
            <w:bottom w:w="0" w:type="dxa"/>
            <w:right w:w="108" w:type="dxa"/>
          </w:tblCellMar>
          <w:tblLook w:val="0000"/>
        </w:tblPrEx>
        <w:trPr>
          <w:trHeight w:hRule="exact" w:val="454"/>
        </w:trPr>
        <w:tc>
          <w:tcPr>
            <w:tcW w:w="1052"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1</w:t>
            </w:r>
          </w:p>
        </w:tc>
        <w:tc>
          <w:tcPr>
            <w:tcW w:w="291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eastAsia="zh-CN"/>
              </w:rPr>
              <w:t>技术管理人员</w:t>
            </w:r>
          </w:p>
        </w:tc>
        <w:tc>
          <w:tcPr>
            <w:tcW w:w="167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30</w:t>
            </w:r>
          </w:p>
        </w:tc>
        <w:tc>
          <w:tcPr>
            <w:tcW w:w="3813"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包含土木及机电技术人员</w:t>
            </w:r>
          </w:p>
        </w:tc>
      </w:tr>
      <w:tr>
        <w:tblPrEx>
          <w:tblLayout w:type="fixed"/>
          <w:tblCellMar>
            <w:top w:w="0" w:type="dxa"/>
            <w:left w:w="108" w:type="dxa"/>
            <w:bottom w:w="0" w:type="dxa"/>
            <w:right w:w="108" w:type="dxa"/>
          </w:tblCellMar>
          <w:tblLook w:val="0000"/>
        </w:tblPrEx>
        <w:trPr>
          <w:trHeight w:hRule="exact" w:val="454"/>
        </w:trPr>
        <w:tc>
          <w:tcPr>
            <w:tcW w:w="1052"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2</w:t>
            </w:r>
          </w:p>
        </w:tc>
        <w:tc>
          <w:tcPr>
            <w:tcW w:w="291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材料室</w:t>
            </w:r>
          </w:p>
        </w:tc>
        <w:tc>
          <w:tcPr>
            <w:tcW w:w="167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1</w:t>
            </w:r>
          </w:p>
        </w:tc>
        <w:tc>
          <w:tcPr>
            <w:tcW w:w="3813" w:type="dxa"/>
            <w:tcBorders>
              <w:tl2br w:val="nil"/>
              <w:tr2bl w:val="nil"/>
            </w:tcBorders>
            <w:vAlign w:val="center"/>
          </w:tcPr>
          <w:p>
            <w:pPr>
              <w:pStyle w:val="NormalWeb"/>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textAlignment w:val="auto"/>
              <w:outlineLvl w:val="9"/>
              <w:rPr>
                <w:rFonts w:eastAsia="宋体" w:hint="eastAsia"/>
                <w:sz w:val="21"/>
                <w:szCs w:val="21"/>
              </w:rPr>
            </w:pPr>
            <w:r>
              <w:rPr>
                <w:rFonts w:ascii="宋体" w:eastAsia="宋体" w:hAnsi="宋体" w:cs="宋体" w:hint="eastAsia"/>
                <w:sz w:val="21"/>
                <w:szCs w:val="21"/>
              </w:rPr>
              <w:t> </w:t>
            </w:r>
          </w:p>
        </w:tc>
      </w:tr>
      <w:tr>
        <w:tblPrEx>
          <w:tblLayout w:type="fixed"/>
          <w:tblCellMar>
            <w:top w:w="0" w:type="dxa"/>
            <w:left w:w="108" w:type="dxa"/>
            <w:bottom w:w="0" w:type="dxa"/>
            <w:right w:w="108" w:type="dxa"/>
          </w:tblCellMar>
          <w:tblLook w:val="0000"/>
        </w:tblPrEx>
        <w:trPr>
          <w:trHeight w:hRule="exact" w:val="454"/>
        </w:trPr>
        <w:tc>
          <w:tcPr>
            <w:tcW w:w="1052"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3</w:t>
            </w:r>
          </w:p>
        </w:tc>
        <w:tc>
          <w:tcPr>
            <w:tcW w:w="291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安全员</w:t>
            </w:r>
          </w:p>
        </w:tc>
        <w:tc>
          <w:tcPr>
            <w:tcW w:w="167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2</w:t>
            </w:r>
          </w:p>
        </w:tc>
        <w:tc>
          <w:tcPr>
            <w:tcW w:w="3813"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每个工班另聘一名兼职安全员</w:t>
            </w:r>
          </w:p>
        </w:tc>
      </w:tr>
      <w:tr>
        <w:tblPrEx>
          <w:tblLayout w:type="fixed"/>
          <w:tblCellMar>
            <w:top w:w="0" w:type="dxa"/>
            <w:left w:w="108" w:type="dxa"/>
            <w:bottom w:w="0" w:type="dxa"/>
            <w:right w:w="108" w:type="dxa"/>
          </w:tblCellMar>
          <w:tblLook w:val="0000"/>
        </w:tblPrEx>
        <w:trPr>
          <w:trHeight w:val="454"/>
        </w:trPr>
        <w:tc>
          <w:tcPr>
            <w:tcW w:w="1052"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4</w:t>
            </w:r>
          </w:p>
        </w:tc>
        <w:tc>
          <w:tcPr>
            <w:tcW w:w="291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掘进班</w:t>
            </w:r>
          </w:p>
        </w:tc>
        <w:tc>
          <w:tcPr>
            <w:tcW w:w="167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76</w:t>
            </w:r>
          </w:p>
        </w:tc>
        <w:tc>
          <w:tcPr>
            <w:tcW w:w="3813"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每班</w:t>
            </w:r>
            <w:r>
              <w:rPr>
                <w:rFonts w:ascii="宋体" w:eastAsia="宋体" w:hAnsi="宋体" w:cs="宋体" w:hint="eastAsia"/>
                <w:kern w:val="0"/>
                <w:sz w:val="21"/>
                <w:szCs w:val="21"/>
                <w:lang w:val="en-US" w:eastAsia="zh-CN"/>
              </w:rPr>
              <w:t>19</w:t>
            </w:r>
            <w:r>
              <w:rPr>
                <w:rFonts w:ascii="宋体" w:eastAsia="宋体" w:hAnsi="宋体" w:cs="宋体" w:hint="eastAsia"/>
                <w:kern w:val="0"/>
                <w:sz w:val="21"/>
                <w:szCs w:val="21"/>
              </w:rPr>
              <w:t>人(司机</w:t>
            </w:r>
            <w:r>
              <w:rPr>
                <w:rFonts w:ascii="宋体" w:eastAsia="宋体" w:hAnsi="宋体" w:cs="宋体" w:hint="eastAsia"/>
                <w:kern w:val="0"/>
                <w:sz w:val="21"/>
                <w:szCs w:val="21"/>
                <w:lang w:val="en-US" w:eastAsia="zh-CN"/>
              </w:rPr>
              <w:t>1</w:t>
            </w:r>
            <w:r>
              <w:rPr>
                <w:rFonts w:ascii="宋体" w:eastAsia="宋体" w:hAnsi="宋体" w:cs="宋体" w:hint="eastAsia"/>
                <w:kern w:val="0"/>
                <w:sz w:val="21"/>
                <w:szCs w:val="21"/>
              </w:rPr>
              <w:t>人、班长1</w:t>
            </w:r>
            <w:r>
              <w:rPr>
                <w:rFonts w:ascii="宋体" w:eastAsia="宋体" w:hAnsi="宋体" w:cs="宋体" w:hint="eastAsia"/>
                <w:kern w:val="0"/>
                <w:sz w:val="21"/>
                <w:szCs w:val="21"/>
                <w:lang w:eastAsia="zh-CN"/>
              </w:rPr>
              <w:t>人</w:t>
            </w:r>
            <w:r>
              <w:rPr>
                <w:rFonts w:ascii="宋体" w:eastAsia="宋体" w:hAnsi="宋体" w:cs="宋体" w:hint="eastAsia"/>
                <w:kern w:val="0"/>
                <w:sz w:val="21"/>
                <w:szCs w:val="21"/>
              </w:rPr>
              <w:t>、注浆1人、管片安装5人、接管</w:t>
            </w:r>
            <w:r>
              <w:rPr>
                <w:rFonts w:ascii="宋体" w:eastAsia="宋体" w:hAnsi="宋体" w:cs="宋体" w:hint="eastAsia"/>
                <w:kern w:val="0"/>
                <w:sz w:val="21"/>
                <w:szCs w:val="21"/>
                <w:lang w:val="en-US" w:eastAsia="zh-CN"/>
              </w:rPr>
              <w:t>4</w:t>
            </w:r>
            <w:r>
              <w:rPr>
                <w:rFonts w:ascii="宋体" w:eastAsia="宋体" w:hAnsi="宋体" w:cs="宋体" w:hint="eastAsia"/>
                <w:kern w:val="0"/>
                <w:sz w:val="21"/>
                <w:szCs w:val="21"/>
              </w:rPr>
              <w:t>人、电瓶车司机</w:t>
            </w:r>
            <w:r>
              <w:rPr>
                <w:rFonts w:ascii="宋体" w:eastAsia="宋体" w:hAnsi="宋体" w:cs="宋体" w:hint="eastAsia"/>
                <w:kern w:val="0"/>
                <w:sz w:val="21"/>
                <w:szCs w:val="21"/>
                <w:lang w:val="en-US" w:eastAsia="zh-CN"/>
              </w:rPr>
              <w:t>2</w:t>
            </w:r>
            <w:r>
              <w:rPr>
                <w:rFonts w:ascii="宋体" w:eastAsia="宋体" w:hAnsi="宋体" w:cs="宋体" w:hint="eastAsia"/>
                <w:kern w:val="0"/>
                <w:sz w:val="21"/>
                <w:szCs w:val="21"/>
              </w:rPr>
              <w:t>人、接料2人、值班电工</w:t>
            </w:r>
            <w:r>
              <w:rPr>
                <w:rFonts w:ascii="宋体" w:eastAsia="宋体" w:hAnsi="宋体" w:cs="宋体" w:hint="eastAsia"/>
                <w:kern w:val="0"/>
                <w:sz w:val="21"/>
                <w:szCs w:val="21"/>
                <w:lang w:val="en-US" w:eastAsia="zh-CN"/>
              </w:rPr>
              <w:t>1人、</w:t>
            </w:r>
            <w:r>
              <w:rPr>
                <w:rFonts w:ascii="宋体" w:eastAsia="宋体" w:hAnsi="宋体" w:cs="宋体" w:hint="eastAsia"/>
                <w:kern w:val="0"/>
                <w:sz w:val="21"/>
                <w:szCs w:val="21"/>
              </w:rPr>
              <w:t>值班</w:t>
            </w:r>
            <w:r>
              <w:rPr>
                <w:rFonts w:ascii="宋体" w:eastAsia="宋体" w:hAnsi="宋体" w:cs="宋体" w:hint="eastAsia"/>
                <w:kern w:val="0"/>
                <w:sz w:val="21"/>
                <w:szCs w:val="21"/>
                <w:lang w:val="en-US" w:eastAsia="zh-CN"/>
              </w:rPr>
              <w:t>机修工1</w:t>
            </w:r>
            <w:r>
              <w:rPr>
                <w:rFonts w:ascii="宋体" w:eastAsia="宋体" w:hAnsi="宋体" w:cs="宋体" w:hint="eastAsia"/>
                <w:kern w:val="0"/>
                <w:sz w:val="21"/>
                <w:szCs w:val="21"/>
              </w:rPr>
              <w:t>人)</w:t>
            </w:r>
          </w:p>
        </w:tc>
      </w:tr>
      <w:tr>
        <w:tblPrEx>
          <w:tblLayout w:type="fixed"/>
          <w:tblCellMar>
            <w:top w:w="0" w:type="dxa"/>
            <w:left w:w="108" w:type="dxa"/>
            <w:bottom w:w="0" w:type="dxa"/>
            <w:right w:w="108" w:type="dxa"/>
          </w:tblCellMar>
          <w:tblLook w:val="0000"/>
        </w:tblPrEx>
        <w:trPr>
          <w:trHeight w:hRule="exact" w:val="454"/>
        </w:trPr>
        <w:tc>
          <w:tcPr>
            <w:tcW w:w="1052"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5</w:t>
            </w:r>
          </w:p>
        </w:tc>
        <w:tc>
          <w:tcPr>
            <w:tcW w:w="291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维保班</w:t>
            </w:r>
          </w:p>
        </w:tc>
        <w:tc>
          <w:tcPr>
            <w:tcW w:w="167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10</w:t>
            </w:r>
          </w:p>
        </w:tc>
        <w:tc>
          <w:tcPr>
            <w:tcW w:w="3813"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负责所有设备维修保养</w:t>
            </w:r>
          </w:p>
        </w:tc>
      </w:tr>
      <w:tr>
        <w:tblPrEx>
          <w:tblLayout w:type="fixed"/>
          <w:tblCellMar>
            <w:top w:w="0" w:type="dxa"/>
            <w:left w:w="108" w:type="dxa"/>
            <w:bottom w:w="0" w:type="dxa"/>
            <w:right w:w="108" w:type="dxa"/>
          </w:tblCellMar>
          <w:tblLook w:val="0000"/>
        </w:tblPrEx>
        <w:trPr>
          <w:trHeight w:hRule="exact" w:val="454"/>
        </w:trPr>
        <w:tc>
          <w:tcPr>
            <w:tcW w:w="1052"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6</w:t>
            </w:r>
          </w:p>
        </w:tc>
        <w:tc>
          <w:tcPr>
            <w:tcW w:w="291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门吊司机</w:t>
            </w:r>
          </w:p>
        </w:tc>
        <w:tc>
          <w:tcPr>
            <w:tcW w:w="167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4</w:t>
            </w:r>
          </w:p>
        </w:tc>
        <w:tc>
          <w:tcPr>
            <w:tcW w:w="3813"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2</w:t>
            </w:r>
            <w:r>
              <w:rPr>
                <w:rFonts w:ascii="宋体" w:eastAsia="宋体" w:hAnsi="宋体" w:cs="宋体" w:hint="eastAsia"/>
                <w:kern w:val="0"/>
                <w:sz w:val="21"/>
                <w:szCs w:val="21"/>
              </w:rPr>
              <w:t>班作业</w:t>
            </w:r>
          </w:p>
        </w:tc>
      </w:tr>
      <w:tr>
        <w:tblPrEx>
          <w:tblLayout w:type="fixed"/>
          <w:tblCellMar>
            <w:top w:w="0" w:type="dxa"/>
            <w:left w:w="108" w:type="dxa"/>
            <w:bottom w:w="0" w:type="dxa"/>
            <w:right w:w="108" w:type="dxa"/>
          </w:tblCellMar>
          <w:tblLook w:val="0000"/>
        </w:tblPrEx>
        <w:trPr>
          <w:trHeight w:hRule="exact" w:val="454"/>
        </w:trPr>
        <w:tc>
          <w:tcPr>
            <w:tcW w:w="1052"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7</w:t>
            </w:r>
          </w:p>
        </w:tc>
        <w:tc>
          <w:tcPr>
            <w:tcW w:w="291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地面管片、材料倒运、材料人员</w:t>
            </w:r>
          </w:p>
        </w:tc>
        <w:tc>
          <w:tcPr>
            <w:tcW w:w="167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8</w:t>
            </w:r>
          </w:p>
        </w:tc>
        <w:tc>
          <w:tcPr>
            <w:tcW w:w="3813"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每班</w:t>
            </w:r>
            <w:r>
              <w:rPr>
                <w:rFonts w:ascii="宋体" w:eastAsia="宋体" w:hAnsi="宋体" w:cs="宋体" w:hint="eastAsia"/>
                <w:kern w:val="0"/>
                <w:sz w:val="21"/>
                <w:szCs w:val="21"/>
                <w:lang w:val="en-US" w:eastAsia="zh-CN"/>
              </w:rPr>
              <w:t>2</w:t>
            </w:r>
            <w:r>
              <w:rPr>
                <w:rFonts w:ascii="宋体" w:eastAsia="宋体" w:hAnsi="宋体" w:cs="宋体" w:hint="eastAsia"/>
                <w:kern w:val="0"/>
                <w:sz w:val="21"/>
                <w:szCs w:val="21"/>
              </w:rPr>
              <w:t>人</w:t>
            </w:r>
          </w:p>
        </w:tc>
      </w:tr>
      <w:tr>
        <w:tblPrEx>
          <w:tblLayout w:type="fixed"/>
          <w:tblCellMar>
            <w:top w:w="0" w:type="dxa"/>
            <w:left w:w="108" w:type="dxa"/>
            <w:bottom w:w="0" w:type="dxa"/>
            <w:right w:w="108" w:type="dxa"/>
          </w:tblCellMar>
          <w:tblLook w:val="0000"/>
        </w:tblPrEx>
        <w:trPr>
          <w:trHeight w:hRule="exact" w:val="454"/>
        </w:trPr>
        <w:tc>
          <w:tcPr>
            <w:tcW w:w="1052"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8</w:t>
            </w:r>
          </w:p>
        </w:tc>
        <w:tc>
          <w:tcPr>
            <w:tcW w:w="291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砂浆搅拌站</w:t>
            </w:r>
          </w:p>
        </w:tc>
        <w:tc>
          <w:tcPr>
            <w:tcW w:w="167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lang w:val="en-US" w:eastAsia="zh-CN"/>
              </w:rPr>
              <w:t>12</w:t>
            </w:r>
          </w:p>
        </w:tc>
        <w:tc>
          <w:tcPr>
            <w:tcW w:w="3813"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jc w:val="center"/>
              <w:textAlignment w:val="auto"/>
              <w:outlineLvl w:val="9"/>
              <w:rPr>
                <w:rFonts w:ascii="宋体" w:eastAsia="宋体" w:hAnsi="宋体" w:cs="宋体" w:hint="eastAsia"/>
                <w:kern w:val="0"/>
                <w:szCs w:val="21"/>
              </w:rPr>
            </w:pPr>
            <w:r>
              <w:rPr>
                <w:rFonts w:ascii="宋体" w:eastAsia="宋体" w:hAnsi="宋体" w:cs="宋体" w:hint="eastAsia"/>
                <w:kern w:val="0"/>
                <w:sz w:val="21"/>
                <w:szCs w:val="21"/>
              </w:rPr>
              <w:t>每班</w:t>
            </w:r>
            <w:r>
              <w:rPr>
                <w:rFonts w:ascii="宋体" w:eastAsia="宋体" w:hAnsi="宋体" w:cs="宋体" w:hint="eastAsia"/>
                <w:kern w:val="0"/>
                <w:sz w:val="21"/>
                <w:szCs w:val="21"/>
                <w:lang w:val="en-US" w:eastAsia="zh-CN"/>
              </w:rPr>
              <w:t>3</w:t>
            </w:r>
            <w:r>
              <w:rPr>
                <w:rFonts w:ascii="宋体" w:eastAsia="宋体" w:hAnsi="宋体" w:cs="宋体" w:hint="eastAsia"/>
                <w:kern w:val="0"/>
                <w:sz w:val="21"/>
                <w:szCs w:val="21"/>
              </w:rPr>
              <w:t>人</w:t>
            </w:r>
          </w:p>
        </w:tc>
      </w:tr>
      <w:tr>
        <w:tblPrEx>
          <w:tblLayout w:type="fixed"/>
          <w:tblCellMar>
            <w:top w:w="0" w:type="dxa"/>
            <w:left w:w="108" w:type="dxa"/>
            <w:bottom w:w="0" w:type="dxa"/>
            <w:right w:w="108" w:type="dxa"/>
          </w:tblCellMar>
          <w:tblLook w:val="0000"/>
        </w:tblPrEx>
        <w:trPr>
          <w:trHeight w:hRule="exact" w:val="454"/>
        </w:trPr>
        <w:tc>
          <w:tcPr>
            <w:tcW w:w="3970" w:type="dxa"/>
            <w:gridSpan w:val="2"/>
            <w:tcBorders>
              <w:tl2br w:val="nil"/>
              <w:tr2bl w:val="nil"/>
            </w:tcBorders>
            <w:vAlign w:val="center"/>
          </w:tcPr>
          <w:p>
            <w:pPr>
              <w:pStyle w:val="a"/>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textAlignment w:val="auto"/>
              <w:outlineLvl w:val="9"/>
              <w:rPr>
                <w:rFonts w:eastAsia="宋体" w:cs="宋体" w:hint="eastAsia"/>
                <w:sz w:val="21"/>
              </w:rPr>
            </w:pPr>
            <w:r>
              <w:rPr>
                <w:rFonts w:ascii="宋体" w:eastAsia="宋体" w:hAnsi="宋体" w:cs="宋体" w:hint="eastAsia"/>
                <w:sz w:val="21"/>
                <w:szCs w:val="21"/>
              </w:rPr>
              <w:t>合计</w:t>
            </w:r>
          </w:p>
        </w:tc>
        <w:tc>
          <w:tcPr>
            <w:tcW w:w="1674" w:type="dxa"/>
            <w:tcBorders>
              <w:tl2br w:val="nil"/>
              <w:tr2bl w:val="nil"/>
            </w:tcBorders>
            <w:vAlign w:val="center"/>
          </w:tcPr>
          <w:p>
            <w:pPr>
              <w:pStyle w:val="a"/>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textAlignment w:val="auto"/>
              <w:outlineLvl w:val="9"/>
              <w:rPr>
                <w:rFonts w:eastAsia="宋体" w:cs="宋体" w:hint="eastAsia"/>
                <w:sz w:val="21"/>
              </w:rPr>
            </w:pPr>
            <w:r>
              <w:rPr>
                <w:rFonts w:ascii="宋体" w:eastAsia="宋体" w:hAnsi="宋体" w:cs="宋体" w:hint="eastAsia"/>
                <w:sz w:val="21"/>
                <w:szCs w:val="21"/>
              </w:rPr>
              <w:t>1</w:t>
            </w:r>
            <w:r>
              <w:rPr>
                <w:rFonts w:eastAsia="宋体" w:cs="宋体" w:hint="eastAsia"/>
                <w:sz w:val="21"/>
                <w:szCs w:val="21"/>
                <w:lang w:val="en-US" w:eastAsia="zh-CN"/>
              </w:rPr>
              <w:t>43</w:t>
            </w:r>
          </w:p>
        </w:tc>
        <w:tc>
          <w:tcPr>
            <w:tcW w:w="3813" w:type="dxa"/>
            <w:tcBorders>
              <w:tl2br w:val="nil"/>
              <w:tr2bl w:val="nil"/>
            </w:tcBorders>
            <w:vAlign w:val="center"/>
          </w:tcPr>
          <w:p>
            <w:pPr>
              <w:pStyle w:val="a"/>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leftChars="0" w:rightChars="0" w:firstLineChars="0"/>
              <w:textAlignment w:val="auto"/>
              <w:outlineLvl w:val="9"/>
              <w:rPr>
                <w:rFonts w:eastAsia="宋体" w:cs="宋体" w:hint="eastAsia"/>
                <w:sz w:val="21"/>
              </w:rPr>
            </w:pPr>
          </w:p>
        </w:tc>
      </w:tr>
    </w:tbl>
    <w:p>
      <w:pPr>
        <w:pStyle w:val="Heading3"/>
        <w:tabs>
          <w:tab w:val="left" w:pos="0"/>
          <w:tab w:val="left" w:pos="720"/>
        </w:tabs>
        <w:spacing w:line="500" w:lineRule="auto"/>
        <w:rPr>
          <w:rFonts w:hint="eastAsia"/>
        </w:rPr>
      </w:pPr>
      <w:r>
        <w:rPr>
          <w:rFonts w:hint="eastAsia"/>
        </w:rPr>
        <w:t xml:space="preserve"> </w:t>
      </w:r>
      <w:bookmarkStart w:id="156" w:name="_Toc32078"/>
      <w:bookmarkStart w:id="157" w:name="_Toc17903"/>
      <w:bookmarkStart w:id="158" w:name="_Toc31238"/>
      <w:bookmarkStart w:id="159" w:name="_Toc29426"/>
      <w:r>
        <w:rPr>
          <w:rFonts w:hint="eastAsia"/>
        </w:rPr>
        <w:t>设备仪器</w:t>
      </w:r>
      <w:bookmarkEnd w:id="156"/>
      <w:bookmarkEnd w:id="157"/>
      <w:bookmarkEnd w:id="158"/>
      <w:bookmarkEnd w:id="159"/>
    </w:p>
    <w:p>
      <w:pPr>
        <w:pageBreakBefore w:val="0"/>
        <w:kinsoku/>
        <w:topLinePunct w:val="0"/>
        <w:bidi w:val="0"/>
        <w:snapToGrid/>
        <w:spacing w:line="500" w:lineRule="auto"/>
        <w:jc w:val="right"/>
        <w:rPr>
          <w:rFonts w:ascii="宋体" w:eastAsia="宋体" w:hAnsi="宋体" w:cs="宋体" w:hint="eastAsia"/>
          <w:b/>
          <w:sz w:val="24"/>
        </w:rPr>
      </w:pPr>
      <w:r>
        <w:rPr>
          <w:rFonts w:ascii="宋体" w:eastAsia="宋体" w:hAnsi="宋体" w:cs="宋体" w:hint="eastAsia"/>
          <w:b/>
          <w:sz w:val="24"/>
          <w:szCs w:val="24"/>
          <w:lang w:val="en-US" w:eastAsia="zh-CN"/>
        </w:rPr>
        <w:t xml:space="preserve"> TBM</w:t>
      </w:r>
      <w:r>
        <w:rPr>
          <w:rFonts w:ascii="宋体" w:eastAsia="宋体" w:hAnsi="宋体" w:cs="宋体" w:hint="eastAsia"/>
          <w:b/>
          <w:sz w:val="24"/>
          <w:szCs w:val="24"/>
        </w:rPr>
        <w:t>施工设备表</w:t>
      </w:r>
      <w:r>
        <w:rPr>
          <w:rFonts w:ascii="宋体" w:eastAsia="宋体" w:hAnsi="宋体" w:cs="宋体" w:hint="eastAsia"/>
          <w:b/>
          <w:sz w:val="24"/>
          <w:szCs w:val="24"/>
          <w:lang w:val="en-US" w:eastAsia="zh-CN"/>
        </w:rPr>
        <w:t xml:space="preserve">                        </w:t>
      </w:r>
      <w:r>
        <w:rPr>
          <w:rFonts w:ascii="宋体" w:eastAsia="宋体" w:hAnsi="宋体" w:cs="宋体" w:hint="eastAsia"/>
          <w:b/>
          <w:sz w:val="24"/>
          <w:szCs w:val="24"/>
          <w:lang w:eastAsia="zh-CN"/>
        </w:rPr>
        <w:t>表</w:t>
      </w:r>
      <w:r>
        <w:rPr>
          <w:rFonts w:ascii="宋体" w:eastAsia="宋体" w:hAnsi="宋体" w:cs="宋体" w:hint="eastAsia"/>
          <w:b/>
          <w:sz w:val="24"/>
          <w:szCs w:val="24"/>
          <w:lang w:val="en-US" w:eastAsia="zh-CN"/>
        </w:rPr>
        <w:t xml:space="preserve">3-3-2 </w:t>
      </w:r>
    </w:p>
    <w:tbl>
      <w:tblPr>
        <w:tblStyle w:val="TableNormal"/>
        <w:jc w:val="center"/>
        <w:tblLayout w:type="fixed"/>
        <w:tblCellMar>
          <w:top w:w="0" w:type="dxa"/>
          <w:left w:w="108" w:type="dxa"/>
          <w:bottom w:w="0" w:type="dxa"/>
          <w:right w:w="108" w:type="dxa"/>
        </w:tblCellMar>
        <w:tblLook w:val="0000"/>
      </w:tblPr>
      <w:tblGrid>
        <w:gridCol w:w="725"/>
        <w:gridCol w:w="811"/>
        <w:gridCol w:w="1555"/>
        <w:gridCol w:w="2169"/>
        <w:gridCol w:w="685"/>
        <w:gridCol w:w="724"/>
        <w:gridCol w:w="1148"/>
        <w:gridCol w:w="1640"/>
      </w:tblGrid>
      <w:tr>
        <w:tblPrEx>
          <w:jc w:val="center"/>
          <w:tblLayout w:type="fixed"/>
          <w:tblCellMar>
            <w:top w:w="0" w:type="dxa"/>
            <w:left w:w="108" w:type="dxa"/>
            <w:bottom w:w="0" w:type="dxa"/>
            <w:right w:w="108" w:type="dxa"/>
          </w:tblCellMar>
          <w:tblLook w:val="0000"/>
        </w:tblPrEx>
        <w:trPr>
          <w:trHeight w:hRule="exact" w:val="567"/>
          <w:tblHeader/>
          <w:jc w:val="center"/>
        </w:trPr>
        <w:tc>
          <w:tcPr>
            <w:tcW w:w="725" w:type="dxa"/>
            <w:tcBorders>
              <w:top w:val="single" w:sz="12"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240" w:lineRule="auto"/>
              <w:jc w:val="center"/>
              <w:rPr>
                <w:rFonts w:ascii="宋体" w:eastAsia="宋体" w:hAnsi="宋体" w:cs="宋体" w:hint="eastAsia"/>
                <w:b/>
                <w:bCs/>
                <w:kern w:val="0"/>
                <w:szCs w:val="21"/>
                <w:lang w:val="zh-CN"/>
              </w:rPr>
            </w:pPr>
            <w:r>
              <w:rPr>
                <w:rFonts w:ascii="宋体" w:eastAsia="宋体" w:hAnsi="宋体" w:cs="宋体" w:hint="eastAsia"/>
                <w:b/>
                <w:bCs/>
                <w:kern w:val="0"/>
                <w:sz w:val="21"/>
                <w:szCs w:val="21"/>
                <w:lang w:val="zh-CN"/>
              </w:rPr>
              <w:t>序号</w:t>
            </w:r>
          </w:p>
        </w:tc>
        <w:tc>
          <w:tcPr>
            <w:tcW w:w="811" w:type="dxa"/>
            <w:tcBorders>
              <w:top w:val="single" w:sz="12"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240" w:lineRule="auto"/>
              <w:jc w:val="center"/>
              <w:rPr>
                <w:rFonts w:ascii="宋体" w:eastAsia="宋体" w:hAnsi="宋体" w:cs="宋体" w:hint="eastAsia"/>
                <w:b/>
                <w:bCs/>
                <w:kern w:val="0"/>
                <w:szCs w:val="21"/>
                <w:lang w:val="zh-CN"/>
              </w:rPr>
            </w:pPr>
            <w:r>
              <w:rPr>
                <w:rFonts w:ascii="宋体" w:eastAsia="宋体" w:hAnsi="宋体" w:cs="宋体" w:hint="eastAsia"/>
                <w:b/>
                <w:bCs/>
                <w:kern w:val="0"/>
                <w:sz w:val="21"/>
                <w:szCs w:val="21"/>
                <w:lang w:val="zh-CN"/>
              </w:rPr>
              <w:t>名称</w:t>
            </w:r>
          </w:p>
        </w:tc>
        <w:tc>
          <w:tcPr>
            <w:tcW w:w="1555" w:type="dxa"/>
            <w:tcBorders>
              <w:top w:val="single" w:sz="12"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240" w:lineRule="auto"/>
              <w:jc w:val="center"/>
              <w:rPr>
                <w:rFonts w:ascii="宋体" w:eastAsia="宋体" w:hAnsi="宋体" w:cs="宋体" w:hint="eastAsia"/>
                <w:b/>
                <w:bCs/>
                <w:kern w:val="0"/>
                <w:szCs w:val="21"/>
                <w:lang w:val="zh-CN"/>
              </w:rPr>
            </w:pPr>
            <w:r>
              <w:rPr>
                <w:rFonts w:ascii="宋体" w:eastAsia="宋体" w:hAnsi="宋体" w:cs="宋体" w:hint="eastAsia"/>
                <w:b/>
                <w:bCs/>
                <w:kern w:val="0"/>
                <w:sz w:val="21"/>
                <w:szCs w:val="21"/>
                <w:lang w:val="zh-CN"/>
              </w:rPr>
              <w:t>名  称</w:t>
            </w:r>
          </w:p>
        </w:tc>
        <w:tc>
          <w:tcPr>
            <w:tcW w:w="2169" w:type="dxa"/>
            <w:tcBorders>
              <w:top w:val="single" w:sz="12"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240" w:lineRule="auto"/>
              <w:jc w:val="center"/>
              <w:rPr>
                <w:rFonts w:ascii="宋体" w:eastAsia="宋体" w:hAnsi="宋体" w:cs="宋体" w:hint="eastAsia"/>
                <w:b/>
                <w:bCs/>
                <w:kern w:val="0"/>
                <w:szCs w:val="21"/>
                <w:lang w:val="zh-CN"/>
              </w:rPr>
            </w:pPr>
            <w:r>
              <w:rPr>
                <w:rFonts w:ascii="宋体" w:eastAsia="宋体" w:hAnsi="宋体" w:cs="宋体" w:hint="eastAsia"/>
                <w:b/>
                <w:bCs/>
                <w:kern w:val="0"/>
                <w:sz w:val="21"/>
                <w:szCs w:val="21"/>
                <w:lang w:val="zh-CN"/>
              </w:rPr>
              <w:t>规  格</w:t>
            </w:r>
          </w:p>
        </w:tc>
        <w:tc>
          <w:tcPr>
            <w:tcW w:w="685" w:type="dxa"/>
            <w:tcBorders>
              <w:top w:val="single" w:sz="12"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240" w:lineRule="auto"/>
              <w:jc w:val="center"/>
              <w:rPr>
                <w:rFonts w:ascii="宋体" w:eastAsia="宋体" w:hAnsi="宋体" w:cs="宋体" w:hint="eastAsia"/>
                <w:b/>
                <w:bCs/>
                <w:kern w:val="0"/>
                <w:szCs w:val="21"/>
                <w:lang w:val="zh-CN"/>
              </w:rPr>
            </w:pPr>
            <w:r>
              <w:rPr>
                <w:rFonts w:ascii="宋体" w:eastAsia="宋体" w:hAnsi="宋体" w:cs="宋体" w:hint="eastAsia"/>
                <w:b/>
                <w:bCs/>
                <w:kern w:val="0"/>
                <w:sz w:val="21"/>
                <w:szCs w:val="21"/>
                <w:lang w:val="zh-CN"/>
              </w:rPr>
              <w:t>单位</w:t>
            </w:r>
          </w:p>
        </w:tc>
        <w:tc>
          <w:tcPr>
            <w:tcW w:w="724" w:type="dxa"/>
            <w:tcBorders>
              <w:top w:val="single" w:sz="12"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240" w:lineRule="auto"/>
              <w:jc w:val="center"/>
              <w:rPr>
                <w:rFonts w:ascii="宋体" w:eastAsia="宋体" w:hAnsi="宋体" w:cs="宋体" w:hint="eastAsia"/>
                <w:b/>
                <w:bCs/>
                <w:kern w:val="0"/>
                <w:szCs w:val="21"/>
                <w:lang w:val="zh-CN"/>
              </w:rPr>
            </w:pPr>
            <w:r>
              <w:rPr>
                <w:rFonts w:ascii="宋体" w:eastAsia="宋体" w:hAnsi="宋体" w:cs="宋体" w:hint="eastAsia"/>
                <w:b/>
                <w:bCs/>
                <w:kern w:val="0"/>
                <w:sz w:val="21"/>
                <w:szCs w:val="21"/>
                <w:lang w:val="zh-CN"/>
              </w:rPr>
              <w:t>数量</w:t>
            </w:r>
          </w:p>
        </w:tc>
        <w:tc>
          <w:tcPr>
            <w:tcW w:w="1148" w:type="dxa"/>
            <w:tcBorders>
              <w:top w:val="single" w:sz="12"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240" w:lineRule="auto"/>
              <w:jc w:val="center"/>
              <w:rPr>
                <w:rFonts w:ascii="宋体" w:eastAsia="宋体" w:hAnsi="宋体" w:cs="宋体" w:hint="eastAsia"/>
                <w:b/>
                <w:bCs/>
                <w:kern w:val="0"/>
                <w:szCs w:val="21"/>
                <w:lang w:val="zh-CN"/>
              </w:rPr>
            </w:pPr>
            <w:r>
              <w:rPr>
                <w:rFonts w:ascii="宋体" w:eastAsia="宋体" w:hAnsi="宋体" w:cs="宋体" w:hint="eastAsia"/>
                <w:b/>
                <w:bCs/>
                <w:kern w:val="0"/>
                <w:sz w:val="21"/>
                <w:szCs w:val="21"/>
                <w:lang w:val="zh-CN"/>
              </w:rPr>
              <w:t>来  源</w:t>
            </w:r>
          </w:p>
        </w:tc>
        <w:tc>
          <w:tcPr>
            <w:tcW w:w="1640" w:type="dxa"/>
            <w:tcBorders>
              <w:top w:val="single" w:sz="12"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240" w:lineRule="auto"/>
              <w:jc w:val="center"/>
              <w:rPr>
                <w:rFonts w:ascii="宋体" w:eastAsia="宋体" w:hAnsi="宋体" w:cs="宋体" w:hint="eastAsia"/>
                <w:b/>
                <w:bCs/>
                <w:kern w:val="0"/>
                <w:szCs w:val="21"/>
                <w:lang w:val="zh-CN"/>
              </w:rPr>
            </w:pPr>
            <w:r>
              <w:rPr>
                <w:rFonts w:ascii="宋体" w:eastAsia="宋体" w:hAnsi="宋体" w:cs="宋体" w:hint="eastAsia"/>
                <w:b/>
                <w:bCs/>
                <w:kern w:val="0"/>
                <w:sz w:val="21"/>
                <w:szCs w:val="21"/>
                <w:lang w:val="zh-CN"/>
              </w:rPr>
              <w:t>备    注</w:t>
            </w: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1</w:t>
            </w:r>
          </w:p>
        </w:tc>
        <w:tc>
          <w:tcPr>
            <w:tcW w:w="811" w:type="dxa"/>
            <w:vMerge w:val="restart"/>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始发井工地</w:t>
            </w: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复合式</w:t>
            </w:r>
            <w:r>
              <w:rPr>
                <w:rFonts w:ascii="宋体" w:eastAsia="宋体" w:hAnsi="宋体" w:cs="宋体" w:hint="eastAsia"/>
                <w:kern w:val="0"/>
                <w:sz w:val="21"/>
                <w:szCs w:val="21"/>
                <w:lang w:val="en-US" w:eastAsia="zh-CN"/>
              </w:rPr>
              <w:t>TBM</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6.885</w:t>
            </w:r>
            <w:r>
              <w:rPr>
                <w:rFonts w:ascii="宋体" w:eastAsia="宋体" w:hAnsi="宋体" w:cs="宋体" w:hint="eastAsia"/>
                <w:kern w:val="0"/>
                <w:sz w:val="21"/>
                <w:szCs w:val="21"/>
                <w:lang w:val="zh-CN"/>
              </w:rPr>
              <w:t>m</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套</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2</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深圳</w:t>
            </w:r>
          </w:p>
        </w:tc>
        <w:tc>
          <w:tcPr>
            <w:tcW w:w="1640" w:type="dxa"/>
            <w:vMerge w:val="restart"/>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中铁装备</w:t>
            </w:r>
            <w:r>
              <w:rPr>
                <w:rFonts w:ascii="宋体" w:eastAsia="宋体" w:hAnsi="宋体" w:cs="宋体" w:hint="eastAsia"/>
                <w:kern w:val="0"/>
                <w:sz w:val="21"/>
                <w:szCs w:val="21"/>
                <w:lang w:val="en-US" w:eastAsia="zh-CN"/>
              </w:rPr>
              <w:t>CREC-089/090#</w:t>
            </w: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2</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后配套拖车</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80</w:t>
            </w:r>
            <w:r>
              <w:rPr>
                <w:rFonts w:ascii="宋体" w:eastAsia="宋体" w:hAnsi="宋体" w:cs="宋体" w:hint="eastAsia"/>
                <w:kern w:val="0"/>
                <w:sz w:val="21"/>
                <w:szCs w:val="21"/>
                <w:lang w:val="zh-CN"/>
              </w:rPr>
              <w:t>m</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套</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2</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深圳</w:t>
            </w:r>
          </w:p>
        </w:tc>
        <w:tc>
          <w:tcPr>
            <w:tcW w:w="1" w:type="dxa"/>
            <w:vMerge/>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3</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汽车起重机</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400</w:t>
            </w:r>
            <w:r>
              <w:rPr>
                <w:rFonts w:ascii="宋体" w:eastAsia="宋体" w:hAnsi="宋体" w:cs="宋体" w:hint="eastAsia"/>
                <w:kern w:val="0"/>
                <w:sz w:val="21"/>
                <w:szCs w:val="21"/>
                <w:lang w:val="zh-CN"/>
              </w:rPr>
              <w:t>T</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2</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租赁</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组装</w:t>
            </w:r>
            <w:r>
              <w:rPr>
                <w:rFonts w:ascii="宋体" w:eastAsia="宋体" w:hAnsi="宋体" w:cs="宋体" w:hint="eastAsia"/>
                <w:kern w:val="0"/>
                <w:sz w:val="21"/>
                <w:szCs w:val="21"/>
                <w:lang w:val="en-US" w:eastAsia="zh-CN"/>
              </w:rPr>
              <w:t>TBM</w:t>
            </w: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4</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冷却塔</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2</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5</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门式起重机</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45T</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2</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6</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通风机</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2*132KW</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2</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7</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搅拌站</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HZS30</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套</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1</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8</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装载机</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ZL30(或40C)</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套</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1</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ind w:left="0" w:firstLine="0" w:leftChars="0" w:firstLineChars="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调拔</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9</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注浆机</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KBY50/70</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套</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1</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bl>
    <w:p>
      <w:p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21"/>
          <w:cols w:space="708"/>
          <w:titlePg w:val="0"/>
          <w:docGrid w:type="lines" w:linePitch="312"/>
        </w:sectPr>
      </w:pPr>
    </w:p>
    <w:tbl>
      <w:tblPr>
        <w:tblStyle w:val="TableNormal"/>
        <w:jc w:val="center"/>
        <w:tblLayout w:type="fixed"/>
        <w:tblCellMar>
          <w:top w:w="0" w:type="dxa"/>
          <w:left w:w="108" w:type="dxa"/>
          <w:bottom w:w="0" w:type="dxa"/>
          <w:right w:w="108" w:type="dxa"/>
        </w:tblCellMar>
        <w:tblLook w:val="0000"/>
      </w:tblPr>
      <w:tblGrid>
        <w:gridCol w:w="725"/>
        <w:gridCol w:w="811"/>
        <w:gridCol w:w="1555"/>
        <w:gridCol w:w="2169"/>
        <w:gridCol w:w="685"/>
        <w:gridCol w:w="724"/>
        <w:gridCol w:w="1148"/>
        <w:gridCol w:w="1640"/>
      </w:tblGrid>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10</w:t>
            </w:r>
          </w:p>
        </w:tc>
        <w:tc>
          <w:tcPr>
            <w:tcW w:w="1"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电气系统</w:t>
            </w: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高压供电系统</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4000</w:t>
            </w:r>
            <w:r>
              <w:rPr>
                <w:rFonts w:ascii="宋体" w:eastAsia="宋体" w:hAnsi="宋体" w:cs="宋体" w:hint="eastAsia"/>
                <w:kern w:val="0"/>
                <w:sz w:val="21"/>
                <w:szCs w:val="21"/>
                <w:lang w:val="zh-CN"/>
              </w:rPr>
              <w:t>KVA/10KV</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套</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1</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新购</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11</w:t>
            </w:r>
          </w:p>
        </w:tc>
        <w:tc>
          <w:tcPr>
            <w:tcW w:w="811"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电气系统</w:t>
            </w: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箱式变压器</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800KVA</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套</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1</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新购</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12</w:t>
            </w:r>
          </w:p>
        </w:tc>
        <w:tc>
          <w:tcPr>
            <w:tcW w:w="811" w:type="dxa"/>
            <w:vMerge w:val="restart"/>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其他设备</w:t>
            </w: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充电机</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KCA01-100/275、380V</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12</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13</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电瓶车</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45T</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4</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14</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管片车</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8</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15</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砂浆车</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8</w:t>
            </w:r>
            <w:r>
              <w:rPr>
                <w:rFonts w:ascii="宋体" w:eastAsia="宋体" w:hAnsi="宋体" w:cs="宋体" w:hint="eastAsia"/>
                <w:kern w:val="0"/>
                <w:sz w:val="21"/>
                <w:szCs w:val="21"/>
                <w:lang w:val="en-US" w:eastAsia="zh-CN"/>
              </w:rPr>
              <w:t>m</w:t>
            </w:r>
            <w:r>
              <w:rPr>
                <w:rFonts w:ascii="宋体" w:eastAsia="宋体" w:hAnsi="宋体" w:cs="宋体" w:hint="eastAsia"/>
                <w:kern w:val="0"/>
                <w:sz w:val="21"/>
                <w:szCs w:val="21"/>
                <w:lang w:val="en-US" w:eastAsia="zh-CN"/>
              </w:rPr>
              <w:t>³</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6</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16</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渣土车</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18m</w:t>
            </w:r>
            <w:r>
              <w:rPr>
                <w:rFonts w:ascii="宋体" w:eastAsia="宋体" w:hAnsi="宋体" w:cs="宋体" w:hint="eastAsia"/>
                <w:kern w:val="0"/>
                <w:sz w:val="21"/>
                <w:szCs w:val="21"/>
                <w:lang w:val="en-US" w:eastAsia="zh-CN"/>
              </w:rPr>
              <w:t>³</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20</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17</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循环水泵</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2</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en-US" w:eastAsia="zh-CN"/>
              </w:rPr>
              <w:t>18</w:t>
            </w:r>
          </w:p>
        </w:tc>
        <w:tc>
          <w:tcPr>
            <w:tcW w:w="1" w:type="dxa"/>
            <w:vMerge/>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潜水泵</w:t>
            </w:r>
          </w:p>
        </w:tc>
        <w:tc>
          <w:tcPr>
            <w:tcW w:w="2169"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5.5KW</w:t>
            </w:r>
          </w:p>
        </w:tc>
        <w:tc>
          <w:tcPr>
            <w:tcW w:w="685"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2</w:t>
            </w:r>
          </w:p>
        </w:tc>
        <w:tc>
          <w:tcPr>
            <w:tcW w:w="1148" w:type="dxa"/>
            <w:tcBorders>
              <w:top w:val="single" w:sz="4" w:space="0" w:color="auto"/>
              <w:left w:val="single" w:sz="4" w:space="0" w:color="auto"/>
              <w:bottom w:val="single" w:sz="4"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新购</w:t>
            </w:r>
          </w:p>
        </w:tc>
        <w:tc>
          <w:tcPr>
            <w:tcW w:w="1640" w:type="dxa"/>
            <w:tcBorders>
              <w:top w:val="single" w:sz="4" w:space="0" w:color="auto"/>
              <w:left w:val="single" w:sz="4" w:space="0" w:color="auto"/>
              <w:bottom w:val="single" w:sz="4"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r>
        <w:tblPrEx>
          <w:jc w:val="center"/>
          <w:tblLayout w:type="fixed"/>
          <w:tblCellMar>
            <w:top w:w="0" w:type="dxa"/>
            <w:left w:w="108" w:type="dxa"/>
            <w:bottom w:w="0" w:type="dxa"/>
            <w:right w:w="108" w:type="dxa"/>
          </w:tblCellMar>
          <w:tblLook w:val="0000"/>
        </w:tblPrEx>
        <w:trPr>
          <w:trHeight w:hRule="exact" w:val="567"/>
          <w:jc w:val="center"/>
        </w:trPr>
        <w:tc>
          <w:tcPr>
            <w:tcW w:w="725" w:type="dxa"/>
            <w:tcBorders>
              <w:top w:val="single" w:sz="4" w:space="0" w:color="auto"/>
              <w:left w:val="single" w:sz="12" w:space="0" w:color="auto"/>
              <w:bottom w:val="single" w:sz="12"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19</w:t>
            </w:r>
          </w:p>
        </w:tc>
        <w:tc>
          <w:tcPr>
            <w:tcW w:w="1" w:type="dxa"/>
            <w:vMerge/>
            <w:tcBorders>
              <w:top w:val="single" w:sz="4" w:space="0" w:color="auto"/>
              <w:left w:val="single" w:sz="4" w:space="0" w:color="auto"/>
              <w:bottom w:val="single" w:sz="12"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1555" w:type="dxa"/>
            <w:tcBorders>
              <w:top w:val="single" w:sz="4" w:space="0" w:color="auto"/>
              <w:left w:val="single" w:sz="4" w:space="0" w:color="auto"/>
              <w:bottom w:val="single" w:sz="12"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高压清洗机</w:t>
            </w:r>
          </w:p>
        </w:tc>
        <w:tc>
          <w:tcPr>
            <w:tcW w:w="2169" w:type="dxa"/>
            <w:tcBorders>
              <w:top w:val="single" w:sz="4" w:space="0" w:color="auto"/>
              <w:left w:val="single" w:sz="4" w:space="0" w:color="auto"/>
              <w:bottom w:val="single" w:sz="12"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c>
          <w:tcPr>
            <w:tcW w:w="685" w:type="dxa"/>
            <w:tcBorders>
              <w:top w:val="single" w:sz="4" w:space="0" w:color="auto"/>
              <w:left w:val="single" w:sz="4" w:space="0" w:color="auto"/>
              <w:bottom w:val="single" w:sz="12"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台</w:t>
            </w:r>
          </w:p>
        </w:tc>
        <w:tc>
          <w:tcPr>
            <w:tcW w:w="724" w:type="dxa"/>
            <w:tcBorders>
              <w:top w:val="single" w:sz="4" w:space="0" w:color="auto"/>
              <w:left w:val="single" w:sz="4" w:space="0" w:color="auto"/>
              <w:bottom w:val="single" w:sz="12"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2</w:t>
            </w:r>
          </w:p>
        </w:tc>
        <w:tc>
          <w:tcPr>
            <w:tcW w:w="1148" w:type="dxa"/>
            <w:tcBorders>
              <w:top w:val="single" w:sz="4" w:space="0" w:color="auto"/>
              <w:left w:val="single" w:sz="4" w:space="0" w:color="auto"/>
              <w:bottom w:val="single" w:sz="12" w:space="0" w:color="auto"/>
              <w:right w:val="single" w:sz="4"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调拨</w:t>
            </w:r>
          </w:p>
        </w:tc>
        <w:tc>
          <w:tcPr>
            <w:tcW w:w="1640" w:type="dxa"/>
            <w:tcBorders>
              <w:top w:val="single" w:sz="4" w:space="0" w:color="auto"/>
              <w:left w:val="single" w:sz="4" w:space="0" w:color="auto"/>
              <w:bottom w:val="single" w:sz="12" w:space="0" w:color="auto"/>
              <w:right w:val="single" w:sz="12" w:space="0" w:color="auto"/>
            </w:tcBorders>
            <w:vAlign w:val="center"/>
          </w:tcPr>
          <w:p>
            <w:pPr>
              <w:pageBreakBefore w:val="0"/>
              <w:kinsoku/>
              <w:topLinePunct w:val="0"/>
              <w:autoSpaceDE w:val="0"/>
              <w:autoSpaceDN w:val="0"/>
              <w:bidi w:val="0"/>
              <w:adjustRightInd w:val="0"/>
              <w:snapToGrid/>
              <w:spacing w:line="360" w:lineRule="auto"/>
              <w:jc w:val="center"/>
              <w:rPr>
                <w:rFonts w:ascii="宋体" w:eastAsia="宋体" w:hAnsi="宋体" w:cs="宋体" w:hint="eastAsia"/>
                <w:kern w:val="0"/>
                <w:szCs w:val="21"/>
                <w:lang w:val="zh-CN"/>
              </w:rPr>
            </w:pPr>
          </w:p>
        </w:tc>
      </w:tr>
    </w:tbl>
    <w:p>
      <w:pPr>
        <w:pStyle w:val="Heading3"/>
        <w:tabs>
          <w:tab w:val="left" w:pos="0"/>
          <w:tab w:val="left" w:pos="720"/>
        </w:tabs>
        <w:spacing w:line="500" w:lineRule="auto"/>
        <w:rPr>
          <w:rFonts w:hint="eastAsia"/>
        </w:rPr>
      </w:pPr>
      <w:r>
        <w:rPr>
          <w:rFonts w:hint="eastAsia"/>
        </w:rPr>
        <w:t xml:space="preserve"> </w:t>
      </w:r>
      <w:bookmarkStart w:id="160" w:name="_Toc19499"/>
      <w:bookmarkStart w:id="161" w:name="_Toc31502"/>
      <w:bookmarkStart w:id="162" w:name="_Toc15170"/>
      <w:bookmarkStart w:id="163" w:name="_Toc159"/>
      <w:r>
        <w:rPr>
          <w:rFonts w:hint="eastAsia"/>
        </w:rPr>
        <w:t>施工计划</w:t>
      </w:r>
      <w:bookmarkEnd w:id="160"/>
      <w:bookmarkEnd w:id="161"/>
      <w:bookmarkEnd w:id="162"/>
      <w:bookmarkEnd w:id="163"/>
    </w:p>
    <w:p>
      <w:pPr>
        <w:pageBreakBefore w:val="0"/>
        <w:kinsoku/>
        <w:topLinePunct w:val="0"/>
        <w:bidi w:val="0"/>
        <w:snapToGrid/>
        <w:spacing w:line="500" w:lineRule="auto"/>
        <w:jc w:val="right"/>
        <w:rPr>
          <w:rFonts w:ascii="宋体" w:eastAsia="宋体" w:hAnsi="宋体" w:cs="宋体" w:hint="eastAsia"/>
          <w:b/>
          <w:sz w:val="24"/>
        </w:rPr>
      </w:pPr>
      <w:r>
        <w:rPr>
          <w:rFonts w:ascii="宋体" w:eastAsia="宋体" w:hAnsi="宋体" w:cs="宋体" w:hint="eastAsia"/>
          <w:b/>
          <w:sz w:val="24"/>
          <w:szCs w:val="24"/>
          <w:lang w:val="en-US" w:eastAsia="zh-CN"/>
        </w:rPr>
        <w:t xml:space="preserve">  TBM实验段</w:t>
      </w:r>
      <w:r>
        <w:rPr>
          <w:rFonts w:ascii="宋体" w:eastAsia="宋体" w:hAnsi="宋体" w:cs="宋体" w:hint="eastAsia"/>
          <w:b/>
          <w:sz w:val="24"/>
          <w:szCs w:val="24"/>
        </w:rPr>
        <w:t>施工</w:t>
      </w:r>
      <w:r>
        <w:rPr>
          <w:rFonts w:ascii="宋体" w:eastAsia="宋体" w:hAnsi="宋体" w:cs="宋体" w:hint="eastAsia"/>
          <w:b/>
          <w:sz w:val="24"/>
          <w:szCs w:val="24"/>
          <w:lang w:eastAsia="zh-CN"/>
        </w:rPr>
        <w:t>计划</w:t>
      </w:r>
      <w:r>
        <w:rPr>
          <w:rFonts w:ascii="宋体" w:eastAsia="宋体" w:hAnsi="宋体" w:cs="宋体" w:hint="eastAsia"/>
          <w:b/>
          <w:sz w:val="24"/>
          <w:szCs w:val="24"/>
          <w:lang w:val="en-US" w:eastAsia="zh-CN"/>
        </w:rPr>
        <w:t xml:space="preserve">                     </w:t>
      </w:r>
      <w:r>
        <w:rPr>
          <w:rFonts w:ascii="宋体" w:eastAsia="宋体" w:hAnsi="宋体" w:cs="宋体" w:hint="eastAsia"/>
          <w:b/>
          <w:sz w:val="24"/>
          <w:szCs w:val="24"/>
          <w:lang w:eastAsia="zh-CN"/>
        </w:rPr>
        <w:t>表</w:t>
      </w:r>
      <w:r>
        <w:rPr>
          <w:rFonts w:ascii="宋体" w:eastAsia="宋体" w:hAnsi="宋体" w:cs="宋体" w:hint="eastAsia"/>
          <w:b/>
          <w:sz w:val="24"/>
          <w:szCs w:val="24"/>
          <w:lang w:val="en-US" w:eastAsia="zh-CN"/>
        </w:rPr>
        <w:t>3-3-3</w:t>
      </w:r>
    </w:p>
    <w:tbl>
      <w:tblPr>
        <w:tblStyle w:val="TableNormal"/>
        <w:jc w:val="center"/>
        <w:tblInd w:w="38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tblPr>
      <w:tblGrid>
        <w:gridCol w:w="692"/>
        <w:gridCol w:w="1245"/>
        <w:gridCol w:w="2404"/>
        <w:gridCol w:w="2111"/>
        <w:gridCol w:w="2014"/>
        <w:gridCol w:w="941"/>
      </w:tblGrid>
      <w:tr>
        <w:tblPrEx>
          <w:jc w:val="center"/>
          <w:tblInd w:w="38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tblPrEx>
        <w:trPr>
          <w:trHeight w:hRule="exact" w:val="567"/>
          <w:jc w:val="center"/>
        </w:trPr>
        <w:tc>
          <w:tcPr>
            <w:tcW w:w="692"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b/>
                <w:i w:val="0"/>
                <w:color w:val="000000"/>
                <w:sz w:val="24"/>
                <w:u w:val="none"/>
              </w:rPr>
            </w:pPr>
            <w:r>
              <w:rPr>
                <w:rFonts w:ascii="宋体" w:eastAsia="宋体" w:hAnsi="宋体" w:cs="宋体" w:hint="eastAsia"/>
                <w:b/>
                <w:i w:val="0"/>
                <w:color w:val="000000"/>
                <w:kern w:val="0"/>
                <w:sz w:val="24"/>
                <w:szCs w:val="24"/>
                <w:u w:val="none"/>
                <w:lang w:val="en-US" w:eastAsia="zh-CN" w:bidi="ar-SA"/>
              </w:rPr>
              <w:t>序号</w:t>
            </w:r>
          </w:p>
        </w:tc>
        <w:tc>
          <w:tcPr>
            <w:tcW w:w="1245"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b/>
                <w:i w:val="0"/>
                <w:color w:val="000000"/>
                <w:sz w:val="24"/>
                <w:u w:val="none"/>
              </w:rPr>
            </w:pPr>
            <w:r>
              <w:rPr>
                <w:rFonts w:ascii="宋体" w:eastAsia="宋体" w:hAnsi="宋体" w:cs="宋体" w:hint="eastAsia"/>
                <w:b/>
                <w:i w:val="0"/>
                <w:color w:val="000000"/>
                <w:kern w:val="0"/>
                <w:sz w:val="24"/>
                <w:szCs w:val="24"/>
                <w:u w:val="none"/>
                <w:lang w:val="en-US" w:eastAsia="zh-CN" w:bidi="ar-SA"/>
              </w:rPr>
              <w:t>TBM</w:t>
            </w:r>
          </w:p>
        </w:tc>
        <w:tc>
          <w:tcPr>
            <w:tcW w:w="240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b/>
                <w:i w:val="0"/>
                <w:color w:val="000000"/>
                <w:sz w:val="24"/>
                <w:u w:val="none"/>
              </w:rPr>
            </w:pPr>
            <w:r>
              <w:rPr>
                <w:rFonts w:ascii="宋体" w:eastAsia="宋体" w:hAnsi="宋体" w:cs="宋体" w:hint="eastAsia"/>
                <w:b/>
                <w:i w:val="0"/>
                <w:color w:val="000000"/>
                <w:kern w:val="0"/>
                <w:sz w:val="24"/>
                <w:szCs w:val="24"/>
                <w:u w:val="none"/>
                <w:lang w:val="en-US" w:eastAsia="zh-CN" w:bidi="ar-SA"/>
              </w:rPr>
              <w:t>工作内容</w:t>
            </w:r>
          </w:p>
        </w:tc>
        <w:tc>
          <w:tcPr>
            <w:tcW w:w="2111"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b/>
                <w:i w:val="0"/>
                <w:color w:val="000000"/>
                <w:sz w:val="24"/>
                <w:u w:val="none"/>
              </w:rPr>
            </w:pPr>
            <w:r>
              <w:rPr>
                <w:rFonts w:ascii="宋体" w:eastAsia="宋体" w:hAnsi="宋体" w:cs="宋体" w:hint="eastAsia"/>
                <w:b/>
                <w:i w:val="0"/>
                <w:color w:val="000000"/>
                <w:kern w:val="0"/>
                <w:sz w:val="24"/>
                <w:szCs w:val="24"/>
                <w:u w:val="none"/>
                <w:lang w:val="en-US" w:eastAsia="zh-CN" w:bidi="ar-SA"/>
              </w:rPr>
              <w:t>开始时间</w:t>
            </w:r>
          </w:p>
        </w:tc>
        <w:tc>
          <w:tcPr>
            <w:tcW w:w="201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b/>
                <w:i w:val="0"/>
                <w:color w:val="000000"/>
                <w:sz w:val="24"/>
                <w:u w:val="none"/>
              </w:rPr>
            </w:pPr>
            <w:r>
              <w:rPr>
                <w:rFonts w:ascii="宋体" w:eastAsia="宋体" w:hAnsi="宋体" w:cs="宋体" w:hint="eastAsia"/>
                <w:b/>
                <w:i w:val="0"/>
                <w:color w:val="000000"/>
                <w:kern w:val="0"/>
                <w:sz w:val="24"/>
                <w:szCs w:val="24"/>
                <w:u w:val="none"/>
                <w:lang w:val="en-US" w:eastAsia="zh-CN" w:bidi="ar-SA"/>
              </w:rPr>
              <w:t>完毕时间</w:t>
            </w:r>
          </w:p>
        </w:tc>
        <w:tc>
          <w:tcPr>
            <w:tcW w:w="941"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b/>
                <w:i w:val="0"/>
                <w:color w:val="000000"/>
                <w:sz w:val="24"/>
                <w:u w:val="none"/>
              </w:rPr>
            </w:pPr>
            <w:r>
              <w:rPr>
                <w:rFonts w:ascii="宋体" w:eastAsia="宋体" w:hAnsi="宋体" w:cs="宋体" w:hint="eastAsia"/>
                <w:b/>
                <w:i w:val="0"/>
                <w:color w:val="000000"/>
                <w:kern w:val="0"/>
                <w:sz w:val="24"/>
                <w:szCs w:val="24"/>
                <w:u w:val="none"/>
                <w:lang w:val="en-US" w:eastAsia="zh-CN" w:bidi="ar-SA"/>
              </w:rPr>
              <w:t>备注</w:t>
            </w:r>
          </w:p>
        </w:tc>
      </w:tr>
      <w:tr>
        <w:tblPrEx>
          <w:jc w:val="center"/>
          <w:tblInd w:w="388" w:type="dxa"/>
          <w:tblLayout w:type="fixed"/>
          <w:tblCellMar>
            <w:top w:w="15" w:type="dxa"/>
            <w:left w:w="15" w:type="dxa"/>
            <w:bottom w:w="15" w:type="dxa"/>
            <w:right w:w="15" w:type="dxa"/>
          </w:tblCellMar>
          <w:tblLook w:val="0000"/>
        </w:tblPrEx>
        <w:trPr>
          <w:trHeight w:hRule="exact" w:val="567"/>
          <w:jc w:val="center"/>
        </w:trPr>
        <w:tc>
          <w:tcPr>
            <w:tcW w:w="692"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1</w:t>
            </w:r>
          </w:p>
        </w:tc>
        <w:tc>
          <w:tcPr>
            <w:tcW w:w="1245" w:type="dxa"/>
            <w:vMerge w:val="restart"/>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CREC-090#</w:t>
            </w:r>
          </w:p>
        </w:tc>
        <w:tc>
          <w:tcPr>
            <w:tcW w:w="240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始发段施工</w:t>
            </w:r>
          </w:p>
        </w:tc>
        <w:tc>
          <w:tcPr>
            <w:tcW w:w="2111"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2023年4月25日</w:t>
            </w:r>
          </w:p>
        </w:tc>
        <w:tc>
          <w:tcPr>
            <w:tcW w:w="201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2023年5月4日</w:t>
            </w:r>
          </w:p>
        </w:tc>
        <w:tc>
          <w:tcPr>
            <w:tcW w:w="941" w:type="dxa"/>
            <w:tcBorders>
              <w:tl2br w:val="nil"/>
              <w:tr2bl w:val="nil"/>
            </w:tcBorders>
            <w:vAlign w:val="center"/>
          </w:tcPr>
          <w:p>
            <w:pPr>
              <w:pageBreakBefore w:val="0"/>
              <w:kinsoku/>
              <w:topLinePunct w:val="0"/>
              <w:bidi w:val="0"/>
              <w:snapToGrid/>
              <w:jc w:val="center"/>
              <w:rPr>
                <w:rFonts w:ascii="宋体" w:eastAsia="宋体" w:hAnsi="宋体" w:cs="宋体" w:hint="eastAsia"/>
                <w:i w:val="0"/>
                <w:color w:val="000000"/>
                <w:sz w:val="24"/>
                <w:u w:val="none"/>
              </w:rPr>
            </w:pPr>
          </w:p>
        </w:tc>
      </w:tr>
      <w:tr>
        <w:tblPrEx>
          <w:jc w:val="center"/>
          <w:tblInd w:w="388" w:type="dxa"/>
          <w:tblLayout w:type="fixed"/>
          <w:tblCellMar>
            <w:top w:w="15" w:type="dxa"/>
            <w:left w:w="15" w:type="dxa"/>
            <w:bottom w:w="15" w:type="dxa"/>
            <w:right w:w="15" w:type="dxa"/>
          </w:tblCellMar>
          <w:tblLook w:val="0000"/>
        </w:tblPrEx>
        <w:trPr>
          <w:trHeight w:hRule="exact" w:val="567"/>
          <w:jc w:val="center"/>
        </w:trPr>
        <w:tc>
          <w:tcPr>
            <w:tcW w:w="692"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w:t>
            </w:r>
          </w:p>
        </w:tc>
        <w:tc>
          <w:tcPr>
            <w:tcW w:w="1" w:type="dxa"/>
            <w:vMerge/>
            <w:tcBorders>
              <w:tl2br w:val="nil"/>
              <w:tr2bl w:val="nil"/>
            </w:tcBorders>
            <w:vAlign w:val="center"/>
          </w:tcPr>
          <w:p>
            <w:pPr>
              <w:pageBreakBefore w:val="0"/>
              <w:kinsoku/>
              <w:topLinePunct w:val="0"/>
              <w:bidi w:val="0"/>
              <w:snapToGrid/>
              <w:jc w:val="center"/>
              <w:rPr>
                <w:rFonts w:ascii="宋体" w:eastAsia="宋体" w:hAnsi="宋体" w:cs="宋体" w:hint="eastAsia"/>
                <w:i w:val="0"/>
                <w:color w:val="000000"/>
                <w:sz w:val="24"/>
                <w:u w:val="none"/>
              </w:rPr>
            </w:pPr>
          </w:p>
        </w:tc>
        <w:tc>
          <w:tcPr>
            <w:tcW w:w="240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实验段掘进</w:t>
            </w:r>
          </w:p>
        </w:tc>
        <w:tc>
          <w:tcPr>
            <w:tcW w:w="2111"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2023年5月5日</w:t>
            </w:r>
          </w:p>
        </w:tc>
        <w:tc>
          <w:tcPr>
            <w:tcW w:w="201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2023年5月20日</w:t>
            </w:r>
          </w:p>
        </w:tc>
        <w:tc>
          <w:tcPr>
            <w:tcW w:w="941" w:type="dxa"/>
            <w:tcBorders>
              <w:tl2br w:val="nil"/>
              <w:tr2bl w:val="nil"/>
            </w:tcBorders>
            <w:vAlign w:val="center"/>
          </w:tcPr>
          <w:p>
            <w:pPr>
              <w:pageBreakBefore w:val="0"/>
              <w:kinsoku/>
              <w:topLinePunct w:val="0"/>
              <w:bidi w:val="0"/>
              <w:snapToGrid/>
              <w:jc w:val="center"/>
              <w:rPr>
                <w:rFonts w:ascii="宋体" w:eastAsia="宋体" w:hAnsi="宋体" w:cs="宋体" w:hint="eastAsia"/>
                <w:i w:val="0"/>
                <w:color w:val="000000"/>
                <w:sz w:val="24"/>
                <w:u w:val="none"/>
              </w:rPr>
            </w:pPr>
          </w:p>
        </w:tc>
      </w:tr>
      <w:tr>
        <w:tblPrEx>
          <w:jc w:val="center"/>
          <w:tblInd w:w="388" w:type="dxa"/>
          <w:tblLayout w:type="fixed"/>
          <w:tblCellMar>
            <w:top w:w="15" w:type="dxa"/>
            <w:left w:w="15" w:type="dxa"/>
            <w:bottom w:w="15" w:type="dxa"/>
            <w:right w:w="15" w:type="dxa"/>
          </w:tblCellMar>
          <w:tblLook w:val="0000"/>
        </w:tblPrEx>
        <w:trPr>
          <w:trHeight w:hRule="exact" w:val="567"/>
          <w:jc w:val="center"/>
        </w:trPr>
        <w:tc>
          <w:tcPr>
            <w:tcW w:w="692"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3</w:t>
            </w:r>
          </w:p>
        </w:tc>
        <w:tc>
          <w:tcPr>
            <w:tcW w:w="1" w:type="dxa"/>
            <w:vMerge/>
            <w:tcBorders>
              <w:tl2br w:val="nil"/>
              <w:tr2bl w:val="nil"/>
            </w:tcBorders>
            <w:vAlign w:val="center"/>
          </w:tcPr>
          <w:p>
            <w:pPr>
              <w:pageBreakBefore w:val="0"/>
              <w:kinsoku/>
              <w:topLinePunct w:val="0"/>
              <w:bidi w:val="0"/>
              <w:snapToGrid/>
              <w:jc w:val="center"/>
              <w:rPr>
                <w:rFonts w:ascii="宋体" w:eastAsia="宋体" w:hAnsi="宋体" w:cs="宋体" w:hint="eastAsia"/>
                <w:i w:val="0"/>
                <w:color w:val="000000"/>
                <w:sz w:val="24"/>
                <w:u w:val="none"/>
              </w:rPr>
            </w:pPr>
          </w:p>
        </w:tc>
        <w:tc>
          <w:tcPr>
            <w:tcW w:w="240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实验段掘进参数整理</w:t>
            </w:r>
          </w:p>
        </w:tc>
        <w:tc>
          <w:tcPr>
            <w:tcW w:w="2111"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2023年5月15日</w:t>
            </w:r>
          </w:p>
        </w:tc>
        <w:tc>
          <w:tcPr>
            <w:tcW w:w="201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2023年5月20日</w:t>
            </w:r>
          </w:p>
        </w:tc>
        <w:tc>
          <w:tcPr>
            <w:tcW w:w="941" w:type="dxa"/>
            <w:tcBorders>
              <w:tl2br w:val="nil"/>
              <w:tr2bl w:val="nil"/>
            </w:tcBorders>
            <w:vAlign w:val="center"/>
          </w:tcPr>
          <w:p>
            <w:pPr>
              <w:pageBreakBefore w:val="0"/>
              <w:kinsoku/>
              <w:topLinePunct w:val="0"/>
              <w:bidi w:val="0"/>
              <w:snapToGrid/>
              <w:jc w:val="center"/>
              <w:rPr>
                <w:rFonts w:ascii="宋体" w:eastAsia="宋体" w:hAnsi="宋体" w:cs="宋体" w:hint="eastAsia"/>
                <w:i w:val="0"/>
                <w:color w:val="000000"/>
                <w:sz w:val="24"/>
                <w:u w:val="none"/>
              </w:rPr>
            </w:pPr>
          </w:p>
        </w:tc>
      </w:tr>
      <w:tr>
        <w:tblPrEx>
          <w:jc w:val="center"/>
          <w:tblInd w:w="388" w:type="dxa"/>
          <w:tblLayout w:type="fixed"/>
          <w:tblCellMar>
            <w:top w:w="15" w:type="dxa"/>
            <w:left w:w="15" w:type="dxa"/>
            <w:bottom w:w="15" w:type="dxa"/>
            <w:right w:w="15" w:type="dxa"/>
          </w:tblCellMar>
          <w:tblLook w:val="0000"/>
        </w:tblPrEx>
        <w:trPr>
          <w:trHeight w:hRule="exact" w:val="567"/>
          <w:jc w:val="center"/>
        </w:trPr>
        <w:tc>
          <w:tcPr>
            <w:tcW w:w="692"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4</w:t>
            </w:r>
          </w:p>
        </w:tc>
        <w:tc>
          <w:tcPr>
            <w:tcW w:w="1245" w:type="dxa"/>
            <w:vMerge w:val="restart"/>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CREC-089#</w:t>
            </w:r>
          </w:p>
        </w:tc>
        <w:tc>
          <w:tcPr>
            <w:tcW w:w="240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始发段施工</w:t>
            </w:r>
          </w:p>
        </w:tc>
        <w:tc>
          <w:tcPr>
            <w:tcW w:w="2111"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2023年5月20日</w:t>
            </w:r>
          </w:p>
        </w:tc>
        <w:tc>
          <w:tcPr>
            <w:tcW w:w="201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2023年5月29日</w:t>
            </w:r>
          </w:p>
        </w:tc>
        <w:tc>
          <w:tcPr>
            <w:tcW w:w="941" w:type="dxa"/>
            <w:tcBorders>
              <w:tl2br w:val="nil"/>
              <w:tr2bl w:val="nil"/>
            </w:tcBorders>
            <w:vAlign w:val="center"/>
          </w:tcPr>
          <w:p>
            <w:pPr>
              <w:pageBreakBefore w:val="0"/>
              <w:kinsoku/>
              <w:topLinePunct w:val="0"/>
              <w:bidi w:val="0"/>
              <w:snapToGrid/>
              <w:rPr>
                <w:rFonts w:ascii="宋体" w:eastAsia="宋体" w:hAnsi="宋体" w:cs="宋体" w:hint="eastAsia"/>
                <w:i w:val="0"/>
                <w:color w:val="000000"/>
                <w:sz w:val="24"/>
                <w:u w:val="none"/>
              </w:rPr>
            </w:pPr>
          </w:p>
        </w:tc>
      </w:tr>
      <w:tr>
        <w:tblPrEx>
          <w:jc w:val="center"/>
          <w:tblInd w:w="388" w:type="dxa"/>
          <w:tblLayout w:type="fixed"/>
          <w:tblCellMar>
            <w:top w:w="15" w:type="dxa"/>
            <w:left w:w="15" w:type="dxa"/>
            <w:bottom w:w="15" w:type="dxa"/>
            <w:right w:w="15" w:type="dxa"/>
          </w:tblCellMar>
          <w:tblLook w:val="0000"/>
        </w:tblPrEx>
        <w:trPr>
          <w:trHeight w:hRule="exact" w:val="567"/>
          <w:jc w:val="center"/>
        </w:trPr>
        <w:tc>
          <w:tcPr>
            <w:tcW w:w="692"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5</w:t>
            </w:r>
          </w:p>
        </w:tc>
        <w:tc>
          <w:tcPr>
            <w:tcW w:w="1" w:type="dxa"/>
            <w:vMerge/>
            <w:tcBorders>
              <w:tl2br w:val="nil"/>
              <w:tr2bl w:val="nil"/>
            </w:tcBorders>
            <w:vAlign w:val="center"/>
          </w:tcPr>
          <w:p>
            <w:pPr>
              <w:pageBreakBefore w:val="0"/>
              <w:kinsoku/>
              <w:topLinePunct w:val="0"/>
              <w:bidi w:val="0"/>
              <w:snapToGrid/>
              <w:jc w:val="center"/>
              <w:rPr>
                <w:rFonts w:ascii="宋体" w:eastAsia="宋体" w:hAnsi="宋体" w:cs="宋体" w:hint="eastAsia"/>
                <w:i w:val="0"/>
                <w:color w:val="000000"/>
                <w:sz w:val="24"/>
                <w:u w:val="none"/>
              </w:rPr>
            </w:pPr>
          </w:p>
        </w:tc>
        <w:tc>
          <w:tcPr>
            <w:tcW w:w="240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实验段掘进</w:t>
            </w:r>
          </w:p>
        </w:tc>
        <w:tc>
          <w:tcPr>
            <w:tcW w:w="2111"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2023年5月30日</w:t>
            </w:r>
          </w:p>
        </w:tc>
        <w:tc>
          <w:tcPr>
            <w:tcW w:w="201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2023年6月14日</w:t>
            </w:r>
          </w:p>
        </w:tc>
        <w:tc>
          <w:tcPr>
            <w:tcW w:w="941" w:type="dxa"/>
            <w:tcBorders>
              <w:tl2br w:val="nil"/>
              <w:tr2bl w:val="nil"/>
            </w:tcBorders>
            <w:vAlign w:val="center"/>
          </w:tcPr>
          <w:p>
            <w:pPr>
              <w:pageBreakBefore w:val="0"/>
              <w:kinsoku/>
              <w:topLinePunct w:val="0"/>
              <w:bidi w:val="0"/>
              <w:snapToGrid/>
              <w:rPr>
                <w:rFonts w:ascii="宋体" w:eastAsia="宋体" w:hAnsi="宋体" w:cs="宋体" w:hint="eastAsia"/>
                <w:i w:val="0"/>
                <w:color w:val="000000"/>
                <w:sz w:val="24"/>
                <w:u w:val="none"/>
              </w:rPr>
            </w:pPr>
          </w:p>
        </w:tc>
      </w:tr>
      <w:tr>
        <w:tblPrEx>
          <w:jc w:val="center"/>
          <w:tblInd w:w="388" w:type="dxa"/>
          <w:tblLayout w:type="fixed"/>
          <w:tblCellMar>
            <w:top w:w="15" w:type="dxa"/>
            <w:left w:w="15" w:type="dxa"/>
            <w:bottom w:w="15" w:type="dxa"/>
            <w:right w:w="15" w:type="dxa"/>
          </w:tblCellMar>
          <w:tblLook w:val="0000"/>
        </w:tblPrEx>
        <w:trPr>
          <w:trHeight w:hRule="exact" w:val="567"/>
          <w:jc w:val="center"/>
        </w:trPr>
        <w:tc>
          <w:tcPr>
            <w:tcW w:w="692"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6</w:t>
            </w:r>
          </w:p>
        </w:tc>
        <w:tc>
          <w:tcPr>
            <w:tcW w:w="1" w:type="dxa"/>
            <w:vMerge/>
            <w:tcBorders>
              <w:tl2br w:val="nil"/>
              <w:tr2bl w:val="nil"/>
            </w:tcBorders>
            <w:vAlign w:val="center"/>
          </w:tcPr>
          <w:p>
            <w:pPr>
              <w:pageBreakBefore w:val="0"/>
              <w:kinsoku/>
              <w:topLinePunct w:val="0"/>
              <w:bidi w:val="0"/>
              <w:snapToGrid/>
              <w:jc w:val="center"/>
              <w:rPr>
                <w:rFonts w:ascii="宋体" w:eastAsia="宋体" w:hAnsi="宋体" w:cs="宋体" w:hint="eastAsia"/>
                <w:i w:val="0"/>
                <w:color w:val="000000"/>
                <w:sz w:val="24"/>
                <w:u w:val="none"/>
              </w:rPr>
            </w:pPr>
          </w:p>
        </w:tc>
        <w:tc>
          <w:tcPr>
            <w:tcW w:w="240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实验段掘进参数整理</w:t>
            </w:r>
          </w:p>
        </w:tc>
        <w:tc>
          <w:tcPr>
            <w:tcW w:w="2111"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2023年6月9日</w:t>
            </w:r>
          </w:p>
        </w:tc>
        <w:tc>
          <w:tcPr>
            <w:tcW w:w="2014" w:type="dxa"/>
            <w:tcBorders>
              <w:tl2br w:val="nil"/>
              <w:tr2bl w:val="nil"/>
            </w:tcBorders>
            <w:vAlign w:val="center"/>
          </w:tcPr>
          <w:p>
            <w:pPr>
              <w:pageBreakBefore w:val="0"/>
              <w:widowControl/>
              <w:kinsoku/>
              <w:topLinePunct w:val="0"/>
              <w:bidi w:val="0"/>
              <w:snapToGrid/>
              <w:jc w:val="center"/>
              <w:textAlignment w:val="center"/>
              <w:rPr>
                <w:rFonts w:ascii="宋体" w:eastAsia="宋体" w:hAnsi="宋体" w:cs="宋体" w:hint="eastAsia"/>
                <w:i w:val="0"/>
                <w:color w:val="000000"/>
                <w:sz w:val="24"/>
                <w:u w:val="none"/>
              </w:rPr>
            </w:pPr>
            <w:r>
              <w:rPr>
                <w:rFonts w:ascii="宋体" w:eastAsia="宋体" w:hAnsi="宋体" w:cs="宋体" w:hint="eastAsia"/>
                <w:i w:val="0"/>
                <w:color w:val="000000"/>
                <w:kern w:val="0"/>
                <w:sz w:val="24"/>
                <w:szCs w:val="24"/>
                <w:u w:val="none"/>
                <w:lang w:val="en-US" w:eastAsia="zh-CN" w:bidi="ar-SA"/>
              </w:rPr>
              <w:t>2023年6月14日</w:t>
            </w:r>
          </w:p>
        </w:tc>
        <w:tc>
          <w:tcPr>
            <w:tcW w:w="941" w:type="dxa"/>
            <w:tcBorders>
              <w:tl2br w:val="nil"/>
              <w:tr2bl w:val="nil"/>
            </w:tcBorders>
            <w:vAlign w:val="center"/>
          </w:tcPr>
          <w:p>
            <w:pPr>
              <w:pageBreakBefore w:val="0"/>
              <w:kinsoku/>
              <w:topLinePunct w:val="0"/>
              <w:bidi w:val="0"/>
              <w:snapToGrid/>
              <w:rPr>
                <w:rFonts w:ascii="宋体" w:eastAsia="宋体" w:hAnsi="宋体" w:cs="宋体" w:hint="eastAsia"/>
                <w:i w:val="0"/>
                <w:color w:val="000000"/>
                <w:sz w:val="24"/>
                <w:u w:val="none"/>
              </w:rPr>
            </w:pPr>
          </w:p>
        </w:tc>
      </w:tr>
    </w:tbl>
    <w:p>
      <w:p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22"/>
          <w:cols w:space="708"/>
          <w:titlePg w:val="0"/>
          <w:docGrid w:type="lines" w:linePitch="312"/>
        </w:sectPr>
      </w:pPr>
    </w:p>
    <w:p>
      <w:pPr>
        <w:pStyle w:val="Heading1"/>
        <w:numPr>
          <w:ilvl w:val="0"/>
          <w:numId w:val="0"/>
        </w:numPr>
        <w:tabs>
          <w:tab w:val="left" w:pos="425"/>
          <w:tab w:val="left" w:pos="840"/>
        </w:tabs>
        <w:spacing w:line="500" w:lineRule="auto"/>
        <w:ind w:left="840" w:hanging="840" w:firstLineChars="0"/>
      </w:pPr>
      <w:bookmarkStart w:id="164" w:name="_Toc32597"/>
      <w:bookmarkStart w:id="165" w:name="_Toc30763"/>
      <w:bookmarkStart w:id="166" w:name="_Toc591"/>
      <w:bookmarkStart w:id="167" w:name="_Toc18039"/>
      <w:r>
        <w:rPr>
          <w:lang w:val="en-US" w:eastAsia="zh-CN"/>
        </w:rPr>
        <w:t>实验段</w:t>
      </w:r>
      <w:r>
        <w:t>掘进方案</w:t>
      </w:r>
      <w:bookmarkEnd w:id="164"/>
      <w:bookmarkEnd w:id="165"/>
      <w:bookmarkEnd w:id="166"/>
      <w:bookmarkEnd w:id="167"/>
    </w:p>
    <w:p>
      <w:pPr>
        <w:pStyle w:val="Heading2"/>
        <w:pageBreakBefore w:val="0"/>
        <w:numPr>
          <w:numId w:val="12"/>
        </w:numPr>
        <w:tabs>
          <w:tab w:val="clear" w:pos="432"/>
        </w:tabs>
        <w:kinsoku/>
        <w:topLinePunct w:val="0"/>
        <w:bidi w:val="0"/>
        <w:snapToGrid/>
        <w:spacing w:line="500" w:lineRule="auto"/>
        <w:rPr>
          <w:rFonts w:hint="eastAsia"/>
          <w:lang w:val="en-US" w:eastAsia="zh-CN"/>
        </w:rPr>
      </w:pPr>
      <w:bookmarkStart w:id="168" w:name="_Toc27782"/>
      <w:bookmarkStart w:id="169" w:name="_Toc21015"/>
      <w:bookmarkStart w:id="170" w:name="_Toc29398"/>
      <w:bookmarkStart w:id="171" w:name="_Toc31684"/>
      <w:r>
        <w:rPr>
          <w:rFonts w:hint="eastAsia"/>
          <w:lang w:val="en-US" w:eastAsia="zh-CN"/>
        </w:rPr>
        <w:t>掘进控制</w:t>
      </w:r>
      <w:bookmarkEnd w:id="168"/>
      <w:bookmarkEnd w:id="169"/>
      <w:bookmarkEnd w:id="170"/>
      <w:bookmarkEnd w:id="171"/>
    </w:p>
    <w:p>
      <w:pPr>
        <w:pageBreakBefore w:val="0"/>
        <w:numPr>
          <w:ilvl w:val="0"/>
          <w:numId w:val="14"/>
        </w:numPr>
        <w:tabs>
          <w:tab w:val="left" w:pos="425"/>
        </w:tabs>
        <w:kinsoku/>
        <w:topLinePunct w:val="0"/>
        <w:bidi w:val="0"/>
        <w:snapToGrid/>
        <w:spacing w:line="500" w:lineRule="auto"/>
        <w:ind w:left="425" w:hanging="425" w:leftChars="0" w:firstLineChars="0"/>
        <w:outlineLvl w:val="2"/>
        <w:rPr>
          <w:rFonts w:ascii="黑体" w:eastAsia="黑体" w:hAnsi="黑体" w:cs="黑体" w:hint="eastAsia"/>
          <w:b w:val="0"/>
          <w:bCs/>
          <w:sz w:val="24"/>
        </w:rPr>
      </w:pPr>
      <w:r>
        <w:rPr>
          <w:rFonts w:ascii="黑体" w:eastAsia="黑体" w:hAnsi="黑体" w:cs="黑体" w:hint="eastAsia"/>
          <w:b w:val="0"/>
          <w:bCs/>
          <w:sz w:val="24"/>
          <w:lang w:val="en-US" w:eastAsia="zh-CN"/>
        </w:rPr>
        <w:t xml:space="preserve"> </w:t>
      </w:r>
      <w:bookmarkStart w:id="172" w:name="_Toc7960"/>
      <w:r>
        <w:rPr>
          <w:rFonts w:ascii="黑体" w:eastAsia="黑体" w:hAnsi="黑体" w:cs="黑体" w:hint="eastAsia"/>
          <w:b w:val="0"/>
          <w:bCs/>
          <w:sz w:val="24"/>
        </w:rPr>
        <w:t>掘进流程与操作控制</w:t>
      </w:r>
      <w:bookmarkEnd w:id="172"/>
    </w:p>
    <w:p>
      <w:pPr>
        <w:pageBreakBefore w:val="0"/>
        <w:kinsoku/>
        <w:topLinePunct w:val="0"/>
        <w:bidi w:val="0"/>
        <w:snapToGrid/>
        <w:spacing w:line="500" w:lineRule="auto"/>
        <w:ind w:firstLine="480" w:firstLineChars="200"/>
        <w:rPr>
          <w:color w:val="000000"/>
          <w:sz w:val="24"/>
        </w:rPr>
      </w:pPr>
      <w:r>
        <w:rPr>
          <w:rFonts w:hint="eastAsia"/>
          <w:color w:val="000000"/>
          <w:sz w:val="24"/>
          <w:lang w:val="en-US" w:eastAsia="zh-CN"/>
        </w:rPr>
        <w:t>TBM</w:t>
      </w:r>
      <w:r>
        <w:rPr>
          <w:color w:val="000000"/>
          <w:sz w:val="24"/>
        </w:rPr>
        <w:t>掘进作业工序流程参见图</w:t>
      </w:r>
      <w:r>
        <w:rPr>
          <w:rFonts w:hint="eastAsia"/>
          <w:color w:val="000000"/>
          <w:sz w:val="24"/>
          <w:lang w:val="en-US" w:eastAsia="zh-CN"/>
        </w:rPr>
        <w:t>4-1-1</w:t>
      </w:r>
      <w:r>
        <w:rPr>
          <w:color w:val="000000"/>
          <w:sz w:val="24"/>
        </w:rPr>
        <w:t>。</w:t>
      </w:r>
    </w:p>
    <w:p>
      <w:pPr>
        <w:pageBreakBefore w:val="0"/>
        <w:kinsoku/>
        <w:topLinePunct w:val="0"/>
        <w:bidi w:val="0"/>
        <w:snapToGrid/>
        <w:spacing w:line="360" w:lineRule="auto"/>
        <w:ind w:left="0" w:firstLine="0" w:leftChars="0" w:firstLineChars="0"/>
        <w:jc w:val="center"/>
        <w:rPr>
          <w:b/>
          <w:bCs/>
        </w:rPr>
      </w:pPr>
      <w:r>
        <w:rPr>
          <w:b/>
          <w:bCs/>
        </w:rPr>
        <w:object>
          <v:shape id="图片 11" o:spid="_x0000_i1034" type="#_x0000_t75" style="width:392.45pt;height:426.45pt;mso-position-horizontal-relative:page;mso-position-vertical-relative:page;mso-wrap-style:square" o:oleicon="f" o:ole="" filled="f" stroked="f">
            <v:imagedata r:id="rId13" o:title=""/>
            <v:path o:extrusionok="f"/>
            <o:lock v:ext="edit" aspectratio="f"/>
          </v:shape>
          <o:OLEObject Type="Embed" ProgID="Visio.Drawing.11" ShapeID="图片 11" DrawAspect="Content" ObjectID="_1234567890" r:id="rId14"/>
        </w:object>
      </w:r>
    </w:p>
    <w:p>
      <w:pPr>
        <w:pageBreakBefore w:val="0"/>
        <w:kinsoku/>
        <w:topLinePunct w:val="0"/>
        <w:bidi w:val="0"/>
        <w:snapToGrid/>
        <w:spacing w:line="500" w:lineRule="auto"/>
        <w:ind w:left="0" w:firstLine="0" w:leftChars="0" w:firstLineChars="0"/>
        <w:jc w:val="center"/>
        <w:rPr>
          <w:rFonts w:ascii="宋体" w:eastAsia="宋体" w:hAnsi="宋体" w:cs="宋体" w:hint="eastAsia"/>
          <w:b/>
          <w:bCs/>
          <w:sz w:val="24"/>
        </w:rPr>
      </w:pPr>
      <w:r>
        <w:rPr>
          <w:rFonts w:ascii="宋体" w:eastAsia="宋体" w:hAnsi="宋体" w:cs="宋体" w:hint="eastAsia"/>
          <w:b/>
          <w:bCs/>
          <w:sz w:val="24"/>
          <w:szCs w:val="24"/>
          <w:lang w:eastAsia="zh-CN"/>
        </w:rPr>
        <w:t>图</w:t>
      </w:r>
      <w:r>
        <w:rPr>
          <w:rFonts w:ascii="宋体" w:eastAsia="宋体" w:hAnsi="宋体" w:cs="宋体" w:hint="eastAsia"/>
          <w:b/>
          <w:bCs/>
          <w:sz w:val="24"/>
          <w:szCs w:val="24"/>
          <w:lang w:val="en-US" w:eastAsia="zh-CN"/>
        </w:rPr>
        <w:t>4-1-1   TBM</w:t>
      </w:r>
      <w:r>
        <w:rPr>
          <w:b/>
          <w:bCs/>
          <w:color w:val="000000"/>
          <w:sz w:val="24"/>
        </w:rPr>
        <w:t>掘进作业工序流程</w:t>
      </w:r>
      <w:r>
        <w:rPr>
          <w:rFonts w:ascii="宋体" w:eastAsia="宋体" w:hAnsi="宋体" w:cs="宋体" w:hint="eastAsia"/>
          <w:b/>
          <w:bCs/>
          <w:sz w:val="24"/>
          <w:szCs w:val="24"/>
          <w:lang w:val="en-US" w:eastAsia="zh-CN"/>
        </w:rPr>
        <w:t>图</w:t>
      </w:r>
    </w:p>
    <w:p>
      <w:pPr>
        <w:pageBreakBefore w:val="0"/>
        <w:kinsoku/>
        <w:topLinePunct w:val="0"/>
        <w:bidi w:val="0"/>
        <w:adjustRightInd w:val="0"/>
        <w:snapToGrid/>
        <w:spacing w:line="500" w:lineRule="auto"/>
        <w:ind w:firstLine="480" w:firstLineChars="200"/>
        <w:rPr>
          <w:color w:val="000000"/>
          <w:sz w:val="24"/>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23"/>
          <w:cols w:space="708"/>
          <w:titlePg w:val="0"/>
          <w:docGrid w:type="lines" w:linePitch="312"/>
        </w:sectPr>
      </w:pPr>
      <w:r>
        <w:rPr>
          <w:color w:val="000000"/>
          <w:sz w:val="24"/>
        </w:rPr>
        <w:t>操作控制程序见图</w:t>
      </w:r>
      <w:r>
        <w:rPr>
          <w:rFonts w:hint="eastAsia"/>
          <w:color w:val="000000"/>
          <w:sz w:val="24"/>
          <w:lang w:val="en-US" w:eastAsia="zh-CN"/>
        </w:rPr>
        <w:t>4-1-2</w:t>
      </w:r>
      <w:r>
        <w:rPr>
          <w:color w:val="000000"/>
          <w:sz w:val="24"/>
        </w:rPr>
        <w:t>。</w:t>
      </w:r>
    </w:p>
    <w:p>
      <w:pPr>
        <w:pageBreakBefore w:val="0"/>
        <w:kinsoku/>
        <w:topLinePunct w:val="0"/>
        <w:bidi w:val="0"/>
        <w:adjustRightInd w:val="0"/>
        <w:snapToGrid/>
        <w:spacing w:line="360" w:lineRule="auto"/>
        <w:ind w:firstLine="480" w:firstLineChars="200"/>
        <w:jc w:val="center"/>
        <w:rPr>
          <w:color w:val="000000"/>
          <w:sz w:val="24"/>
        </w:rPr>
      </w:pPr>
      <w:r>
        <w:rPr>
          <w:color w:val="000000"/>
          <w:sz w:val="24"/>
        </w:rPr>
        <w:object>
          <v:shape id="图片 5328" o:spid="_x0000_i1035" type="#_x0000_t75" style="width:325.4pt;height:410.5pt;mso-position-horizontal-relative:page;mso-position-vertical-relative:page;mso-wrap-style:square" o:oleicon="f" o:ole="" filled="f" stroked="f">
            <v:imagedata r:id="rId15" o:title=""/>
            <v:path o:extrusionok="f"/>
            <o:lock v:ext="edit" aspectratio="f"/>
          </v:shape>
          <o:OLEObject Type="Embed" ProgID="Visio.Drawing.11" ShapeID="图片 5328" DrawAspect="Content" ObjectID="_1234567891" r:id="rId16"/>
        </w:object>
      </w:r>
    </w:p>
    <w:p>
      <w:pPr>
        <w:pageBreakBefore w:val="0"/>
        <w:kinsoku/>
        <w:topLinePunct w:val="0"/>
        <w:bidi w:val="0"/>
        <w:adjustRightInd w:val="0"/>
        <w:snapToGrid/>
        <w:spacing w:line="500" w:lineRule="auto"/>
        <w:ind w:firstLine="480" w:firstLineChars="200"/>
        <w:jc w:val="center"/>
        <w:rPr>
          <w:color w:val="000000"/>
          <w:sz w:val="24"/>
        </w:rPr>
      </w:pPr>
      <w:r>
        <w:rPr>
          <w:rFonts w:ascii="宋体" w:eastAsia="宋体" w:hAnsi="宋体" w:cs="宋体" w:hint="eastAsia"/>
          <w:b/>
          <w:bCs/>
          <w:sz w:val="24"/>
          <w:szCs w:val="24"/>
          <w:lang w:eastAsia="zh-CN"/>
        </w:rPr>
        <w:t>图</w:t>
      </w:r>
      <w:r>
        <w:rPr>
          <w:rFonts w:ascii="宋体" w:eastAsia="宋体" w:hAnsi="宋体" w:cs="宋体" w:hint="eastAsia"/>
          <w:b/>
          <w:bCs/>
          <w:sz w:val="24"/>
          <w:szCs w:val="24"/>
          <w:lang w:val="en-US" w:eastAsia="zh-CN"/>
        </w:rPr>
        <w:t xml:space="preserve">4-1-2   </w:t>
      </w:r>
      <w:r>
        <w:rPr>
          <w:b/>
          <w:bCs/>
          <w:color w:val="000000"/>
          <w:sz w:val="24"/>
        </w:rPr>
        <w:t>操作控制</w:t>
      </w:r>
      <w:r>
        <w:rPr>
          <w:rFonts w:hint="eastAsia"/>
          <w:b/>
          <w:bCs/>
          <w:color w:val="000000"/>
          <w:sz w:val="24"/>
          <w:lang w:eastAsia="zh-CN"/>
        </w:rPr>
        <w:t>程序</w:t>
      </w:r>
      <w:r>
        <w:rPr>
          <w:rFonts w:ascii="宋体" w:eastAsia="宋体" w:hAnsi="宋体" w:cs="宋体" w:hint="eastAsia"/>
          <w:b/>
          <w:bCs/>
          <w:sz w:val="24"/>
          <w:szCs w:val="24"/>
          <w:lang w:val="en-US" w:eastAsia="zh-CN"/>
        </w:rPr>
        <w:t>图</w:t>
      </w:r>
    </w:p>
    <w:p>
      <w:pPr>
        <w:pageBreakBefore w:val="0"/>
        <w:numPr>
          <w:ilvl w:val="0"/>
          <w:numId w:val="14"/>
        </w:numPr>
        <w:tabs>
          <w:tab w:val="left" w:pos="425"/>
        </w:tabs>
        <w:kinsoku/>
        <w:topLinePunct w:val="0"/>
        <w:bidi w:val="0"/>
        <w:snapToGrid/>
        <w:spacing w:line="500" w:lineRule="auto"/>
        <w:ind w:left="425" w:hanging="425" w:leftChars="0" w:firstLineChars="0"/>
        <w:outlineLvl w:val="2"/>
        <w:rPr>
          <w:rFonts w:ascii="黑体" w:eastAsia="黑体" w:hAnsi="黑体" w:cs="黑体" w:hint="eastAsia"/>
          <w:b w:val="0"/>
          <w:bCs/>
          <w:sz w:val="24"/>
        </w:rPr>
      </w:pPr>
      <w:r>
        <w:rPr>
          <w:rFonts w:ascii="黑体" w:eastAsia="黑体" w:hAnsi="黑体" w:cs="黑体" w:hint="eastAsia"/>
          <w:b w:val="0"/>
          <w:bCs/>
          <w:sz w:val="24"/>
          <w:lang w:val="en-US" w:eastAsia="zh-CN"/>
        </w:rPr>
        <w:t xml:space="preserve"> </w:t>
      </w:r>
      <w:bookmarkStart w:id="173" w:name="_Toc11872"/>
      <w:r>
        <w:rPr>
          <w:rFonts w:ascii="黑体" w:eastAsia="黑体" w:hAnsi="黑体" w:cs="黑体" w:hint="eastAsia"/>
          <w:b w:val="0"/>
          <w:bCs/>
          <w:sz w:val="24"/>
          <w:lang w:val="en-US" w:eastAsia="zh-CN"/>
        </w:rPr>
        <w:t>掘进管理</w:t>
      </w:r>
      <w:bookmarkEnd w:id="173"/>
    </w:p>
    <w:p>
      <w:pPr>
        <w:pStyle w:val="21"/>
        <w:pageBreakBefore w:val="0"/>
        <w:numPr>
          <w:ilvl w:val="0"/>
          <w:numId w:val="15"/>
        </w:numPr>
        <w:tabs>
          <w:tab w:val="left" w:pos="0"/>
          <w:tab w:val="left" w:pos="425"/>
        </w:tabs>
        <w:kinsoku/>
        <w:topLinePunct w:val="0"/>
        <w:bidi w:val="0"/>
        <w:snapToGrid/>
        <w:spacing w:line="500" w:lineRule="auto"/>
        <w:ind w:left="425" w:hanging="425" w:leftChars="0" w:firstLineChars="0"/>
        <w:rPr>
          <w:rFonts w:ascii="Times New Roman" w:hAnsi="Times New Roman"/>
          <w:b w:val="0"/>
          <w:bCs w:val="0"/>
        </w:rPr>
      </w:pPr>
      <w:bookmarkStart w:id="174" w:name="_Toc161543903"/>
      <w:r>
        <w:rPr>
          <w:rFonts w:ascii="Times New Roman" w:hAnsi="Times New Roman" w:hint="eastAsia"/>
          <w:b w:val="0"/>
          <w:bCs w:val="0"/>
          <w:lang w:val="en-US" w:eastAsia="zh-CN"/>
        </w:rPr>
        <w:t xml:space="preserve"> </w:t>
      </w:r>
      <w:r>
        <w:rPr>
          <w:rFonts w:ascii="Times New Roman" w:hAnsi="Times New Roman"/>
          <w:b w:val="0"/>
          <w:bCs w:val="0"/>
        </w:rPr>
        <w:t>开挖管理</w:t>
      </w:r>
      <w:bookmarkEnd w:id="174"/>
    </w:p>
    <w:p>
      <w:pPr>
        <w:pageBreakBefore w:val="0"/>
        <w:kinsoku/>
        <w:topLinePunct w:val="0"/>
        <w:bidi w:val="0"/>
        <w:snapToGrid/>
        <w:spacing w:line="500" w:lineRule="auto"/>
        <w:ind w:firstLine="480" w:firstLineChars="200"/>
        <w:rPr>
          <w:sz w:val="24"/>
        </w:rPr>
      </w:pPr>
      <w:r>
        <w:rPr>
          <w:sz w:val="24"/>
        </w:rPr>
        <w:t>在掘进中，为了减少</w:t>
      </w:r>
      <w:r>
        <w:rPr>
          <w:rFonts w:hint="eastAsia"/>
          <w:sz w:val="24"/>
          <w:lang w:val="en-US" w:eastAsia="zh-CN"/>
        </w:rPr>
        <w:t>TBM</w:t>
      </w:r>
      <w:r>
        <w:rPr>
          <w:sz w:val="24"/>
        </w:rPr>
        <w:t>掘进对地面的扰动，需要对出碴量进行监控。根据出碴量的监控，可以对掘进状态和掘进预测进行管理。但出碴不是一个单独的数据，与之相关的因素很多，涉及</w:t>
      </w:r>
      <w:r>
        <w:rPr>
          <w:rFonts w:hint="eastAsia"/>
          <w:sz w:val="24"/>
          <w:lang w:eastAsia="zh-CN"/>
        </w:rPr>
        <w:t>土仓</w:t>
      </w:r>
      <w:r>
        <w:rPr>
          <w:sz w:val="24"/>
        </w:rPr>
        <w:t>压力的设定、掘进速度的选取、地质情况、测量仪器的精确度等。在出碴失衡时，需要对相应的因素进行调整，以获得最佳的掘进模式。</w:t>
      </w:r>
    </w:p>
    <w:p>
      <w:pPr>
        <w:pStyle w:val="21"/>
        <w:pageBreakBefore w:val="0"/>
        <w:numPr>
          <w:ilvl w:val="0"/>
          <w:numId w:val="15"/>
        </w:numPr>
        <w:tabs>
          <w:tab w:val="left" w:pos="0"/>
          <w:tab w:val="left" w:pos="425"/>
        </w:tabs>
        <w:kinsoku/>
        <w:topLinePunct w:val="0"/>
        <w:bidi w:val="0"/>
        <w:snapToGrid/>
        <w:spacing w:line="500" w:lineRule="auto"/>
        <w:ind w:left="425" w:hanging="425" w:leftChars="0" w:firstLineChars="0"/>
        <w:rPr>
          <w:rFonts w:ascii="Times New Roman" w:hAnsi="Times New Roman" w:hint="eastAsia"/>
          <w:b w:val="0"/>
          <w:bCs w:val="0"/>
          <w:lang w:val="en-US" w:eastAsia="zh-CN"/>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24"/>
          <w:cols w:space="708"/>
          <w:titlePg w:val="0"/>
          <w:docGrid w:type="lines" w:linePitch="312"/>
        </w:sectPr>
      </w:pPr>
      <w:r>
        <w:rPr>
          <w:rFonts w:ascii="Times New Roman" w:hAnsi="Times New Roman" w:hint="eastAsia"/>
          <w:b w:val="0"/>
          <w:bCs w:val="0"/>
          <w:lang w:val="en-US" w:eastAsia="zh-CN"/>
        </w:rPr>
        <w:t xml:space="preserve"> 掘进参数管理</w:t>
      </w:r>
    </w:p>
    <w:p>
      <w:pPr>
        <w:keepNext w:val="0"/>
        <w:keepLines w:val="0"/>
        <w:pageBreakBefore w:val="0"/>
        <w:widowControl w:val="0"/>
        <w:numPr>
          <w:ilvl w:val="0"/>
          <w:numId w:val="16"/>
        </w:numPr>
        <w:tabs>
          <w:tab w:val="clear" w:pos="425"/>
        </w:tabs>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sz w:val="24"/>
        </w:rPr>
      </w:pPr>
      <w:r>
        <w:rPr>
          <w:sz w:val="24"/>
        </w:rPr>
        <w:t>掘进参数设定</w:t>
      </w:r>
    </w:p>
    <w:p>
      <w:pPr>
        <w:pStyle w:val="a0"/>
        <w:keepNext w:val="0"/>
        <w:keepLines w:val="0"/>
        <w:pageBreakBefore w:val="0"/>
        <w:widowControl w:val="0"/>
        <w:kinsoku/>
        <w:wordWrap/>
        <w:topLinePunct w:val="0"/>
        <w:bidi w:val="0"/>
        <w:snapToGrid/>
        <w:spacing w:before="0" w:after="0" w:line="500" w:lineRule="auto"/>
        <w:ind w:left="0" w:right="0" w:firstLine="480" w:leftChars="0" w:rightChars="0" w:firstLineChars="200"/>
        <w:jc w:val="both"/>
        <w:outlineLvl w:val="9"/>
        <w:rPr>
          <w:rFonts w:cs="宋体" w:hint="eastAsia"/>
          <w:sz w:val="24"/>
        </w:rPr>
      </w:pPr>
      <w:r>
        <w:rPr>
          <w:rFonts w:cs="宋体" w:hint="eastAsia"/>
          <w:sz w:val="24"/>
        </w:rPr>
        <w:t>在</w:t>
      </w:r>
      <w:r>
        <w:rPr>
          <w:rFonts w:cs="宋体" w:hint="eastAsia"/>
          <w:sz w:val="24"/>
          <w:lang w:eastAsia="zh-CN"/>
        </w:rPr>
        <w:t>砂</w:t>
      </w:r>
      <w:r>
        <w:rPr>
          <w:rFonts w:cs="宋体" w:hint="eastAsia"/>
          <w:sz w:val="24"/>
        </w:rPr>
        <w:t>岩或砂质泥岩中采用平衡模式掘进，按高转速、低扭矩原则选取参数，提高掘进效率。但在裂隙较为发育的岩层及岩层交界处掘进时，应适当减少转速和推动速度，以防刀盘因扭矩发生较大波动而卡在围岩当中。具体掘进控制参数如下：</w:t>
      </w:r>
    </w:p>
    <w:p>
      <w:pPr>
        <w:pStyle w:val="a0"/>
        <w:keepNext w:val="0"/>
        <w:keepLines w:val="0"/>
        <w:pageBreakBefore w:val="0"/>
        <w:widowControl w:val="0"/>
        <w:numPr>
          <w:ilvl w:val="0"/>
          <w:numId w:val="17"/>
        </w:numPr>
        <w:kinsoku/>
        <w:wordWrap/>
        <w:topLinePunct w:val="0"/>
        <w:bidi w:val="0"/>
        <w:snapToGrid/>
        <w:spacing w:before="0" w:after="0" w:line="500" w:lineRule="auto"/>
        <w:ind w:left="0" w:right="0" w:firstLine="480" w:leftChars="0" w:rightChars="0" w:firstLineChars="200"/>
        <w:outlineLvl w:val="9"/>
        <w:rPr>
          <w:rFonts w:cs="宋体" w:hint="eastAsia"/>
          <w:sz w:val="24"/>
        </w:rPr>
      </w:pPr>
      <w:r>
        <w:rPr>
          <w:rFonts w:cs="宋体" w:hint="eastAsia"/>
          <w:sz w:val="24"/>
        </w:rPr>
        <w:t xml:space="preserve">  总推力：9000～12023kN；</w:t>
      </w:r>
    </w:p>
    <w:p>
      <w:pPr>
        <w:pStyle w:val="a0"/>
        <w:keepNext w:val="0"/>
        <w:keepLines w:val="0"/>
        <w:pageBreakBefore w:val="0"/>
        <w:widowControl w:val="0"/>
        <w:numPr>
          <w:ilvl w:val="0"/>
          <w:numId w:val="17"/>
        </w:numPr>
        <w:kinsoku/>
        <w:wordWrap/>
        <w:topLinePunct w:val="0"/>
        <w:bidi w:val="0"/>
        <w:snapToGrid/>
        <w:spacing w:before="0" w:after="0" w:line="500" w:lineRule="auto"/>
        <w:ind w:left="0" w:right="0" w:firstLine="480" w:leftChars="0" w:rightChars="0" w:firstLineChars="200"/>
        <w:outlineLvl w:val="9"/>
        <w:rPr>
          <w:rFonts w:cs="宋体" w:hint="eastAsia"/>
          <w:sz w:val="24"/>
        </w:rPr>
      </w:pPr>
      <w:r>
        <w:rPr>
          <w:rFonts w:cs="宋体" w:hint="eastAsia"/>
          <w:sz w:val="24"/>
          <w:lang w:val="en-US" w:eastAsia="zh-CN"/>
        </w:rPr>
        <w:t xml:space="preserve">  </w:t>
      </w:r>
      <w:r>
        <w:rPr>
          <w:rFonts w:cs="宋体" w:hint="eastAsia"/>
          <w:sz w:val="24"/>
        </w:rPr>
        <w:t>推动速度：3～5cm/min；</w:t>
      </w:r>
    </w:p>
    <w:p>
      <w:pPr>
        <w:pStyle w:val="a0"/>
        <w:keepNext w:val="0"/>
        <w:keepLines w:val="0"/>
        <w:pageBreakBefore w:val="0"/>
        <w:widowControl w:val="0"/>
        <w:numPr>
          <w:ilvl w:val="0"/>
          <w:numId w:val="17"/>
        </w:numPr>
        <w:kinsoku/>
        <w:wordWrap/>
        <w:topLinePunct w:val="0"/>
        <w:bidi w:val="0"/>
        <w:snapToGrid/>
        <w:spacing w:before="0" w:after="0" w:line="500" w:lineRule="auto"/>
        <w:ind w:left="0" w:right="0" w:firstLine="480" w:leftChars="0" w:rightChars="0" w:firstLineChars="200"/>
        <w:outlineLvl w:val="9"/>
        <w:rPr>
          <w:rFonts w:cs="宋体" w:hint="eastAsia"/>
          <w:sz w:val="24"/>
        </w:rPr>
      </w:pPr>
      <w:r>
        <w:rPr>
          <w:rFonts w:cs="宋体" w:hint="eastAsia"/>
          <w:sz w:val="24"/>
        </w:rPr>
        <w:t xml:space="preserve">  刀盘转速：1.5～1.7rpm，裂隙发育时为1.2rpm；</w:t>
      </w:r>
    </w:p>
    <w:p>
      <w:pPr>
        <w:pStyle w:val="a0"/>
        <w:keepNext w:val="0"/>
        <w:keepLines w:val="0"/>
        <w:pageBreakBefore w:val="0"/>
        <w:widowControl w:val="0"/>
        <w:numPr>
          <w:ilvl w:val="0"/>
          <w:numId w:val="17"/>
        </w:numPr>
        <w:kinsoku/>
        <w:wordWrap/>
        <w:topLinePunct w:val="0"/>
        <w:bidi w:val="0"/>
        <w:snapToGrid/>
        <w:spacing w:before="0" w:after="0" w:line="500" w:lineRule="auto"/>
        <w:ind w:left="0" w:right="0" w:firstLine="480" w:leftChars="0" w:rightChars="0" w:firstLineChars="200"/>
        <w:outlineLvl w:val="9"/>
        <w:rPr>
          <w:rFonts w:cs="宋体" w:hint="eastAsia"/>
          <w:sz w:val="24"/>
        </w:rPr>
      </w:pPr>
      <w:r>
        <w:rPr>
          <w:rFonts w:cs="宋体" w:hint="eastAsia"/>
          <w:sz w:val="24"/>
          <w:lang w:val="en-US" w:eastAsia="zh-CN"/>
        </w:rPr>
        <w:t xml:space="preserve">  </w:t>
      </w:r>
      <w:r>
        <w:rPr>
          <w:rFonts w:cs="宋体" w:hint="eastAsia"/>
          <w:sz w:val="24"/>
        </w:rPr>
        <w:t>刀盘扭矩：2100～4000kN</w:t>
      </w:r>
      <w:r>
        <w:rPr>
          <w:rFonts w:cs="宋体" w:hint="eastAsia"/>
          <w:sz w:val="24"/>
        </w:rPr>
        <w:t>·</w:t>
      </w:r>
      <w:r>
        <w:rPr>
          <w:rFonts w:cs="宋体" w:hint="eastAsia"/>
          <w:sz w:val="24"/>
        </w:rPr>
        <w:t>m，扭矩波动控制在100kN</w:t>
      </w:r>
      <w:r>
        <w:rPr>
          <w:rFonts w:cs="宋体" w:hint="eastAsia"/>
          <w:sz w:val="24"/>
        </w:rPr>
        <w:t>·</w:t>
      </w:r>
      <w:r>
        <w:rPr>
          <w:rFonts w:cs="宋体" w:hint="eastAsia"/>
          <w:sz w:val="24"/>
        </w:rPr>
        <w:t>m以内。</w:t>
      </w:r>
    </w:p>
    <w:p>
      <w:pPr>
        <w:keepNext w:val="0"/>
        <w:keepLines w:val="0"/>
        <w:pageBreakBefore w:val="0"/>
        <w:widowControl w:val="0"/>
        <w:numPr>
          <w:ilvl w:val="0"/>
          <w:numId w:val="16"/>
        </w:numPr>
        <w:tabs>
          <w:tab w:val="clear" w:pos="425"/>
        </w:tabs>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sz w:val="24"/>
        </w:rPr>
      </w:pPr>
      <w:r>
        <w:rPr>
          <w:rFonts w:hint="eastAsia"/>
          <w:sz w:val="24"/>
        </w:rPr>
        <w:t>土压力设定</w:t>
      </w:r>
    </w:p>
    <w:p>
      <w:pPr>
        <w:keepNext w:val="0"/>
        <w:keepLines w:val="0"/>
        <w:pageBreakBefore w:val="0"/>
        <w:widowControl w:val="0"/>
        <w:kinsoku/>
        <w:wordWrap/>
        <w:topLinePunct w:val="0"/>
        <w:bidi w:val="0"/>
        <w:snapToGrid/>
        <w:spacing w:line="500" w:lineRule="auto"/>
        <w:ind w:left="0" w:right="0" w:firstLine="480" w:leftChars="0" w:rightChars="0" w:firstLineChars="200"/>
        <w:outlineLvl w:val="9"/>
        <w:rPr>
          <w:rFonts w:ascii="Times New Roman" w:hAnsi="Times New Roman"/>
          <w:sz w:val="24"/>
        </w:rPr>
      </w:pPr>
      <w:r>
        <w:rPr>
          <w:rFonts w:ascii="Times New Roman" w:hAnsi="Times New Roman"/>
          <w:sz w:val="24"/>
        </w:rPr>
        <w:t>土仓压力控制是保证掌子面稳定的关键，制定合理的土仓压力满足匀速、平稳掘进是能完全实现的。土仓压力通过采用设定掘进速度、调整排土量或设定排土量、调整掘进速度两种方法建立，维持切削土量与排土量的平衡，以使土仓内的压力稳定平衡。盾构在掘进过程中据此取得平衡压力的设定值，具体施工时根据盾构所在位置的埋深、土层状况及地表监测结果进行调整。</w:t>
      </w:r>
    </w:p>
    <w:p>
      <w:pPr>
        <w:keepNext w:val="0"/>
        <w:keepLines w:val="0"/>
        <w:pageBreakBefore w:val="0"/>
        <w:widowControl w:val="0"/>
        <w:kinsoku/>
        <w:wordWrap/>
        <w:topLinePunct w:val="0"/>
        <w:autoSpaceDE w:val="0"/>
        <w:autoSpaceDN w:val="0"/>
        <w:bidi w:val="0"/>
        <w:adjustRightInd w:val="0"/>
        <w:snapToGrid/>
        <w:spacing w:line="500" w:lineRule="auto"/>
        <w:ind w:left="0" w:right="0" w:firstLine="480" w:leftChars="0" w:rightChars="0" w:firstLineChars="200"/>
        <w:jc w:val="left"/>
        <w:outlineLvl w:val="9"/>
        <w:rPr>
          <w:rFonts w:ascii="Times New Roman" w:hAnsi="Times New Roman"/>
          <w:sz w:val="24"/>
        </w:rPr>
      </w:pPr>
      <w:r>
        <w:rPr>
          <w:rFonts w:ascii="Times New Roman" w:hAnsi="Times New Roman"/>
          <w:sz w:val="24"/>
        </w:rPr>
        <w:t>根据土体静压力公式：</w:t>
      </w:r>
    </w:p>
    <w:p>
      <w:pPr>
        <w:keepNext w:val="0"/>
        <w:keepLines w:val="0"/>
        <w:pageBreakBefore w:val="0"/>
        <w:widowControl w:val="0"/>
        <w:kinsoku/>
        <w:wordWrap/>
        <w:topLinePunct w:val="0"/>
        <w:autoSpaceDE w:val="0"/>
        <w:autoSpaceDN w:val="0"/>
        <w:bidi w:val="0"/>
        <w:adjustRightInd w:val="0"/>
        <w:snapToGrid/>
        <w:spacing w:line="500" w:lineRule="auto"/>
        <w:ind w:left="0" w:right="0" w:firstLine="480" w:leftChars="0" w:rightChars="0" w:firstLineChars="200"/>
        <w:jc w:val="left"/>
        <w:outlineLvl w:val="9"/>
        <w:rPr>
          <w:rFonts w:ascii="Times New Roman" w:hAnsi="Times New Roman"/>
          <w:sz w:val="24"/>
        </w:rPr>
      </w:pPr>
      <w:r>
        <w:rPr>
          <w:rFonts w:ascii="Times New Roman" w:hAnsi="Times New Roman"/>
          <w:position w:val="-12"/>
          <w:sz w:val="24"/>
          <w:szCs w:val="24"/>
        </w:rPr>
        <w:object>
          <v:shape id="Picture 27" o:spid="_x0000_i1036" type="#_x0000_t75" style="width:353.7pt;height:17.9pt;mso-position-horizontal-relative:page;mso-position-vertical-relative:page;mso-wrap-style:square" o:oleicon="f" o:ole="" o:preferrelative="t" filled="f" stroked="f">
            <v:imagedata r:id="rId17" o:title=""/>
            <v:path o:extrusionok="f"/>
            <o:lock v:ext="edit" aspectratio="t"/>
          </v:shape>
          <o:OLEObject Type="Embed" ProgID="Equation.3" ShapeID="Picture 27" DrawAspect="Content" ObjectID="_1234567892" r:id="rId18"/>
        </w:object>
      </w:r>
      <w:r>
        <w:rPr>
          <w:rFonts w:ascii="Times New Roman" w:hAnsi="Times New Roman"/>
          <w:sz w:val="24"/>
          <w:szCs w:val="24"/>
        </w:rPr>
        <w:t xml:space="preserve">   ——</w:t>
      </w:r>
      <w:r>
        <w:rPr>
          <w:rFonts w:ascii="Times New Roman" w:hAnsi="Times New Roman" w:hint="eastAsia"/>
          <w:sz w:val="24"/>
          <w:szCs w:val="24"/>
        </w:rPr>
        <w:t xml:space="preserve"> </w:t>
      </w:r>
      <w:r>
        <w:rPr>
          <w:rFonts w:ascii="Times New Roman" w:hAnsi="Times New Roman"/>
          <w:sz w:val="24"/>
          <w:szCs w:val="24"/>
        </w:rPr>
        <w:t>公式1</w:t>
      </w:r>
    </w:p>
    <w:p>
      <w:pPr>
        <w:keepNext w:val="0"/>
        <w:keepLines w:val="0"/>
        <w:pageBreakBefore w:val="0"/>
        <w:widowControl w:val="0"/>
        <w:kinsoku/>
        <w:wordWrap/>
        <w:topLinePunct w:val="0"/>
        <w:autoSpaceDE w:val="0"/>
        <w:autoSpaceDN w:val="0"/>
        <w:bidi w:val="0"/>
        <w:adjustRightInd w:val="0"/>
        <w:snapToGrid/>
        <w:spacing w:line="500" w:lineRule="auto"/>
        <w:ind w:left="0" w:right="0" w:firstLine="480" w:leftChars="0" w:rightChars="0" w:firstLineChars="200"/>
        <w:jc w:val="left"/>
        <w:outlineLvl w:val="9"/>
        <w:rPr>
          <w:rFonts w:ascii="Times New Roman" w:hAnsi="Times New Roman"/>
          <w:sz w:val="24"/>
        </w:rPr>
      </w:pPr>
      <w:r>
        <w:rPr>
          <w:rFonts w:ascii="Times New Roman" w:hAnsi="Times New Roman"/>
          <w:sz w:val="24"/>
          <w:szCs w:val="24"/>
        </w:rPr>
        <w:t>式中——</w:t>
      </w:r>
    </w:p>
    <w:p>
      <w:pPr>
        <w:keepNext w:val="0"/>
        <w:keepLines w:val="0"/>
        <w:pageBreakBefore w:val="0"/>
        <w:widowControl w:val="0"/>
        <w:kinsoku/>
        <w:wordWrap/>
        <w:topLinePunct w:val="0"/>
        <w:autoSpaceDE w:val="0"/>
        <w:autoSpaceDN w:val="0"/>
        <w:bidi w:val="0"/>
        <w:adjustRightInd w:val="0"/>
        <w:snapToGrid/>
        <w:spacing w:line="500" w:lineRule="auto"/>
        <w:ind w:left="0" w:right="0" w:firstLine="480" w:leftChars="0" w:rightChars="0" w:firstLineChars="200"/>
        <w:jc w:val="left"/>
        <w:outlineLvl w:val="9"/>
        <w:rPr>
          <w:rFonts w:ascii="Times New Roman" w:hAnsi="Times New Roman"/>
          <w:sz w:val="24"/>
        </w:rPr>
      </w:pPr>
      <w:r>
        <w:rPr>
          <w:rFonts w:ascii="Times New Roman" w:hAnsi="Times New Roman"/>
          <w:sz w:val="24"/>
          <w:szCs w:val="24"/>
        </w:rPr>
        <w:t xml:space="preserve">        </w:t>
      </w:r>
      <w:r>
        <w:rPr>
          <w:rFonts w:ascii="Times New Roman" w:hAnsi="Times New Roman"/>
          <w:position w:val="-12"/>
          <w:sz w:val="24"/>
          <w:szCs w:val="24"/>
        </w:rPr>
        <w:object>
          <v:shape id="Picture 28" o:spid="_x0000_i1037" type="#_x0000_t75" style="width:181.45pt;height:17.95pt;mso-position-horizontal-relative:page;mso-position-vertical-relative:page;mso-wrap-style:square" o:oleicon="f" o:ole="" o:preferrelative="t" filled="f" stroked="f">
            <v:imagedata r:id="rId19" o:title=""/>
            <v:path o:extrusionok="f"/>
            <o:lock v:ext="edit" aspectratio="t"/>
          </v:shape>
          <o:OLEObject Type="Embed" ProgID="Equation.3" ShapeID="Picture 28" DrawAspect="Content" ObjectID="_1234567893" r:id="rId20"/>
        </w:object>
      </w:r>
    </w:p>
    <w:p>
      <w:pPr>
        <w:keepNext w:val="0"/>
        <w:keepLines w:val="0"/>
        <w:pageBreakBefore w:val="0"/>
        <w:widowControl w:val="0"/>
        <w:kinsoku/>
        <w:wordWrap/>
        <w:topLinePunct w:val="0"/>
        <w:autoSpaceDE w:val="0"/>
        <w:autoSpaceDN w:val="0"/>
        <w:bidi w:val="0"/>
        <w:adjustRightInd w:val="0"/>
        <w:snapToGrid/>
        <w:spacing w:line="500" w:lineRule="auto"/>
        <w:ind w:left="0" w:right="0" w:firstLine="480" w:leftChars="0" w:rightChars="0" w:firstLineChars="200"/>
        <w:jc w:val="left"/>
        <w:outlineLvl w:val="9"/>
        <w:rPr>
          <w:rFonts w:ascii="Times New Roman" w:hAnsi="Times New Roman"/>
          <w:sz w:val="24"/>
        </w:rPr>
      </w:pPr>
      <w:r>
        <w:rPr>
          <w:rFonts w:ascii="Times New Roman" w:hAnsi="Times New Roman"/>
          <w:sz w:val="24"/>
          <w:szCs w:val="24"/>
        </w:rPr>
        <w:t xml:space="preserve">        </w:t>
      </w:r>
      <w:r>
        <w:rPr>
          <w:rFonts w:ascii="Times New Roman" w:hAnsi="Times New Roman"/>
          <w:position w:val="-10"/>
          <w:sz w:val="24"/>
          <w:szCs w:val="24"/>
        </w:rPr>
        <w:object>
          <v:shape id="Picture 29" o:spid="_x0000_i1038" type="#_x0000_t75" style="width:157.45pt;height:17pt;mso-position-horizontal-relative:page;mso-position-vertical-relative:page;mso-wrap-style:square" o:oleicon="f" o:ole="" o:preferrelative="t" filled="f" stroked="f">
            <v:imagedata r:id="rId21" o:title=""/>
            <v:path o:extrusionok="f"/>
            <o:lock v:ext="edit" aspectratio="t"/>
          </v:shape>
          <o:OLEObject Type="Embed" ProgID="Equation.3" ShapeID="Picture 29" DrawAspect="Content" ObjectID="_1234567894" r:id="rId22"/>
        </w:object>
      </w:r>
      <w:r>
        <w:rPr>
          <w:rFonts w:ascii="Times New Roman" w:hAnsi="Times New Roman"/>
          <w:sz w:val="24"/>
          <w:szCs w:val="24"/>
        </w:rPr>
        <w:t xml:space="preserve"> </w:t>
      </w:r>
    </w:p>
    <w:p>
      <w:pPr>
        <w:keepNext w:val="0"/>
        <w:keepLines w:val="0"/>
        <w:pageBreakBefore w:val="0"/>
        <w:widowControl w:val="0"/>
        <w:kinsoku/>
        <w:wordWrap/>
        <w:topLinePunct w:val="0"/>
        <w:autoSpaceDE w:val="0"/>
        <w:autoSpaceDN w:val="0"/>
        <w:bidi w:val="0"/>
        <w:adjustRightInd w:val="0"/>
        <w:snapToGrid/>
        <w:spacing w:line="500" w:lineRule="auto"/>
        <w:ind w:left="0" w:right="0" w:firstLine="480" w:leftChars="0" w:rightChars="0" w:firstLineChars="200"/>
        <w:jc w:val="left"/>
        <w:outlineLvl w:val="9"/>
        <w:rPr>
          <w:rFonts w:ascii="Times New Roman" w:hAnsi="Times New Roman" w:hint="eastAsia"/>
          <w:sz w:val="24"/>
        </w:rPr>
      </w:pPr>
      <w:r>
        <w:rPr>
          <w:rFonts w:ascii="Times New Roman" w:hAnsi="Times New Roman"/>
          <w:sz w:val="24"/>
          <w:szCs w:val="24"/>
        </w:rPr>
        <w:t xml:space="preserve">        </w:t>
      </w:r>
      <w:r>
        <w:rPr>
          <w:rFonts w:ascii="Times New Roman" w:hAnsi="Times New Roman"/>
          <w:position w:val="-8"/>
          <w:sz w:val="24"/>
          <w:szCs w:val="24"/>
        </w:rPr>
        <w:object>
          <v:shape id="Picture 30" o:spid="_x0000_i1039" type="#_x0000_t75" style="width:197.75pt;height:17pt;mso-position-horizontal-relative:page;mso-position-vertical-relative:page;mso-wrap-style:square" o:oleicon="f" o:ole="" o:preferrelative="t" filled="f" stroked="f">
            <v:imagedata r:id="rId23" o:title=""/>
            <v:path o:extrusionok="f"/>
            <o:lock v:ext="edit" aspectratio="t"/>
          </v:shape>
          <o:OLEObject Type="Embed" ProgID="Equation.3" ShapeID="Picture 30" DrawAspect="Content" ObjectID="_1234567895" r:id="rId24"/>
        </w:object>
      </w:r>
    </w:p>
    <w:p>
      <w:pPr>
        <w:keepNext w:val="0"/>
        <w:keepLines w:val="0"/>
        <w:pageBreakBefore w:val="0"/>
        <w:widowControl w:val="0"/>
        <w:numPr>
          <w:ilvl w:val="0"/>
          <w:numId w:val="16"/>
        </w:numPr>
        <w:tabs>
          <w:tab w:val="clear" w:pos="425"/>
        </w:tabs>
        <w:kinsoku/>
        <w:wordWrap/>
        <w:overflowPunct/>
        <w:topLinePunct w:val="0"/>
        <w:autoSpaceDE/>
        <w:autoSpaceDN/>
        <w:bidi w:val="0"/>
        <w:adjustRightInd/>
        <w:snapToGrid/>
        <w:spacing w:line="500" w:lineRule="auto"/>
        <w:ind w:left="0" w:right="0" w:firstLine="420" w:leftChars="0" w:rightChars="0" w:firstLineChars="200"/>
        <w:jc w:val="both"/>
        <w:textAlignment w:val="auto"/>
        <w:outlineLvl w:val="9"/>
        <w:rPr>
          <w:rFonts w:hint="eastAsia"/>
          <w:sz w:val="24"/>
        </w:rPr>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25"/>
          <w:cols w:space="708"/>
          <w:titlePg w:val="0"/>
          <w:docGrid w:type="lines" w:linePitch="312"/>
        </w:sectPr>
      </w:pPr>
      <w:r>
        <w:rPr>
          <w:rFonts w:ascii="Times New Roman" w:hAnsi="Times New Roman" w:hint="eastAsia"/>
          <w:b/>
          <w:color w:val="auto"/>
          <w:szCs w:val="24"/>
        </w:rPr>
        <w:t xml:space="preserve"> </w:t>
      </w:r>
      <w:r>
        <w:rPr>
          <w:rFonts w:hint="eastAsia"/>
          <w:sz w:val="24"/>
        </w:rPr>
        <w:t>出土量控制</w:t>
      </w:r>
    </w:p>
    <w:p>
      <w:pPr>
        <w:pStyle w:val="20"/>
        <w:pageBreakBefore w:val="0"/>
        <w:kinsoku/>
        <w:topLinePunct w:val="0"/>
        <w:bidi w:val="0"/>
        <w:snapToGrid/>
        <w:spacing w:line="500" w:lineRule="auto"/>
        <w:rPr>
          <w:rFonts w:cs="宋体" w:hint="eastAsia"/>
        </w:rPr>
      </w:pPr>
      <w:r>
        <w:rPr>
          <w:rFonts w:cs="宋体" w:hint="eastAsia"/>
        </w:rPr>
        <w:t>复合式TBM掘进出土量控制在理论出土量的99%～100%之间，即66.3m</w:t>
      </w:r>
      <w:r>
        <w:rPr>
          <w:rFonts w:cs="宋体" w:hint="eastAsia"/>
          <w:sz w:val="32"/>
          <w:vertAlign w:val="superscript"/>
        </w:rPr>
        <w:t>3</w:t>
      </w:r>
      <w:r>
        <w:rPr>
          <w:rFonts w:cs="宋体" w:hint="eastAsia"/>
        </w:rPr>
        <w:t>～67 m</w:t>
      </w:r>
      <w:r>
        <w:rPr>
          <w:rFonts w:cs="宋体" w:hint="eastAsia"/>
          <w:sz w:val="32"/>
          <w:vertAlign w:val="superscript"/>
        </w:rPr>
        <w:t>3</w:t>
      </w:r>
      <w:r>
        <w:rPr>
          <w:rFonts w:cs="宋体" w:hint="eastAsia"/>
        </w:rPr>
        <w:t>之间 ，每环理论出土量：</w:t>
      </w:r>
      <w:r>
        <w:rPr>
          <w:rFonts w:cs="宋体" w:hint="eastAsia"/>
        </w:rPr>
        <w:t>π</w:t>
      </w:r>
      <w:r>
        <w:rPr>
          <w:rFonts w:cs="宋体" w:hint="eastAsia"/>
        </w:rPr>
        <w:t>/4</w:t>
      </w:r>
      <w:r>
        <w:rPr>
          <w:rFonts w:cs="宋体" w:hint="eastAsia"/>
        </w:rPr>
        <w:t>×</w:t>
      </w:r>
      <w:r>
        <w:rPr>
          <w:rFonts w:cs="宋体" w:hint="eastAsia"/>
        </w:rPr>
        <w:t>D</w:t>
      </w:r>
      <w:r>
        <w:rPr>
          <w:rFonts w:cs="宋体" w:hint="eastAsia"/>
          <w:sz w:val="28"/>
          <w:vertAlign w:val="superscript"/>
        </w:rPr>
        <w:t>2</w:t>
      </w:r>
      <w:r>
        <w:rPr>
          <w:rFonts w:cs="宋体" w:hint="eastAsia"/>
        </w:rPr>
        <w:t>×</w:t>
      </w:r>
      <w:r>
        <w:rPr>
          <w:rFonts w:cs="宋体" w:hint="eastAsia"/>
        </w:rPr>
        <w:t>L</w:t>
      </w:r>
      <w:r>
        <w:rPr>
          <w:rFonts w:cs="宋体" w:hint="eastAsia"/>
        </w:rPr>
        <w:t>×</w:t>
      </w:r>
      <w:r>
        <w:rPr>
          <w:rFonts w:cs="宋体" w:hint="eastAsia"/>
        </w:rPr>
        <w:t>1.2=3.14</w:t>
      </w:r>
      <w:r>
        <w:rPr>
          <w:rFonts w:cs="宋体" w:hint="eastAsia"/>
        </w:rPr>
        <w:t>×</w:t>
      </w:r>
      <w:r>
        <w:rPr>
          <w:rFonts w:cs="宋体" w:hint="eastAsia"/>
        </w:rPr>
        <w:t>6.885</w:t>
      </w:r>
      <w:r>
        <w:rPr>
          <w:rFonts w:cs="宋体" w:hint="eastAsia"/>
          <w:sz w:val="32"/>
          <w:vertAlign w:val="superscript"/>
        </w:rPr>
        <w:t>2</w:t>
      </w:r>
      <w:r>
        <w:rPr>
          <w:rFonts w:cs="宋体" w:hint="eastAsia"/>
        </w:rPr>
        <w:t>×</w:t>
      </w:r>
      <w:r>
        <w:rPr>
          <w:rFonts w:cs="宋体" w:hint="eastAsia"/>
        </w:rPr>
        <w:t>1.5</w:t>
      </w:r>
      <w:r>
        <w:rPr>
          <w:rFonts w:cs="宋体" w:hint="eastAsia"/>
        </w:rPr>
        <w:t>×</w:t>
      </w:r>
      <w:r>
        <w:rPr>
          <w:rFonts w:cs="宋体" w:hint="eastAsia"/>
        </w:rPr>
        <w:t>1.3/4=67m</w:t>
      </w:r>
      <w:r>
        <w:rPr>
          <w:rFonts w:cs="宋体" w:hint="eastAsia"/>
          <w:sz w:val="32"/>
          <w:vertAlign w:val="superscript"/>
        </w:rPr>
        <w:t>3</w:t>
      </w:r>
    </w:p>
    <w:p>
      <w:pPr>
        <w:pStyle w:val="20"/>
        <w:pageBreakBefore w:val="0"/>
        <w:kinsoku/>
        <w:topLinePunct w:val="0"/>
        <w:bidi w:val="0"/>
        <w:snapToGrid/>
        <w:spacing w:line="500" w:lineRule="auto"/>
        <w:rPr>
          <w:rFonts w:cs="宋体" w:hint="eastAsia"/>
        </w:rPr>
      </w:pPr>
      <w:r>
        <w:rPr>
          <w:rFonts w:cs="宋体" w:hint="eastAsia"/>
        </w:rPr>
        <w:t>其中：D</w:t>
      </w:r>
      <w:r>
        <w:rPr>
          <w:rFonts w:cs="宋体" w:hint="eastAsia"/>
        </w:rPr>
        <w:t>—</w:t>
      </w:r>
      <w:r>
        <w:rPr>
          <w:rFonts w:cs="宋体" w:hint="eastAsia"/>
        </w:rPr>
        <w:t>复合式TBM外径（m）</w:t>
      </w:r>
    </w:p>
    <w:p>
      <w:pPr>
        <w:pStyle w:val="20"/>
        <w:pageBreakBefore w:val="0"/>
        <w:kinsoku/>
        <w:topLinePunct w:val="0"/>
        <w:bidi w:val="0"/>
        <w:snapToGrid/>
        <w:spacing w:line="500" w:lineRule="auto"/>
        <w:rPr>
          <w:rFonts w:cs="宋体" w:hint="eastAsia"/>
        </w:rPr>
      </w:pPr>
      <w:r>
        <w:rPr>
          <w:rFonts w:cs="宋体" w:hint="eastAsia"/>
        </w:rPr>
        <w:t xml:space="preserve">      L</w:t>
      </w:r>
      <w:r>
        <w:rPr>
          <w:rFonts w:cs="宋体" w:hint="eastAsia"/>
        </w:rPr>
        <w:t>—</w:t>
      </w:r>
      <w:r>
        <w:rPr>
          <w:rFonts w:cs="宋体" w:hint="eastAsia"/>
        </w:rPr>
        <w:t>管片长度（m）</w:t>
      </w:r>
    </w:p>
    <w:p>
      <w:pPr>
        <w:pStyle w:val="20"/>
        <w:pageBreakBefore w:val="0"/>
        <w:kinsoku/>
        <w:topLinePunct w:val="0"/>
        <w:bidi w:val="0"/>
        <w:snapToGrid/>
        <w:spacing w:line="500" w:lineRule="auto"/>
        <w:rPr>
          <w:rFonts w:cs="宋体" w:hint="eastAsia"/>
        </w:rPr>
      </w:pPr>
      <w:r>
        <w:rPr>
          <w:rFonts w:cs="宋体" w:hint="eastAsia"/>
        </w:rPr>
        <w:t>复合式TBM施工过程中一旦有超挖现象，必须对该区段进行解决，涉及二次补浆、地面注浆加固等措施。现场安排值班人员天天对出土量进行记录，按照出土渣斗体积进行现场量测，在渣斗上标记出土量控制线，严禁出土超</w:t>
      </w:r>
      <w:r>
        <w:rPr>
          <w:rFonts w:cs="宋体" w:hint="eastAsia"/>
          <w:lang w:eastAsia="zh-CN"/>
        </w:rPr>
        <w:t>限</w:t>
      </w:r>
      <w:r>
        <w:rPr>
          <w:rFonts w:cs="宋体" w:hint="eastAsia"/>
        </w:rPr>
        <w:t>。</w:t>
      </w:r>
    </w:p>
    <w:p>
      <w:pPr>
        <w:keepNext w:val="0"/>
        <w:keepLines w:val="0"/>
        <w:pageBreakBefore w:val="0"/>
        <w:widowControl w:val="0"/>
        <w:numPr>
          <w:ilvl w:val="0"/>
          <w:numId w:val="16"/>
        </w:numPr>
        <w:tabs>
          <w:tab w:val="clear" w:pos="425"/>
        </w:tabs>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rFonts w:hint="eastAsia"/>
          <w:sz w:val="24"/>
        </w:rPr>
      </w:pPr>
      <w:bookmarkStart w:id="175" w:name="_Toc14767565"/>
      <w:r>
        <w:rPr>
          <w:rFonts w:hint="eastAsia"/>
          <w:sz w:val="24"/>
        </w:rPr>
        <w:t xml:space="preserve"> 同步</w:t>
      </w:r>
      <w:bookmarkEnd w:id="175"/>
      <w:r>
        <w:rPr>
          <w:rFonts w:hint="eastAsia"/>
          <w:sz w:val="24"/>
        </w:rPr>
        <w:t>注浆量与压力</w:t>
      </w:r>
    </w:p>
    <w:p>
      <w:pPr>
        <w:pStyle w:val="20"/>
        <w:keepNext w:val="0"/>
        <w:keepLines w:val="0"/>
        <w:pageBreakBefore w:val="0"/>
        <w:widowControl w:val="0"/>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rFonts w:cs="宋体" w:hint="eastAsia"/>
        </w:rPr>
      </w:pPr>
      <w:r>
        <w:rPr>
          <w:rFonts w:cs="宋体" w:hint="eastAsia"/>
        </w:rPr>
        <w:t>复合式TBM尾部空隙量计算：</w:t>
      </w:r>
    </w:p>
    <w:p>
      <w:pPr>
        <w:pStyle w:val="20"/>
        <w:keepNext w:val="0"/>
        <w:keepLines w:val="0"/>
        <w:pageBreakBefore w:val="0"/>
        <w:widowControl w:val="0"/>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rFonts w:cs="宋体" w:hint="eastAsia"/>
        </w:rPr>
      </w:pPr>
      <w:r>
        <w:rPr>
          <w:rFonts w:cs="宋体" w:hint="eastAsia"/>
          <w:position w:val="-10"/>
        </w:rPr>
        <w:object>
          <v:shape id="图片 250" o:spid="_x0000_i1040" type="#_x0000_t75" style="width:301.9pt;height:19.85pt;mso-position-horizontal-relative:page;mso-position-vertical-relative:page;mso-wrap-style:square" o:oleicon="f" o:ole="" o:preferrelative="t" filled="f" stroked="f">
            <v:imagedata r:id="rId25" o:title=""/>
            <v:path o:extrusionok="f"/>
            <o:lock v:ext="edit" aspectratio="t"/>
          </v:shape>
          <o:OLEObject Type="Embed" ProgID="Equation.DSMT4" ShapeID="图片 250" DrawAspect="Content" ObjectID="_1234567896" r:id="rId26"/>
        </w:object>
      </w:r>
      <w:r>
        <w:rPr>
          <w:rFonts w:cs="宋体" w:hint="eastAsia"/>
        </w:rPr>
        <w:t xml:space="preserve"> </w:t>
      </w:r>
      <w:r>
        <w:rPr>
          <w:rFonts w:cs="宋体" w:hint="eastAsia"/>
          <w:lang w:val="en-US" w:eastAsia="zh-CN"/>
        </w:rPr>
        <w:t xml:space="preserve">        </w:t>
      </w:r>
      <w:r>
        <w:rPr>
          <w:rFonts w:cs="宋体" w:hint="eastAsia"/>
        </w:rPr>
        <w:t xml:space="preserve">    </w:t>
      </w:r>
      <w:r>
        <w:rPr>
          <w:rFonts w:cs="宋体" w:hint="eastAsia"/>
        </w:rPr>
        <w:t>——</w:t>
      </w:r>
      <w:r>
        <w:rPr>
          <w:rFonts w:cs="宋体" w:hint="eastAsia"/>
        </w:rPr>
        <w:t>公式</w:t>
      </w:r>
      <w:r>
        <w:rPr>
          <w:rFonts w:cs="宋体" w:hint="eastAsia"/>
          <w:lang w:val="en-US" w:eastAsia="zh-CN"/>
        </w:rPr>
        <w:t>2</w:t>
      </w:r>
    </w:p>
    <w:p>
      <w:pPr>
        <w:pStyle w:val="20"/>
        <w:keepNext w:val="0"/>
        <w:keepLines w:val="0"/>
        <w:pageBreakBefore w:val="0"/>
        <w:widowControl w:val="0"/>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rFonts w:cs="宋体" w:hint="eastAsia"/>
        </w:rPr>
      </w:pPr>
      <w:r>
        <w:rPr>
          <w:rFonts w:cs="宋体" w:hint="eastAsia"/>
        </w:rPr>
        <w:t>式中</w:t>
      </w:r>
      <w:r>
        <w:rPr>
          <w:rFonts w:cs="宋体" w:hint="eastAsia"/>
        </w:rPr>
        <w:t>——</w:t>
      </w:r>
    </w:p>
    <w:p>
      <w:pPr>
        <w:pStyle w:val="20"/>
        <w:keepNext w:val="0"/>
        <w:keepLines w:val="0"/>
        <w:pageBreakBefore w:val="0"/>
        <w:widowControl w:val="0"/>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rFonts w:cs="宋体" w:hint="eastAsia"/>
        </w:rPr>
      </w:pPr>
      <w:r>
        <w:rPr>
          <w:rFonts w:cs="宋体" w:hint="eastAsia"/>
        </w:rPr>
        <w:t>D</w:t>
      </w:r>
      <w:r>
        <w:rPr>
          <w:rFonts w:cs="宋体" w:hint="eastAsia"/>
        </w:rPr>
        <w:t>——</w:t>
      </w:r>
      <w:r>
        <w:rPr>
          <w:rFonts w:cs="宋体" w:hint="eastAsia"/>
        </w:rPr>
        <w:t>复合式TBM外径，取切口位置复合式TBM外径6.885m；</w:t>
      </w:r>
    </w:p>
    <w:p>
      <w:pPr>
        <w:pStyle w:val="20"/>
        <w:keepNext w:val="0"/>
        <w:keepLines w:val="0"/>
        <w:pageBreakBefore w:val="0"/>
        <w:widowControl w:val="0"/>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rFonts w:cs="宋体" w:hint="eastAsia"/>
        </w:rPr>
      </w:pPr>
      <w:r>
        <w:rPr>
          <w:rFonts w:cs="宋体" w:hint="eastAsia"/>
        </w:rPr>
        <w:t>d</w:t>
      </w:r>
      <w:r>
        <w:rPr>
          <w:rFonts w:cs="宋体" w:hint="eastAsia"/>
        </w:rPr>
        <w:t>——</w:t>
      </w:r>
      <w:r>
        <w:rPr>
          <w:rFonts w:cs="宋体" w:hint="eastAsia"/>
        </w:rPr>
        <w:t xml:space="preserve"> 管片外径，取6.6m；</w:t>
      </w:r>
    </w:p>
    <w:p>
      <w:pPr>
        <w:pStyle w:val="20"/>
        <w:keepNext w:val="0"/>
        <w:keepLines w:val="0"/>
        <w:pageBreakBefore w:val="0"/>
        <w:widowControl w:val="0"/>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rFonts w:cs="宋体" w:hint="eastAsia"/>
        </w:rPr>
      </w:pPr>
      <w:r>
        <w:rPr>
          <w:rFonts w:cs="宋体" w:hint="eastAsia"/>
        </w:rPr>
        <w:t>l</w:t>
      </w:r>
      <w:r>
        <w:rPr>
          <w:rFonts w:cs="宋体" w:hint="eastAsia"/>
        </w:rPr>
        <w:t>——</w:t>
      </w:r>
      <w:r>
        <w:rPr>
          <w:rFonts w:cs="宋体" w:hint="eastAsia"/>
        </w:rPr>
        <w:t>管片径向长度取1.5m。</w:t>
      </w:r>
    </w:p>
    <w:p>
      <w:pPr>
        <w:pStyle w:val="20"/>
        <w:keepNext w:val="0"/>
        <w:keepLines w:val="0"/>
        <w:pageBreakBefore w:val="0"/>
        <w:widowControl w:val="0"/>
        <w:kinsoku/>
        <w:wordWrap/>
        <w:overflowPunct/>
        <w:topLinePunct w:val="0"/>
        <w:autoSpaceDE/>
        <w:autoSpaceDN/>
        <w:bidi w:val="0"/>
        <w:adjustRightInd/>
        <w:snapToGrid/>
        <w:spacing w:line="500" w:lineRule="auto"/>
        <w:ind w:left="0" w:right="0" w:firstLine="480" w:leftChars="0" w:rightChars="0" w:firstLineChars="200"/>
        <w:jc w:val="both"/>
        <w:textAlignment w:val="auto"/>
        <w:outlineLvl w:val="9"/>
        <w:rPr>
          <w:rFonts w:cs="宋体" w:hint="eastAsia"/>
        </w:rPr>
      </w:pPr>
      <w:r>
        <w:rPr>
          <w:rFonts w:cs="宋体" w:hint="eastAsia"/>
        </w:rPr>
        <w:t>计算空隙量为4.53</w:t>
      </w:r>
      <w:r>
        <w:rPr>
          <w:rFonts w:cs="宋体" w:hint="eastAsia"/>
          <w:lang w:val="en-US" w:eastAsia="zh-CN"/>
        </w:rPr>
        <w:t>m</w:t>
      </w:r>
      <w:r>
        <w:rPr>
          <w:rFonts w:cs="宋体" w:hint="eastAsia"/>
          <w:lang w:val="en-US" w:eastAsia="zh-CN"/>
        </w:rPr>
        <w:t>³</w:t>
      </w:r>
      <w:r>
        <w:rPr>
          <w:rFonts w:cs="宋体" w:hint="eastAsia"/>
        </w:rPr>
        <w:t>。考虑复合式TBM施工地层中以泥岩、砂岩为主，实际注浆量取值为理论方量的1～1.5 倍，即4.53～6.7m</w:t>
      </w:r>
      <w:r>
        <w:rPr>
          <w:rFonts w:cs="宋体" w:hint="eastAsia"/>
        </w:rPr>
        <w:t>³</w:t>
      </w:r>
      <w:r>
        <w:rPr>
          <w:rFonts w:cs="宋体" w:hint="eastAsia"/>
        </w:rPr>
        <w:t>/环。注浆量的最终拟定要视注浆压力、隧道稳定情况以及地面沉降情况而定，以上数值仅为经验值。在100m实验段掘进时加强地面沉降、隆起监测，及时分析数据并总结整理出实际参数。</w:t>
      </w:r>
    </w:p>
    <w:p>
      <w:pPr>
        <w:pStyle w:val="21"/>
        <w:pageBreakBefore w:val="0"/>
        <w:numPr>
          <w:ilvl w:val="0"/>
          <w:numId w:val="15"/>
        </w:numPr>
        <w:tabs>
          <w:tab w:val="left" w:pos="0"/>
          <w:tab w:val="left" w:pos="425"/>
        </w:tabs>
        <w:kinsoku/>
        <w:topLinePunct w:val="0"/>
        <w:bidi w:val="0"/>
        <w:snapToGrid/>
        <w:spacing w:line="500" w:lineRule="auto"/>
        <w:ind w:left="425" w:hanging="425" w:leftChars="0" w:firstLineChars="0"/>
        <w:rPr>
          <w:rFonts w:ascii="Times New Roman" w:hAnsi="Times New Roman" w:hint="eastAsia"/>
          <w:b w:val="0"/>
          <w:bCs w:val="0"/>
          <w:lang w:val="en-US" w:eastAsia="zh-CN"/>
        </w:rPr>
      </w:pPr>
      <w:r>
        <w:rPr>
          <w:rFonts w:ascii="Times New Roman" w:hAnsi="Times New Roman" w:hint="eastAsia"/>
          <w:b w:val="0"/>
          <w:bCs w:val="0"/>
          <w:lang w:val="en-US" w:eastAsia="zh-CN"/>
        </w:rPr>
        <w:t xml:space="preserve"> 渣土改良</w:t>
      </w:r>
    </w:p>
    <w:p>
      <w:pPr>
        <w:pStyle w:val="a0"/>
        <w:pageBreakBefore w:val="0"/>
        <w:kinsoku/>
        <w:topLinePunct w:val="0"/>
        <w:bidi w:val="0"/>
        <w:snapToGrid/>
        <w:spacing w:before="0" w:after="0" w:line="500" w:lineRule="auto"/>
        <w:ind w:left="0" w:firstLine="480" w:firstLineChars="200"/>
        <w:rPr>
          <w:rFonts w:cs="宋体" w:hint="eastAsia"/>
          <w:sz w:val="24"/>
          <w:szCs w:val="21"/>
        </w:rPr>
      </w:pPr>
      <w:r>
        <w:rPr>
          <w:rFonts w:cs="宋体" w:hint="eastAsia"/>
          <w:sz w:val="24"/>
          <w:szCs w:val="21"/>
        </w:rPr>
        <w:br/>
      </w:r>
      <w:r>
        <w:rPr>
          <w:rFonts w:cs="宋体" w:hint="eastAsia"/>
          <w:sz w:val="24"/>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https://d.book118.com/187141064044006030</w:t>
        </w:r>
      </w:hyperlink>
    </w:p>
    <w:p>
      <w:pPr>
        <w:pStyle w:val="a0"/>
        <w:pageBreakBefore w:val="0"/>
        <w:kinsoku/>
        <w:topLinePunct w:val="0"/>
        <w:bidi w:val="0"/>
        <w:snapToGrid/>
        <w:spacing w:before="0" w:after="0" w:line="500" w:lineRule="auto"/>
        <w:ind w:left="0" w:firstLine="480" w:firstLineChars="200"/>
        <w:rPr>
          <w:rFonts w:cs="宋体" w:hint="eastAsia"/>
          <w:sz w:val="24"/>
          <w:szCs w:val="21"/>
        </w:rPr>
      </w:pPr>
    </w:p>
    <w:sectPr>
      <w:type w:val="nextPage"/>
      <w:pgSz w:w="11906" w:h="16838"/>
      <w:pgMar w:top="1440" w:right="1247" w:bottom="1418" w:left="1418" w:header="851" w:footer="992" w:gutter="0"/>
      <w:pgBorders w:zOrder="front" w:display="allPages" w:offsetFrom="page">
        <w:top w:val="none" w:sz="0" w:space="0" w:color="auto"/>
        <w:left w:val="none" w:sz="0" w:space="0" w:color="auto"/>
        <w:bottom w:val="none" w:sz="0" w:space="0" w:color="auto"/>
        <w:right w:val="none" w:sz="0" w:space="0" w:color="auto"/>
      </w:pgBorders>
      <w:pgNumType w:fmt="decimal" w:start="26"/>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AFF" w:usb1="C0007841" w:usb2="00000009" w:usb3="00000000" w:csb0="4004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RomanS">
    <w:panose1 w:val="02000400000000000000"/>
    <w:charset w:val="00"/>
    <w:family w:val="auto"/>
    <w:pitch w:val="default"/>
    <w:sig w:usb0="00000207" w:usb1="00000000" w:usb2="00000000" w:usb3="00000000" w:csb0="000001FF" w:csb1="00000000"/>
  </w:font>
  <w:font w:name="Courier New">
    <w:panose1 w:val="02070309020205020404"/>
    <w:charset w:val="01"/>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Arial Black">
    <w:panose1 w:val="020B0A04020102020204"/>
    <w:charset w:val="00"/>
    <w:family w:val="swiss"/>
    <w:pitch w:val="default"/>
    <w:sig w:usb0="00000287" w:usb1="00000000" w:usb2="00000000" w:usb3="00000000" w:csb0="2000009F" w:csb1="DFD70000"/>
  </w:font>
  <w:font w:name="幼圆">
    <w:panose1 w:val="02010509060101010101"/>
    <w:charset w:val="86"/>
    <w:family w:val="modern"/>
    <w:pitch w:val="default"/>
    <w:sig w:usb0="00000001" w:usb1="080E0000" w:usb2="00000000" w:usb3="00000000" w:csb0="00040000" w:csb1="00000000"/>
  </w:font>
  <w:font w:name="TimesNewRomanPSMT">
    <w:altName w:val="Times New Roman"/>
    <w:panose1 w:val="00000000000000000000"/>
    <w:charset w:val="00"/>
    <w:family w:val="roman"/>
    <w:pitch w:val="default"/>
    <w:sig w:usb0="00000003" w:usb1="080E0000" w:usb2="00000010" w:usb3="00000000" w:csb0="00040001"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D0FC4"/>
    <w:multiLevelType w:val="multilevel"/>
    <w:tmpl w:val="0FFD0FC4"/>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nsid w:val="12C3019E"/>
    <w:multiLevelType w:val="multilevel"/>
    <w:tmpl w:val="12C3019E"/>
    <w:lvl w:ilvl="0">
      <w:start w:val="1"/>
      <w:numFmt w:val="decimal"/>
      <w:lvlText w:val="%1)"/>
      <w:lvlJc w:val="left"/>
      <w:pPr>
        <w:tabs>
          <w:tab w:val="num" w:pos="773"/>
        </w:tabs>
        <w:ind w:left="773" w:hanging="420"/>
      </w:pPr>
    </w:lvl>
    <w:lvl w:ilvl="1">
      <w:start w:val="1"/>
      <w:numFmt w:val="lowerLetter"/>
      <w:lvlText w:val="%2)"/>
      <w:lvlJc w:val="left"/>
      <w:pPr>
        <w:tabs>
          <w:tab w:val="num" w:pos="1193"/>
        </w:tabs>
        <w:ind w:left="1193" w:hanging="420"/>
      </w:pPr>
    </w:lvl>
    <w:lvl w:ilvl="2">
      <w:start w:val="1"/>
      <w:numFmt w:val="lowerRoman"/>
      <w:lvlText w:val="%3."/>
      <w:lvlJc w:val="right"/>
      <w:pPr>
        <w:tabs>
          <w:tab w:val="num" w:pos="1613"/>
        </w:tabs>
        <w:ind w:left="1613" w:hanging="420"/>
      </w:pPr>
    </w:lvl>
    <w:lvl w:ilvl="3">
      <w:start w:val="1"/>
      <w:numFmt w:val="decimal"/>
      <w:lvlText w:val="%4."/>
      <w:lvlJc w:val="left"/>
      <w:pPr>
        <w:tabs>
          <w:tab w:val="num" w:pos="2033"/>
        </w:tabs>
        <w:ind w:left="2033" w:hanging="420"/>
      </w:pPr>
    </w:lvl>
    <w:lvl w:ilvl="4">
      <w:start w:val="1"/>
      <w:numFmt w:val="lowerLetter"/>
      <w:lvlText w:val="%5)"/>
      <w:lvlJc w:val="left"/>
      <w:pPr>
        <w:tabs>
          <w:tab w:val="num" w:pos="2453"/>
        </w:tabs>
        <w:ind w:left="2453" w:hanging="420"/>
      </w:pPr>
    </w:lvl>
    <w:lvl w:ilvl="5">
      <w:start w:val="1"/>
      <w:numFmt w:val="lowerRoman"/>
      <w:lvlText w:val="%6."/>
      <w:lvlJc w:val="right"/>
      <w:pPr>
        <w:tabs>
          <w:tab w:val="num" w:pos="2873"/>
        </w:tabs>
        <w:ind w:left="2873" w:hanging="420"/>
      </w:pPr>
    </w:lvl>
    <w:lvl w:ilvl="6">
      <w:start w:val="1"/>
      <w:numFmt w:val="decimal"/>
      <w:lvlText w:val="%7."/>
      <w:lvlJc w:val="left"/>
      <w:pPr>
        <w:tabs>
          <w:tab w:val="num" w:pos="3293"/>
        </w:tabs>
        <w:ind w:left="3293" w:hanging="420"/>
      </w:pPr>
    </w:lvl>
    <w:lvl w:ilvl="7">
      <w:start w:val="1"/>
      <w:numFmt w:val="lowerLetter"/>
      <w:lvlText w:val="%8)"/>
      <w:lvlJc w:val="left"/>
      <w:pPr>
        <w:tabs>
          <w:tab w:val="num" w:pos="3713"/>
        </w:tabs>
        <w:ind w:left="3713" w:hanging="420"/>
      </w:pPr>
    </w:lvl>
    <w:lvl w:ilvl="8">
      <w:start w:val="1"/>
      <w:numFmt w:val="lowerRoman"/>
      <w:lvlText w:val="%9."/>
      <w:lvlJc w:val="right"/>
      <w:pPr>
        <w:tabs>
          <w:tab w:val="num" w:pos="4133"/>
        </w:tabs>
        <w:ind w:left="4133" w:hanging="420"/>
      </w:pPr>
    </w:lvl>
  </w:abstractNum>
  <w:abstractNum w:abstractNumId="2">
    <w:nsid w:val="24951E0F"/>
    <w:multiLevelType w:val="multilevel"/>
    <w:tmpl w:val="24951E0F"/>
    <w:lvl w:ilvl="0">
      <w:start w:val="1"/>
      <w:numFmt w:val="decimal"/>
      <w:lvlText w:val="%1)"/>
      <w:lvlJc w:val="left"/>
      <w:pPr>
        <w:tabs>
          <w:tab w:val="num" w:pos="773"/>
        </w:tabs>
        <w:ind w:left="773" w:hanging="420"/>
      </w:pPr>
    </w:lvl>
    <w:lvl w:ilvl="1">
      <w:start w:val="1"/>
      <w:numFmt w:val="lowerLetter"/>
      <w:lvlText w:val="%2)"/>
      <w:lvlJc w:val="left"/>
      <w:pPr>
        <w:tabs>
          <w:tab w:val="num" w:pos="1193"/>
        </w:tabs>
        <w:ind w:left="1193" w:hanging="420"/>
      </w:pPr>
    </w:lvl>
    <w:lvl w:ilvl="2">
      <w:start w:val="1"/>
      <w:numFmt w:val="lowerRoman"/>
      <w:lvlText w:val="%3."/>
      <w:lvlJc w:val="right"/>
      <w:pPr>
        <w:tabs>
          <w:tab w:val="num" w:pos="1613"/>
        </w:tabs>
        <w:ind w:left="1613" w:hanging="420"/>
      </w:pPr>
    </w:lvl>
    <w:lvl w:ilvl="3">
      <w:start w:val="1"/>
      <w:numFmt w:val="decimal"/>
      <w:lvlText w:val="%4."/>
      <w:lvlJc w:val="left"/>
      <w:pPr>
        <w:tabs>
          <w:tab w:val="num" w:pos="2033"/>
        </w:tabs>
        <w:ind w:left="2033" w:hanging="420"/>
      </w:pPr>
    </w:lvl>
    <w:lvl w:ilvl="4">
      <w:start w:val="1"/>
      <w:numFmt w:val="lowerLetter"/>
      <w:lvlText w:val="%5)"/>
      <w:lvlJc w:val="left"/>
      <w:pPr>
        <w:tabs>
          <w:tab w:val="num" w:pos="2453"/>
        </w:tabs>
        <w:ind w:left="2453" w:hanging="420"/>
      </w:pPr>
    </w:lvl>
    <w:lvl w:ilvl="5">
      <w:start w:val="1"/>
      <w:numFmt w:val="lowerRoman"/>
      <w:lvlText w:val="%6."/>
      <w:lvlJc w:val="right"/>
      <w:pPr>
        <w:tabs>
          <w:tab w:val="num" w:pos="2873"/>
        </w:tabs>
        <w:ind w:left="2873" w:hanging="420"/>
      </w:pPr>
    </w:lvl>
    <w:lvl w:ilvl="6">
      <w:start w:val="1"/>
      <w:numFmt w:val="decimal"/>
      <w:lvlText w:val="%7."/>
      <w:lvlJc w:val="left"/>
      <w:pPr>
        <w:tabs>
          <w:tab w:val="num" w:pos="3293"/>
        </w:tabs>
        <w:ind w:left="3293" w:hanging="420"/>
      </w:pPr>
    </w:lvl>
    <w:lvl w:ilvl="7">
      <w:start w:val="1"/>
      <w:numFmt w:val="lowerLetter"/>
      <w:lvlText w:val="%8)"/>
      <w:lvlJc w:val="left"/>
      <w:pPr>
        <w:tabs>
          <w:tab w:val="num" w:pos="3713"/>
        </w:tabs>
        <w:ind w:left="3713" w:hanging="420"/>
      </w:pPr>
    </w:lvl>
    <w:lvl w:ilvl="8">
      <w:start w:val="1"/>
      <w:numFmt w:val="lowerRoman"/>
      <w:lvlText w:val="%9."/>
      <w:lvlJc w:val="right"/>
      <w:pPr>
        <w:tabs>
          <w:tab w:val="num" w:pos="4133"/>
        </w:tabs>
        <w:ind w:left="4133" w:hanging="420"/>
      </w:pPr>
    </w:lvl>
  </w:abstractNum>
  <w:abstractNum w:abstractNumId="3">
    <w:nsid w:val="3100092F"/>
    <w:multiLevelType w:val="multilevel"/>
    <w:tmpl w:val="3100092F"/>
    <w:lvl w:ilvl="0">
      <w:start w:val="1"/>
      <w:numFmt w:val="decimal"/>
      <w:lvlText w:val="%1）"/>
      <w:lvlJc w:val="left"/>
      <w:pPr>
        <w:ind w:left="1260" w:hanging="420"/>
      </w:pPr>
      <w:rPr>
        <w:rFonts w:hint="default"/>
      </w:rPr>
    </w:lvl>
    <w:lvl w:ilvl="1">
      <w:start w:val="1"/>
      <w:numFmt w:val="lowerLetter"/>
      <w:lvlText w:val="%2)"/>
      <w:lvlJc w:val="left"/>
      <w:pPr>
        <w:ind w:left="1740" w:hanging="420"/>
      </w:pPr>
    </w:lvl>
    <w:lvl w:ilvl="2">
      <w:start w:val="1"/>
      <w:numFmt w:val="lowerRoman"/>
      <w:lvlText w:val="%3."/>
      <w:lvlJc w:val="right"/>
      <w:pPr>
        <w:ind w:left="2160" w:hanging="420"/>
      </w:pPr>
    </w:lvl>
    <w:lvl w:ilvl="3">
      <w:start w:val="1"/>
      <w:numFmt w:val="decimal"/>
      <w:lvlText w:val="%4."/>
      <w:lvlJc w:val="left"/>
      <w:pPr>
        <w:ind w:left="2580" w:hanging="420"/>
      </w:pPr>
    </w:lvl>
    <w:lvl w:ilvl="4">
      <w:start w:val="1"/>
      <w:numFmt w:val="lowerLetter"/>
      <w:lvlText w:val="%5)"/>
      <w:lvlJc w:val="left"/>
      <w:pPr>
        <w:ind w:left="3000" w:hanging="420"/>
      </w:pPr>
    </w:lvl>
    <w:lvl w:ilvl="5">
      <w:start w:val="1"/>
      <w:numFmt w:val="lowerRoman"/>
      <w:lvlText w:val="%6."/>
      <w:lvlJc w:val="right"/>
      <w:pPr>
        <w:ind w:left="3420" w:hanging="420"/>
      </w:pPr>
    </w:lvl>
    <w:lvl w:ilvl="6">
      <w:start w:val="1"/>
      <w:numFmt w:val="decimal"/>
      <w:lvlText w:val="%7."/>
      <w:lvlJc w:val="left"/>
      <w:pPr>
        <w:ind w:left="3840" w:hanging="420"/>
      </w:pPr>
    </w:lvl>
    <w:lvl w:ilvl="7">
      <w:start w:val="1"/>
      <w:numFmt w:val="lowerLetter"/>
      <w:lvlText w:val="%8)"/>
      <w:lvlJc w:val="left"/>
      <w:pPr>
        <w:ind w:left="4260" w:hanging="420"/>
      </w:pPr>
    </w:lvl>
    <w:lvl w:ilvl="8">
      <w:start w:val="1"/>
      <w:numFmt w:val="lowerRoman"/>
      <w:lvlText w:val="%9."/>
      <w:lvlJc w:val="right"/>
      <w:pPr>
        <w:ind w:left="4680" w:hanging="420"/>
      </w:pPr>
    </w:lvl>
  </w:abstractNum>
  <w:abstractNum w:abstractNumId="4">
    <w:nsid w:val="371147C1"/>
    <w:multiLevelType w:val="multilevel"/>
    <w:tmpl w:val="371147C1"/>
    <w:lvl w:ilvl="0">
      <w:start w:val="1"/>
      <w:numFmt w:val="decimal"/>
      <w:lvlText w:val="%1"/>
      <w:lvlJc w:val="left"/>
      <w:pPr>
        <w:tabs>
          <w:tab w:val="num" w:pos="425"/>
        </w:tabs>
        <w:ind w:left="425" w:hanging="425"/>
      </w:pPr>
      <w:rPr>
        <w:rFonts w:cs="Times New Roman" w:hint="eastAsia"/>
        <w:b w:val="0"/>
        <w:i w:val="0"/>
        <w:iCs w:val="0"/>
        <w:caps w:val="0"/>
        <w:smallCaps w:val="0"/>
        <w:strike w:val="0"/>
        <w:dstrike w:val="0"/>
        <w:outline w:val="0"/>
        <w:emboss w:val="0"/>
        <w:imprint w:val="0"/>
        <w:vanish w:val="0"/>
        <w:spacing w:val="0"/>
        <w:position w:val="0"/>
        <w:u w:val="none"/>
        <w:vertAlign w:val="baseline"/>
        <w:lang w:val="en-US"/>
      </w:rPr>
    </w:lvl>
    <w:lvl w:ilvl="1">
      <w:start w:val="1"/>
      <w:numFmt w:val="decimal"/>
      <w:lvlText w:val="%1.%2"/>
      <w:lvlJc w:val="left"/>
      <w:pPr>
        <w:tabs>
          <w:tab w:val="num" w:pos="1827"/>
        </w:tabs>
        <w:ind w:left="1827" w:hanging="567"/>
      </w:pPr>
      <w:rPr>
        <w:rFonts w:cs="Times New Roman" w:hint="eastAsia"/>
        <w:b w:val="0"/>
        <w:i w:val="0"/>
        <w:iCs w:val="0"/>
        <w:caps w:val="0"/>
        <w:smallCaps w:val="0"/>
        <w:strike w:val="0"/>
        <w:dstrike w:val="0"/>
        <w:outline w:val="0"/>
        <w:emboss w:val="0"/>
        <w:imprint w:val="0"/>
        <w:vanish w:val="0"/>
        <w:spacing w:val="0"/>
        <w:position w:val="0"/>
        <w:u w:val="none"/>
        <w:vertAlign w:val="baseline"/>
      </w:rPr>
    </w:lvl>
    <w:lvl w:ilvl="2">
      <w:start w:val="1"/>
      <w:numFmt w:val="decimal"/>
      <w:lvlText w:val="%1.%2.%3"/>
      <w:lvlJc w:val="left"/>
      <w:pPr>
        <w:tabs>
          <w:tab w:val="num" w:pos="1843"/>
        </w:tabs>
        <w:ind w:left="851" w:firstLine="425"/>
      </w:pPr>
      <w:rPr>
        <w:rFonts w:cs="Times New Roman" w:hint="eastAsia"/>
        <w:b w:val="0"/>
        <w:i w:val="0"/>
        <w:iCs w:val="0"/>
        <w:caps w:val="0"/>
        <w:smallCaps w:val="0"/>
        <w:strike w:val="0"/>
        <w:dstrike w:val="0"/>
        <w:outline w:val="0"/>
        <w:emboss w:val="0"/>
        <w:imprint w:val="0"/>
        <w:vanish w:val="0"/>
        <w:spacing w:val="0"/>
        <w:position w:val="0"/>
        <w:u w:val="none"/>
        <w:vertAlign w:val="baseline"/>
      </w:rPr>
    </w:lvl>
    <w:lvl w:ilvl="3">
      <w:start w:val="1"/>
      <w:numFmt w:val="decimal"/>
      <w:lvlText w:val="%1.%2.%3.%4"/>
      <w:lvlJc w:val="left"/>
      <w:pPr>
        <w:tabs>
          <w:tab w:val="num" w:pos="1984"/>
        </w:tabs>
        <w:ind w:left="1984" w:hanging="708"/>
      </w:pPr>
      <w:rPr>
        <w:rFonts w:ascii="黑体" w:eastAsia="黑体"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5">
    <w:nsid w:val="3C204AC6"/>
    <w:multiLevelType w:val="multilevel"/>
    <w:tmpl w:val="3C204AC6"/>
    <w:lvl w:ilvl="0">
      <w:start w:val="1"/>
      <w:numFmt w:val="decimal"/>
      <w:lvlText w:val="第%1章."/>
      <w:lvlJc w:val="left"/>
      <w:pPr>
        <w:tabs>
          <w:tab w:val="num" w:pos="3305"/>
        </w:tabs>
        <w:ind w:left="330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nsid w:val="440A6DAE"/>
    <w:multiLevelType w:val="multilevel"/>
    <w:tmpl w:val="440A6DAE"/>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nsid w:val="4B3628CF"/>
    <w:multiLevelType w:val="multilevel"/>
    <w:tmpl w:val="4B3628CF"/>
    <w:lvl w:ilvl="0">
      <w:start w:val="1"/>
      <w:numFmt w:val="decimal"/>
      <w:lvlText w:val="%1)"/>
      <w:lvlJc w:val="left"/>
      <w:pPr>
        <w:tabs>
          <w:tab w:val="num" w:pos="773"/>
        </w:tabs>
        <w:ind w:left="773" w:hanging="420"/>
      </w:pPr>
    </w:lvl>
    <w:lvl w:ilvl="1">
      <w:start w:val="1"/>
      <w:numFmt w:val="lowerLetter"/>
      <w:lvlText w:val="%2)"/>
      <w:lvlJc w:val="left"/>
      <w:pPr>
        <w:tabs>
          <w:tab w:val="num" w:pos="1193"/>
        </w:tabs>
        <w:ind w:left="1193" w:hanging="420"/>
      </w:pPr>
    </w:lvl>
    <w:lvl w:ilvl="2">
      <w:start w:val="1"/>
      <w:numFmt w:val="lowerRoman"/>
      <w:lvlText w:val="%3."/>
      <w:lvlJc w:val="right"/>
      <w:pPr>
        <w:tabs>
          <w:tab w:val="num" w:pos="1613"/>
        </w:tabs>
        <w:ind w:left="1613" w:hanging="420"/>
      </w:pPr>
    </w:lvl>
    <w:lvl w:ilvl="3">
      <w:start w:val="1"/>
      <w:numFmt w:val="decimal"/>
      <w:lvlText w:val="%4."/>
      <w:lvlJc w:val="left"/>
      <w:pPr>
        <w:tabs>
          <w:tab w:val="num" w:pos="2033"/>
        </w:tabs>
        <w:ind w:left="2033" w:hanging="420"/>
      </w:pPr>
    </w:lvl>
    <w:lvl w:ilvl="4">
      <w:start w:val="1"/>
      <w:numFmt w:val="lowerLetter"/>
      <w:lvlText w:val="%5)"/>
      <w:lvlJc w:val="left"/>
      <w:pPr>
        <w:tabs>
          <w:tab w:val="num" w:pos="2453"/>
        </w:tabs>
        <w:ind w:left="2453" w:hanging="420"/>
      </w:pPr>
    </w:lvl>
    <w:lvl w:ilvl="5">
      <w:start w:val="1"/>
      <w:numFmt w:val="lowerRoman"/>
      <w:lvlText w:val="%6."/>
      <w:lvlJc w:val="right"/>
      <w:pPr>
        <w:tabs>
          <w:tab w:val="num" w:pos="2873"/>
        </w:tabs>
        <w:ind w:left="2873" w:hanging="420"/>
      </w:pPr>
    </w:lvl>
    <w:lvl w:ilvl="6">
      <w:start w:val="1"/>
      <w:numFmt w:val="decimal"/>
      <w:lvlText w:val="%7."/>
      <w:lvlJc w:val="left"/>
      <w:pPr>
        <w:tabs>
          <w:tab w:val="num" w:pos="3293"/>
        </w:tabs>
        <w:ind w:left="3293" w:hanging="420"/>
      </w:pPr>
    </w:lvl>
    <w:lvl w:ilvl="7">
      <w:start w:val="1"/>
      <w:numFmt w:val="lowerLetter"/>
      <w:lvlText w:val="%8)"/>
      <w:lvlJc w:val="left"/>
      <w:pPr>
        <w:tabs>
          <w:tab w:val="num" w:pos="3713"/>
        </w:tabs>
        <w:ind w:left="3713" w:hanging="420"/>
      </w:pPr>
    </w:lvl>
    <w:lvl w:ilvl="8">
      <w:start w:val="1"/>
      <w:numFmt w:val="lowerRoman"/>
      <w:lvlText w:val="%9."/>
      <w:lvlJc w:val="right"/>
      <w:pPr>
        <w:tabs>
          <w:tab w:val="num" w:pos="4133"/>
        </w:tabs>
        <w:ind w:left="4133" w:hanging="420"/>
      </w:pPr>
    </w:lvl>
  </w:abstractNum>
  <w:abstractNum w:abstractNumId="8">
    <w:nsid w:val="51864743"/>
    <w:multiLevelType w:val="multilevel"/>
    <w:tmpl w:val="51864743"/>
    <w:lvl w:ilvl="0">
      <w:start w:val="1"/>
      <w:numFmt w:val="decimalEnclosedCircle"/>
      <w:lvlText w:val="%1"/>
      <w:lvlJc w:val="left"/>
      <w:pPr>
        <w:ind w:left="960" w:hanging="360"/>
      </w:pPr>
      <w:rPr>
        <w:rFonts w:hint="default"/>
      </w:r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9">
    <w:nsid w:val="536EE813"/>
    <w:multiLevelType w:val="singleLevel"/>
    <w:tmpl w:val="536EE813"/>
    <w:lvl w:ilvl="0">
      <w:start w:val="1"/>
      <w:numFmt w:val="decimal"/>
      <w:lvlText w:val="（%1）"/>
      <w:lvlJc w:val="left"/>
      <w:pPr>
        <w:tabs>
          <w:tab w:val="num" w:pos="283"/>
        </w:tabs>
        <w:ind w:left="425" w:hanging="425"/>
      </w:pPr>
      <w:rPr>
        <w:rFonts w:hint="default"/>
      </w:rPr>
    </w:lvl>
  </w:abstractNum>
  <w:abstractNum w:abstractNumId="10">
    <w:nsid w:val="536EE9DB"/>
    <w:multiLevelType w:val="singleLevel"/>
    <w:tmpl w:val="536EE9DB"/>
    <w:lvl w:ilvl="0">
      <w:start w:val="1"/>
      <w:numFmt w:val="decimal"/>
      <w:lvlText w:val="（%1）"/>
      <w:lvlJc w:val="left"/>
      <w:pPr>
        <w:tabs>
          <w:tab w:val="num" w:pos="808"/>
        </w:tabs>
        <w:ind w:left="950" w:hanging="425"/>
      </w:pPr>
      <w:rPr>
        <w:rFonts w:hint="default"/>
      </w:rPr>
    </w:lvl>
  </w:abstractNum>
  <w:abstractNum w:abstractNumId="11">
    <w:nsid w:val="53D86615"/>
    <w:multiLevelType w:val="singleLevel"/>
    <w:tmpl w:val="53D86615"/>
    <w:lvl w:ilvl="0">
      <w:start w:val="1"/>
      <w:numFmt w:val="decimalEnclosedCircleChinese"/>
      <w:suff w:val="nothing"/>
      <w:lvlText w:val="%1"/>
      <w:lvlJc w:val="left"/>
      <w:pPr>
        <w:ind w:left="0" w:firstLine="400"/>
      </w:pPr>
      <w:rPr>
        <w:rFonts w:hint="eastAsia"/>
      </w:rPr>
    </w:lvl>
  </w:abstractNum>
  <w:abstractNum w:abstractNumId="12">
    <w:nsid w:val="53D86722"/>
    <w:multiLevelType w:val="singleLevel"/>
    <w:tmpl w:val="53D86722"/>
    <w:lvl w:ilvl="0">
      <w:start w:val="1"/>
      <w:numFmt w:val="decimalEnclosedCircleChinese"/>
      <w:suff w:val="nothing"/>
      <w:lvlText w:val="%1"/>
      <w:lvlJc w:val="left"/>
      <w:pPr>
        <w:ind w:left="0" w:firstLine="400"/>
      </w:pPr>
      <w:rPr>
        <w:rFonts w:hint="eastAsia"/>
      </w:rPr>
    </w:lvl>
  </w:abstractNum>
  <w:abstractNum w:abstractNumId="13">
    <w:nsid w:val="53D8683C"/>
    <w:multiLevelType w:val="singleLevel"/>
    <w:tmpl w:val="53D8683C"/>
    <w:lvl w:ilvl="0">
      <w:start w:val="1"/>
      <w:numFmt w:val="decimalEnclosedCircleChinese"/>
      <w:suff w:val="nothing"/>
      <w:lvlText w:val="%1"/>
      <w:lvlJc w:val="left"/>
      <w:pPr>
        <w:ind w:left="0" w:firstLine="400"/>
      </w:pPr>
      <w:rPr>
        <w:rFonts w:hint="eastAsia"/>
      </w:rPr>
    </w:lvl>
  </w:abstractNum>
  <w:abstractNum w:abstractNumId="14">
    <w:nsid w:val="53D869CD"/>
    <w:multiLevelType w:val="singleLevel"/>
    <w:tmpl w:val="53D869CD"/>
    <w:lvl w:ilvl="0">
      <w:start w:val="1"/>
      <w:numFmt w:val="lowerLetter"/>
      <w:lvlText w:val="%1."/>
      <w:lvlJc w:val="left"/>
      <w:pPr>
        <w:tabs>
          <w:tab w:val="num" w:pos="425"/>
        </w:tabs>
        <w:ind w:left="425" w:hanging="425"/>
      </w:pPr>
      <w:rPr>
        <w:rFonts w:hint="default"/>
      </w:rPr>
    </w:lvl>
  </w:abstractNum>
  <w:abstractNum w:abstractNumId="15">
    <w:nsid w:val="54B22629"/>
    <w:multiLevelType w:val="singleLevel"/>
    <w:tmpl w:val="54B22629"/>
    <w:lvl w:ilvl="0">
      <w:start w:val="1"/>
      <w:numFmt w:val="decimal"/>
      <w:lvlText w:val="%1"/>
      <w:lvlJc w:val="left"/>
      <w:pPr>
        <w:tabs>
          <w:tab w:val="num" w:pos="425"/>
        </w:tabs>
        <w:ind w:left="425" w:hanging="425"/>
      </w:pPr>
      <w:rPr>
        <w:rFonts w:ascii="宋体" w:eastAsia="宋体" w:hAnsi="宋体" w:cs="宋体" w:hint="default"/>
      </w:rPr>
    </w:lvl>
  </w:abstractNum>
  <w:abstractNum w:abstractNumId="16">
    <w:nsid w:val="54B22F20"/>
    <w:multiLevelType w:val="multilevel"/>
    <w:tmpl w:val="54B22F20"/>
    <w:lvl w:ilvl="0">
      <w:start w:val="7"/>
      <w:numFmt w:val="chineseCountingThousand"/>
      <w:lvlText w:val="第%1章"/>
      <w:lvlJc w:val="center"/>
      <w:pPr>
        <w:tabs>
          <w:tab w:val="num" w:pos="425"/>
        </w:tabs>
        <w:ind w:left="425" w:hanging="137"/>
      </w:pPr>
      <w:rPr>
        <w:rFonts w:eastAsia="宋体" w:hint="eastAsia"/>
        <w:b/>
        <w:i w:val="0"/>
        <w:color w:val="000000"/>
        <w:sz w:val="30"/>
        <w:szCs w:val="30"/>
      </w:rPr>
    </w:lvl>
    <w:lvl w:ilvl="1">
      <w:start w:val="1"/>
      <w:numFmt w:val="decimal"/>
      <w:lvlText w:val="%2"/>
      <w:lvlJc w:val="left"/>
      <w:pPr>
        <w:tabs>
          <w:tab w:val="num" w:pos="360"/>
        </w:tabs>
        <w:ind w:left="360" w:firstLine="0"/>
      </w:pPr>
      <w:rPr>
        <w:rFonts w:ascii="黑体" w:eastAsia="黑体" w:hAnsi="黑体" w:cs="黑体" w:hint="eastAsia"/>
        <w:b w:val="0"/>
        <w:i w:val="0"/>
        <w:color w:val="auto"/>
        <w:sz w:val="24"/>
        <w:szCs w:val="24"/>
      </w:rPr>
    </w:lvl>
    <w:lvl w:ilvl="2">
      <w:start w:val="1"/>
      <w:numFmt w:val="decimal"/>
      <w:lvlText w:val="%2.%3"/>
      <w:lvlJc w:val="left"/>
      <w:pPr>
        <w:tabs>
          <w:tab w:val="num" w:pos="0"/>
        </w:tabs>
        <w:ind w:left="0" w:firstLine="0"/>
      </w:pPr>
      <w:rPr>
        <w:rFonts w:hint="eastAsia"/>
      </w:rPr>
    </w:lvl>
    <w:lvl w:ilvl="3">
      <w:start w:val="1"/>
      <w:numFmt w:val="decimal"/>
      <w:lvlText w:val="%2.%3.%4"/>
      <w:lvlJc w:val="left"/>
      <w:pPr>
        <w:tabs>
          <w:tab w:val="num" w:pos="-227"/>
        </w:tabs>
        <w:ind w:left="-227" w:firstLine="227"/>
      </w:pPr>
      <w:rPr>
        <w:rFonts w:eastAsia="宋体" w:hint="eastAsia"/>
        <w:b/>
        <w:i w:val="0"/>
        <w:sz w:val="24"/>
        <w:szCs w:val="24"/>
      </w:rPr>
    </w:lvl>
    <w:lvl w:ilvl="4">
      <w:start w:val="1"/>
      <w:numFmt w:val="decimal"/>
      <w:lvlText w:val="%2.%3.%4.%5."/>
      <w:lvlJc w:val="left"/>
      <w:pPr>
        <w:tabs>
          <w:tab w:val="num" w:pos="-227"/>
        </w:tabs>
        <w:ind w:left="-227" w:firstLine="227"/>
      </w:pPr>
      <w:rPr>
        <w:rFonts w:eastAsia="宋体" w:hint="eastAsia"/>
        <w:b/>
        <w:i w:val="0"/>
        <w:color w:val="000000"/>
        <w:sz w:val="24"/>
        <w:szCs w:val="24"/>
      </w:rPr>
    </w:lvl>
    <w:lvl w:ilvl="5">
      <w:start w:val="1"/>
      <w:numFmt w:val="decimal"/>
      <w:lvlText w:val="（%6）"/>
      <w:lvlJc w:val="left"/>
      <w:pPr>
        <w:tabs>
          <w:tab w:val="num" w:pos="540"/>
        </w:tabs>
        <w:ind w:left="540" w:firstLine="0"/>
      </w:pPr>
      <w:rPr>
        <w:rFonts w:ascii="Times New Roman" w:eastAsia="Times New Roman" w:hAnsi="Times New Roman" w:cs="Times New Roman" w:hint="eastAsia"/>
        <w:b w:val="0"/>
        <w:i w:val="0"/>
        <w:sz w:val="24"/>
        <w:szCs w:val="24"/>
        <w:lang w:val="en-US"/>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nsid w:val="54B2361D"/>
    <w:multiLevelType w:val="multilevel"/>
    <w:tmpl w:val="54B2361D"/>
    <w:lvl w:ilvl="0">
      <w:start w:val="1"/>
      <w:numFmt w:val="decimal"/>
      <w:lvlText w:val="%1."/>
      <w:lvlJc w:val="left"/>
      <w:pPr>
        <w:tabs>
          <w:tab w:val="num" w:pos="432"/>
        </w:tabs>
        <w:ind w:left="432" w:hanging="432"/>
      </w:pPr>
      <w:rPr>
        <w:rFonts w:ascii="黑体" w:eastAsia="黑体" w:hAnsi="黑体" w:cs="黑体" w:hint="default"/>
        <w:sz w:val="24"/>
        <w:szCs w:val="24"/>
      </w:rPr>
    </w:lvl>
    <w:lvl w:ilvl="1">
      <w:start w:val="1"/>
      <w:numFmt w:val="decimal"/>
      <w:lvlText w:val="%1.%2."/>
      <w:lvlJc w:val="left"/>
      <w:pPr>
        <w:tabs>
          <w:tab w:val="num" w:pos="575"/>
        </w:tabs>
        <w:ind w:left="575" w:hanging="575"/>
      </w:pPr>
      <w:rPr>
        <w:rFonts w:ascii="黑体" w:eastAsia="黑体" w:hAnsi="黑体" w:cs="黑体" w:hint="default"/>
        <w:sz w:val="24"/>
        <w:szCs w:val="24"/>
      </w:rPr>
    </w:lvl>
    <w:lvl w:ilvl="2">
      <w:start w:val="1"/>
      <w:numFmt w:val="decimal"/>
      <w:isLgl/>
      <w:lvlText w:val="%1.%2.%3"/>
      <w:lvlJc w:val="left"/>
      <w:pPr>
        <w:tabs>
          <w:tab w:val="num" w:pos="720"/>
        </w:tabs>
        <w:ind w:left="720" w:hanging="720"/>
      </w:pPr>
      <w:rPr>
        <w:rFonts w:ascii="宋体" w:eastAsia="宋体" w:hAnsi="宋体" w:cs="宋体" w:hint="default"/>
      </w:rPr>
    </w:lvl>
    <w:lvl w:ilvl="3">
      <w:start w:val="1"/>
      <w:numFmt w:val="decimal"/>
      <w:lvlText w:val="%1.%2.%3.%4"/>
      <w:lvlJc w:val="left"/>
      <w:pPr>
        <w:tabs>
          <w:tab w:val="num" w:pos="864"/>
        </w:tabs>
        <w:ind w:left="864" w:hanging="864"/>
      </w:pPr>
      <w:rPr>
        <w:rFonts w:ascii="宋体" w:eastAsia="宋体" w:hAnsi="宋体" w:cs="宋体"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1"/>
        </w:tabs>
        <w:ind w:left="1151" w:hanging="115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3"/>
        </w:tabs>
        <w:ind w:left="1583" w:hanging="1583"/>
      </w:pPr>
      <w:rPr>
        <w:rFonts w:hint="default"/>
      </w:rPr>
    </w:lvl>
  </w:abstractNum>
  <w:abstractNum w:abstractNumId="18">
    <w:nsid w:val="54C990B0"/>
    <w:multiLevelType w:val="singleLevel"/>
    <w:tmpl w:val="54C990B0"/>
    <w:lvl w:ilvl="0">
      <w:start w:val="1"/>
      <w:numFmt w:val="decimal"/>
      <w:lvlText w:val="1.%1"/>
      <w:lvlJc w:val="left"/>
      <w:pPr>
        <w:tabs>
          <w:tab w:val="num" w:pos="425"/>
        </w:tabs>
        <w:ind w:left="425" w:hanging="425"/>
      </w:pPr>
      <w:rPr>
        <w:rFonts w:ascii="黑体" w:eastAsia="黑体" w:hAnsi="黑体" w:cs="黑体" w:hint="default"/>
      </w:rPr>
    </w:lvl>
  </w:abstractNum>
  <w:abstractNum w:abstractNumId="19">
    <w:nsid w:val="54C99E5C"/>
    <w:multiLevelType w:val="singleLevel"/>
    <w:tmpl w:val="54C99E5C"/>
    <w:lvl w:ilvl="0">
      <w:start w:val="1"/>
      <w:numFmt w:val="decimal"/>
      <w:lvlText w:val="1.2.%1"/>
      <w:lvlJc w:val="left"/>
      <w:pPr>
        <w:tabs>
          <w:tab w:val="num" w:pos="425"/>
        </w:tabs>
        <w:ind w:left="425" w:hanging="425"/>
      </w:pPr>
      <w:rPr>
        <w:rFonts w:hint="default"/>
      </w:rPr>
    </w:lvl>
  </w:abstractNum>
  <w:abstractNum w:abstractNumId="20">
    <w:nsid w:val="54C9A22E"/>
    <w:multiLevelType w:val="singleLevel"/>
    <w:tmpl w:val="54C9A22E"/>
    <w:lvl w:ilvl="0">
      <w:start w:val="1"/>
      <w:numFmt w:val="decimal"/>
      <w:lvlText w:val="（%1）"/>
      <w:lvlJc w:val="left"/>
      <w:pPr>
        <w:tabs>
          <w:tab w:val="num" w:pos="425"/>
        </w:tabs>
        <w:ind w:left="425" w:hanging="425"/>
      </w:pPr>
      <w:rPr>
        <w:rFonts w:ascii="宋体" w:eastAsia="宋体" w:hAnsi="宋体" w:cs="宋体" w:hint="default"/>
      </w:rPr>
    </w:lvl>
  </w:abstractNum>
  <w:abstractNum w:abstractNumId="21">
    <w:nsid w:val="54C9A869"/>
    <w:multiLevelType w:val="singleLevel"/>
    <w:tmpl w:val="54C9A869"/>
    <w:lvl w:ilvl="0">
      <w:start w:val="1"/>
      <w:numFmt w:val="decimal"/>
      <w:lvlText w:val="2.%1"/>
      <w:lvlJc w:val="left"/>
      <w:pPr>
        <w:tabs>
          <w:tab w:val="num" w:pos="425"/>
        </w:tabs>
        <w:ind w:left="425" w:hanging="425"/>
      </w:pPr>
      <w:rPr>
        <w:rFonts w:ascii="黑体" w:eastAsia="黑体" w:hAnsi="黑体" w:cs="黑体" w:hint="default"/>
      </w:rPr>
    </w:lvl>
  </w:abstractNum>
  <w:abstractNum w:abstractNumId="22">
    <w:nsid w:val="54CAFAE8"/>
    <w:multiLevelType w:val="singleLevel"/>
    <w:tmpl w:val="54CAFAE8"/>
    <w:lvl w:ilvl="0">
      <w:start w:val="1"/>
      <w:numFmt w:val="decimal"/>
      <w:suff w:val="nothing"/>
      <w:lvlText w:val="（%1）"/>
      <w:lvlJc w:val="left"/>
    </w:lvl>
  </w:abstractNum>
  <w:abstractNum w:abstractNumId="23">
    <w:nsid w:val="54CB3117"/>
    <w:multiLevelType w:val="singleLevel"/>
    <w:tmpl w:val="54CB3117"/>
    <w:lvl w:ilvl="0">
      <w:start w:val="1"/>
      <w:numFmt w:val="decimal"/>
      <w:lvlText w:val="4.%1"/>
      <w:lvlJc w:val="left"/>
      <w:pPr>
        <w:tabs>
          <w:tab w:val="num" w:pos="425"/>
        </w:tabs>
        <w:ind w:left="425" w:hanging="425"/>
      </w:pPr>
      <w:rPr>
        <w:rFonts w:ascii="黑体" w:eastAsia="黑体" w:hAnsi="黑体" w:cs="黑体" w:hint="default"/>
      </w:rPr>
    </w:lvl>
  </w:abstractNum>
  <w:abstractNum w:abstractNumId="24">
    <w:nsid w:val="54D57547"/>
    <w:multiLevelType w:val="singleLevel"/>
    <w:tmpl w:val="54D57547"/>
    <w:lvl w:ilvl="0">
      <w:start w:val="1"/>
      <w:numFmt w:val="decimal"/>
      <w:lvlText w:val="6.%1"/>
      <w:lvlJc w:val="left"/>
      <w:pPr>
        <w:tabs>
          <w:tab w:val="num" w:pos="425"/>
        </w:tabs>
        <w:ind w:left="425" w:hanging="425"/>
      </w:pPr>
      <w:rPr>
        <w:rFonts w:ascii="黑体" w:eastAsia="黑体" w:hAnsi="黑体" w:cs="黑体" w:hint="default"/>
      </w:rPr>
    </w:lvl>
  </w:abstractNum>
  <w:abstractNum w:abstractNumId="25">
    <w:nsid w:val="54D86786"/>
    <w:multiLevelType w:val="singleLevel"/>
    <w:tmpl w:val="54D86786"/>
    <w:lvl w:ilvl="0">
      <w:start w:val="1"/>
      <w:numFmt w:val="decimal"/>
      <w:lvlText w:val="6.2.%1"/>
      <w:lvlJc w:val="left"/>
      <w:pPr>
        <w:tabs>
          <w:tab w:val="num" w:pos="425"/>
        </w:tabs>
        <w:ind w:left="425" w:hanging="425"/>
      </w:pPr>
      <w:rPr>
        <w:rFonts w:ascii="宋体" w:eastAsia="宋体" w:hAnsi="宋体" w:cs="宋体" w:hint="default"/>
      </w:rPr>
    </w:lvl>
  </w:abstractNum>
  <w:abstractNum w:abstractNumId="26">
    <w:nsid w:val="54D86B92"/>
    <w:multiLevelType w:val="singleLevel"/>
    <w:tmpl w:val="54D86B92"/>
    <w:lvl w:ilvl="0">
      <w:start w:val="1"/>
      <w:numFmt w:val="decimal"/>
      <w:lvlText w:val="7.%1"/>
      <w:lvlJc w:val="left"/>
      <w:pPr>
        <w:tabs>
          <w:tab w:val="num" w:pos="425"/>
        </w:tabs>
        <w:ind w:left="425" w:hanging="425"/>
      </w:pPr>
      <w:rPr>
        <w:rFonts w:ascii="黑体" w:eastAsia="黑体" w:hAnsi="黑体" w:cs="黑体" w:hint="default"/>
      </w:rPr>
    </w:lvl>
  </w:abstractNum>
  <w:abstractNum w:abstractNumId="27">
    <w:nsid w:val="54D87F25"/>
    <w:multiLevelType w:val="singleLevel"/>
    <w:tmpl w:val="54D87F25"/>
    <w:lvl w:ilvl="0">
      <w:start w:val="1"/>
      <w:numFmt w:val="decimal"/>
      <w:lvlText w:val="7.2.%1"/>
      <w:lvlJc w:val="left"/>
      <w:pPr>
        <w:tabs>
          <w:tab w:val="num" w:pos="425"/>
        </w:tabs>
        <w:ind w:left="425" w:hanging="425"/>
      </w:pPr>
      <w:rPr>
        <w:rFonts w:ascii="宋体" w:eastAsia="宋体" w:hAnsi="宋体" w:cs="宋体" w:hint="default"/>
      </w:rPr>
    </w:lvl>
  </w:abstractNum>
  <w:abstractNum w:abstractNumId="28">
    <w:nsid w:val="54D88023"/>
    <w:multiLevelType w:val="singleLevel"/>
    <w:tmpl w:val="54D88023"/>
    <w:lvl w:ilvl="0">
      <w:start w:val="1"/>
      <w:numFmt w:val="decimal"/>
      <w:lvlText w:val="7.3.%1"/>
      <w:lvlJc w:val="left"/>
      <w:pPr>
        <w:tabs>
          <w:tab w:val="num" w:pos="425"/>
        </w:tabs>
        <w:ind w:left="425" w:hanging="425"/>
      </w:pPr>
      <w:rPr>
        <w:rFonts w:ascii="宋体" w:eastAsia="宋体" w:hAnsi="宋体" w:cs="宋体" w:hint="default"/>
      </w:rPr>
    </w:lvl>
  </w:abstractNum>
  <w:abstractNum w:abstractNumId="29">
    <w:nsid w:val="54D972BA"/>
    <w:multiLevelType w:val="singleLevel"/>
    <w:tmpl w:val="54D972BA"/>
    <w:lvl w:ilvl="0">
      <w:start w:val="1"/>
      <w:numFmt w:val="decimal"/>
      <w:lvlText w:val="1.%1"/>
      <w:lvlJc w:val="left"/>
      <w:pPr>
        <w:tabs>
          <w:tab w:val="num" w:pos="425"/>
        </w:tabs>
        <w:ind w:left="425" w:hanging="425"/>
      </w:pPr>
      <w:rPr>
        <w:rFonts w:ascii="黑体" w:eastAsia="黑体" w:hAnsi="黑体" w:cs="黑体" w:hint="default"/>
      </w:rPr>
    </w:lvl>
  </w:abstractNum>
  <w:abstractNum w:abstractNumId="30">
    <w:nsid w:val="54D97EDD"/>
    <w:multiLevelType w:val="multilevel"/>
    <w:tmpl w:val="54D97EDD"/>
    <w:lvl w:ilvl="0">
      <w:start w:val="1"/>
      <w:numFmt w:val="chineseCounting"/>
      <w:lvlText w:val="第%1章  "/>
      <w:lvlJc w:val="left"/>
      <w:pPr>
        <w:tabs>
          <w:tab w:val="num" w:pos="840"/>
        </w:tabs>
        <w:ind w:left="840" w:hanging="840"/>
      </w:pPr>
      <w:rPr>
        <w:rFonts w:ascii="黑体" w:eastAsia="黑体" w:hAnsi="黑体" w:cs="黑体" w:hint="eastAsia"/>
        <w:sz w:val="32"/>
        <w:szCs w:val="32"/>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31">
    <w:nsid w:val="54D98354"/>
    <w:multiLevelType w:val="singleLevel"/>
    <w:tmpl w:val="54D98354"/>
    <w:lvl w:ilvl="0">
      <w:start w:val="1"/>
      <w:numFmt w:val="decimal"/>
      <w:lvlText w:val="1.%1"/>
      <w:lvlJc w:val="left"/>
      <w:pPr>
        <w:tabs>
          <w:tab w:val="num" w:pos="425"/>
        </w:tabs>
        <w:ind w:left="425" w:hanging="425"/>
      </w:pPr>
      <w:rPr>
        <w:rFonts w:ascii="黑体" w:eastAsia="黑体" w:hAnsi="黑体" w:cs="黑体" w:hint="default"/>
      </w:rPr>
    </w:lvl>
  </w:abstractNum>
  <w:abstractNum w:abstractNumId="32">
    <w:nsid w:val="54D985CF"/>
    <w:multiLevelType w:val="singleLevel"/>
    <w:tmpl w:val="54D985CF"/>
    <w:lvl w:ilvl="0">
      <w:start w:val="1"/>
      <w:numFmt w:val="decimal"/>
      <w:lvlText w:val="2.%1"/>
      <w:lvlJc w:val="left"/>
      <w:pPr>
        <w:tabs>
          <w:tab w:val="num" w:pos="425"/>
        </w:tabs>
        <w:ind w:left="425" w:hanging="425"/>
      </w:pPr>
      <w:rPr>
        <w:rFonts w:ascii="宋体" w:eastAsia="宋体" w:hAnsi="宋体" w:cs="宋体" w:hint="default"/>
      </w:rPr>
    </w:lvl>
  </w:abstractNum>
  <w:abstractNum w:abstractNumId="33">
    <w:nsid w:val="54D985F8"/>
    <w:multiLevelType w:val="singleLevel"/>
    <w:tmpl w:val="54D985F8"/>
    <w:lvl w:ilvl="0">
      <w:start w:val="1"/>
      <w:numFmt w:val="decimal"/>
      <w:lvlText w:val="3.%1"/>
      <w:lvlJc w:val="left"/>
      <w:pPr>
        <w:tabs>
          <w:tab w:val="num" w:pos="425"/>
        </w:tabs>
        <w:ind w:left="425" w:hanging="425"/>
      </w:pPr>
      <w:rPr>
        <w:rFonts w:ascii="黑体" w:eastAsia="黑体" w:hAnsi="黑体" w:cs="黑体" w:hint="default"/>
      </w:rPr>
    </w:lvl>
  </w:abstractNum>
  <w:abstractNum w:abstractNumId="34">
    <w:nsid w:val="54D986C4"/>
    <w:multiLevelType w:val="singleLevel"/>
    <w:tmpl w:val="54D986C4"/>
    <w:lvl w:ilvl="0">
      <w:start w:val="1"/>
      <w:numFmt w:val="decimal"/>
      <w:lvlText w:val="4.%1"/>
      <w:lvlJc w:val="left"/>
      <w:pPr>
        <w:tabs>
          <w:tab w:val="num" w:pos="425"/>
        </w:tabs>
        <w:ind w:left="425" w:hanging="425"/>
      </w:pPr>
      <w:rPr>
        <w:rFonts w:ascii="黑体" w:eastAsia="黑体" w:hAnsi="黑体" w:cs="黑体" w:hint="default"/>
      </w:rPr>
    </w:lvl>
  </w:abstractNum>
  <w:abstractNum w:abstractNumId="35">
    <w:nsid w:val="54F2CAE8"/>
    <w:multiLevelType w:val="singleLevel"/>
    <w:tmpl w:val="54F2CAE8"/>
    <w:lvl w:ilvl="0">
      <w:start w:val="3"/>
      <w:numFmt w:val="decimal"/>
      <w:suff w:val="nothing"/>
      <w:lvlText w:val="(%1)"/>
      <w:lvlJc w:val="left"/>
    </w:lvl>
  </w:abstractNum>
  <w:abstractNum w:abstractNumId="36">
    <w:nsid w:val="55B673E3"/>
    <w:multiLevelType w:val="multilevel"/>
    <w:tmpl w:val="55B673E3"/>
    <w:lvl w:ilvl="0">
      <w:start w:val="1"/>
      <w:numFmt w:val="lowerLetter"/>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7">
    <w:nsid w:val="58E226A7"/>
    <w:multiLevelType w:val="multilevel"/>
    <w:tmpl w:val="58E226A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79324AD2"/>
    <w:multiLevelType w:val="multilevel"/>
    <w:tmpl w:val="79324AD2"/>
    <w:lvl w:ilvl="0">
      <w:start w:val="1"/>
      <w:numFmt w:val="decimal"/>
      <w:lvlText w:val="%1)"/>
      <w:lvlJc w:val="left"/>
      <w:pPr>
        <w:tabs>
          <w:tab w:val="num" w:pos="773"/>
        </w:tabs>
        <w:ind w:left="773" w:hanging="420"/>
      </w:pPr>
    </w:lvl>
    <w:lvl w:ilvl="1">
      <w:start w:val="1"/>
      <w:numFmt w:val="lowerLetter"/>
      <w:lvlText w:val="%2)"/>
      <w:lvlJc w:val="left"/>
      <w:pPr>
        <w:tabs>
          <w:tab w:val="num" w:pos="1193"/>
        </w:tabs>
        <w:ind w:left="1193" w:hanging="420"/>
      </w:pPr>
    </w:lvl>
    <w:lvl w:ilvl="2">
      <w:start w:val="1"/>
      <w:numFmt w:val="lowerRoman"/>
      <w:lvlText w:val="%3."/>
      <w:lvlJc w:val="right"/>
      <w:pPr>
        <w:tabs>
          <w:tab w:val="num" w:pos="1613"/>
        </w:tabs>
        <w:ind w:left="1613" w:hanging="420"/>
      </w:pPr>
    </w:lvl>
    <w:lvl w:ilvl="3">
      <w:start w:val="1"/>
      <w:numFmt w:val="decimal"/>
      <w:lvlText w:val="%4."/>
      <w:lvlJc w:val="left"/>
      <w:pPr>
        <w:tabs>
          <w:tab w:val="num" w:pos="2033"/>
        </w:tabs>
        <w:ind w:left="2033" w:hanging="420"/>
      </w:pPr>
    </w:lvl>
    <w:lvl w:ilvl="4">
      <w:start w:val="1"/>
      <w:numFmt w:val="lowerLetter"/>
      <w:lvlText w:val="%5)"/>
      <w:lvlJc w:val="left"/>
      <w:pPr>
        <w:tabs>
          <w:tab w:val="num" w:pos="2453"/>
        </w:tabs>
        <w:ind w:left="2453" w:hanging="420"/>
      </w:pPr>
    </w:lvl>
    <w:lvl w:ilvl="5">
      <w:start w:val="1"/>
      <w:numFmt w:val="lowerRoman"/>
      <w:lvlText w:val="%6."/>
      <w:lvlJc w:val="right"/>
      <w:pPr>
        <w:tabs>
          <w:tab w:val="num" w:pos="2873"/>
        </w:tabs>
        <w:ind w:left="2873" w:hanging="420"/>
      </w:pPr>
    </w:lvl>
    <w:lvl w:ilvl="6">
      <w:start w:val="1"/>
      <w:numFmt w:val="decimal"/>
      <w:lvlText w:val="%7."/>
      <w:lvlJc w:val="left"/>
      <w:pPr>
        <w:tabs>
          <w:tab w:val="num" w:pos="3293"/>
        </w:tabs>
        <w:ind w:left="3293" w:hanging="420"/>
      </w:pPr>
    </w:lvl>
    <w:lvl w:ilvl="7">
      <w:start w:val="1"/>
      <w:numFmt w:val="lowerLetter"/>
      <w:lvlText w:val="%8)"/>
      <w:lvlJc w:val="left"/>
      <w:pPr>
        <w:tabs>
          <w:tab w:val="num" w:pos="3713"/>
        </w:tabs>
        <w:ind w:left="3713" w:hanging="420"/>
      </w:pPr>
    </w:lvl>
    <w:lvl w:ilvl="8">
      <w:start w:val="1"/>
      <w:numFmt w:val="lowerRoman"/>
      <w:lvlText w:val="%9."/>
      <w:lvlJc w:val="right"/>
      <w:pPr>
        <w:tabs>
          <w:tab w:val="num" w:pos="4133"/>
        </w:tabs>
        <w:ind w:left="4133" w:hanging="420"/>
      </w:pPr>
    </w:lvl>
  </w:abstractNum>
  <w:num w:numId="1">
    <w:abstractNumId w:val="17"/>
  </w:num>
  <w:num w:numId="2">
    <w:abstractNumId w:val="30"/>
  </w:num>
  <w:num w:numId="3">
    <w:abstractNumId w:val="4"/>
  </w:num>
  <w:num w:numId="4">
    <w:abstractNumId w:val="16"/>
  </w:num>
  <w:num w:numId="5">
    <w:abstractNumId w:val="5"/>
  </w:num>
  <w:num w:numId="6">
    <w:abstractNumId w:val="30"/>
    <w:lvlOverride w:ilvl="0">
      <w:startOverride w:val="1"/>
    </w:lvlOverride>
  </w:num>
  <w:num w:numId="7">
    <w:abstractNumId w:val="15"/>
  </w:num>
  <w:num w:numId="8">
    <w:abstractNumId w:val="3"/>
  </w:num>
  <w:num w:numId="9">
    <w:abstractNumId w:val="9"/>
  </w:num>
  <w:num w:numId="10">
    <w:abstractNumId w:val="10"/>
  </w:num>
  <w:num w:numId="11">
    <w:abstractNumId w:val="6"/>
  </w:num>
  <w:num w:numId="12">
    <w:abstractNumId w:val="17"/>
    <w:lvlOverride w:ilvl="0">
      <w:startOverride w:val="1"/>
    </w:lvlOverride>
  </w:num>
  <w:num w:numId="13">
    <w:abstractNumId w:val="17"/>
    <w:lvlOverride w:ilvl="0">
      <w:startOverride w:val="1"/>
    </w:lvlOverride>
  </w:num>
  <w:num w:numId="14">
    <w:abstractNumId w:val="18"/>
  </w:num>
  <w:num w:numId="15">
    <w:abstractNumId w:val="19"/>
  </w:num>
  <w:num w:numId="16">
    <w:abstractNumId w:val="20"/>
  </w:num>
  <w:num w:numId="17">
    <w:abstractNumId w:val="36"/>
  </w:num>
  <w:num w:numId="18">
    <w:abstractNumId w:val="8"/>
  </w:num>
  <w:num w:numId="19">
    <w:abstractNumId w:val="21"/>
  </w:num>
  <w:num w:numId="20">
    <w:abstractNumId w:val="22"/>
  </w:num>
  <w:num w:numId="21">
    <w:abstractNumId w:val="23"/>
  </w:num>
  <w:num w:numId="22">
    <w:abstractNumId w:val="24"/>
  </w:num>
  <w:num w:numId="23">
    <w:abstractNumId w:val="25"/>
  </w:num>
  <w:num w:numId="24">
    <w:abstractNumId w:val="11"/>
  </w:num>
  <w:num w:numId="25">
    <w:abstractNumId w:val="0"/>
  </w:num>
  <w:num w:numId="26">
    <w:abstractNumId w:val="12"/>
  </w:num>
  <w:num w:numId="27">
    <w:abstractNumId w:val="13"/>
  </w:num>
  <w:num w:numId="28">
    <w:abstractNumId w:val="14"/>
  </w:num>
  <w:num w:numId="29">
    <w:abstractNumId w:val="26"/>
  </w:num>
  <w:num w:numId="30">
    <w:abstractNumId w:val="37"/>
  </w:num>
  <w:num w:numId="31">
    <w:abstractNumId w:val="27"/>
  </w:num>
  <w:num w:numId="32">
    <w:abstractNumId w:val="28"/>
  </w:num>
  <w:num w:numId="33">
    <w:abstractNumId w:val="17"/>
    <w:lvlOverride w:ilvl="0">
      <w:startOverride w:val="1"/>
    </w:lvlOverride>
  </w:num>
  <w:num w:numId="34">
    <w:abstractNumId w:val="29"/>
  </w:num>
  <w:num w:numId="35">
    <w:abstractNumId w:val="35"/>
  </w:num>
  <w:num w:numId="36">
    <w:abstractNumId w:val="17"/>
    <w:lvlOverride w:ilvl="0">
      <w:startOverride w:val="1"/>
    </w:lvlOverride>
  </w:num>
  <w:num w:numId="37">
    <w:abstractNumId w:val="31"/>
  </w:num>
  <w:num w:numId="38">
    <w:abstractNumId w:val="32"/>
  </w:num>
  <w:num w:numId="39">
    <w:abstractNumId w:val="33"/>
  </w:num>
  <w:num w:numId="40">
    <w:abstractNumId w:val="34"/>
  </w:num>
  <w:num w:numId="41">
    <w:abstractNumId w:val="1"/>
  </w:num>
  <w:num w:numId="42">
    <w:abstractNumId w:val="2"/>
  </w:num>
  <w:num w:numId="43">
    <w:abstractNumId w:val="7"/>
  </w:num>
  <w:num w:numId="44">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VerticalSpacing w:val="160"/>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462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keepLines/>
      <w:numPr>
        <w:ilvl w:val="0"/>
        <w:numId w:val="2"/>
      </w:numPr>
      <w:tabs>
        <w:tab w:val="left" w:pos="425"/>
        <w:tab w:val="clear" w:pos="840"/>
      </w:tabs>
      <w:spacing w:before="100" w:beforeLines="100" w:after="100" w:afterLines="100" w:line="360" w:lineRule="auto"/>
      <w:ind w:left="840" w:hanging="840"/>
      <w:jc w:val="center"/>
      <w:outlineLvl w:val="0"/>
    </w:pPr>
    <w:rPr>
      <w:rFonts w:ascii="Arial" w:eastAsia="黑体" w:hAnsi="Arial"/>
      <w:b w:val="0"/>
      <w:bCs/>
      <w:kern w:val="44"/>
      <w:sz w:val="32"/>
      <w:szCs w:val="44"/>
    </w:rPr>
  </w:style>
  <w:style w:type="paragraph" w:styleId="Heading2">
    <w:name w:val="heading 2"/>
    <w:basedOn w:val="Normal"/>
    <w:next w:val="Normal"/>
    <w:link w:val="2Char"/>
    <w:pPr>
      <w:keepNext/>
      <w:keepLines/>
      <w:numPr>
        <w:ilvl w:val="0"/>
        <w:numId w:val="1"/>
      </w:numPr>
      <w:tabs>
        <w:tab w:val="left" w:pos="360"/>
        <w:tab w:val="clear" w:pos="432"/>
        <w:tab w:val="left" w:pos="575"/>
      </w:tabs>
      <w:spacing w:before="50" w:beforeLines="50" w:after="50" w:afterLines="50" w:line="360" w:lineRule="auto"/>
      <w:ind w:left="432" w:hanging="432"/>
      <w:jc w:val="left"/>
      <w:outlineLvl w:val="1"/>
    </w:pPr>
    <w:rPr>
      <w:rFonts w:ascii="黑体" w:eastAsia="黑体" w:hAnsi="黑体" w:cs="黑体"/>
      <w:sz w:val="24"/>
    </w:rPr>
  </w:style>
  <w:style w:type="paragraph" w:styleId="Heading3">
    <w:name w:val="heading 3"/>
    <w:basedOn w:val="Normal"/>
    <w:next w:val="Normal"/>
    <w:pPr>
      <w:numPr>
        <w:ilvl w:val="1"/>
        <w:numId w:val="1"/>
      </w:numPr>
      <w:tabs>
        <w:tab w:val="left" w:pos="0"/>
        <w:tab w:val="clear" w:pos="575"/>
        <w:tab w:val="left" w:pos="720"/>
      </w:tabs>
      <w:spacing w:before="50" w:beforeLines="50" w:after="50" w:afterLines="50" w:line="360" w:lineRule="auto"/>
      <w:ind w:left="575" w:hanging="575"/>
      <w:jc w:val="left"/>
      <w:outlineLvl w:val="2"/>
    </w:pPr>
    <w:rPr>
      <w:rFonts w:ascii="黑体" w:eastAsia="黑体" w:hAnsi="黑体" w:cs="黑体"/>
      <w:b w:val="0"/>
      <w:bCs w:val="0"/>
      <w:emboss w:val="0"/>
      <w:color w:val="auto"/>
      <w:sz w:val="24"/>
    </w:rPr>
  </w:style>
  <w:style w:type="paragraph" w:styleId="Heading4">
    <w:name w:val="heading 4"/>
    <w:basedOn w:val="Normal"/>
    <w:next w:val="Normal"/>
    <w:pPr>
      <w:keepNext/>
      <w:keepLines/>
      <w:numPr>
        <w:ilvl w:val="2"/>
        <w:numId w:val="1"/>
      </w:numPr>
      <w:tabs>
        <w:tab w:val="left" w:pos="432"/>
        <w:tab w:val="clear" w:pos="720"/>
      </w:tabs>
      <w:spacing w:before="120" w:after="120" w:line="360" w:lineRule="auto"/>
      <w:ind w:left="720" w:hanging="720"/>
      <w:jc w:val="left"/>
      <w:outlineLvl w:val="3"/>
    </w:pPr>
    <w:rPr>
      <w:rFonts w:ascii="Arial" w:eastAsia="宋体" w:hAnsi="Arial"/>
      <w:bCs/>
      <w:sz w:val="24"/>
      <w:szCs w:val="28"/>
    </w:rPr>
  </w:style>
  <w:style w:type="paragraph" w:styleId="Heading5">
    <w:name w:val="heading 5"/>
    <w:basedOn w:val="Normal"/>
    <w:next w:val="Normal"/>
    <w:pPr>
      <w:keepNext/>
      <w:keepLines/>
      <w:numPr>
        <w:ilvl w:val="4"/>
        <w:numId w:val="1"/>
      </w:numPr>
      <w:tabs>
        <w:tab w:val="left" w:pos="1008"/>
      </w:tabs>
      <w:spacing w:before="280" w:after="290" w:line="376" w:lineRule="auto"/>
      <w:ind w:left="1008" w:hanging="1008"/>
      <w:outlineLvl w:val="4"/>
    </w:pPr>
    <w:rPr>
      <w:b/>
      <w:bCs/>
      <w:sz w:val="28"/>
      <w:szCs w:val="28"/>
    </w:rPr>
  </w:style>
  <w:style w:type="paragraph" w:styleId="Heading6">
    <w:name w:val="heading 6"/>
    <w:basedOn w:val="Normal"/>
    <w:next w:val="Normal"/>
    <w:pPr>
      <w:keepNext/>
      <w:keepLines/>
      <w:numPr>
        <w:ilvl w:val="5"/>
        <w:numId w:val="1"/>
      </w:numPr>
      <w:tabs>
        <w:tab w:val="left" w:pos="1151"/>
      </w:tabs>
      <w:spacing w:before="240" w:after="64" w:line="320" w:lineRule="auto"/>
      <w:ind w:left="1151" w:hanging="1151"/>
      <w:outlineLvl w:val="5"/>
    </w:pPr>
    <w:rPr>
      <w:rFonts w:ascii="Arial" w:eastAsia="黑体" w:hAnsi="Arial"/>
      <w:b/>
      <w:bCs/>
      <w:sz w:val="24"/>
    </w:rPr>
  </w:style>
  <w:style w:type="paragraph" w:styleId="Heading7">
    <w:name w:val="heading 7"/>
    <w:basedOn w:val="Normal"/>
    <w:next w:val="Normal"/>
    <w:pPr>
      <w:keepNext/>
      <w:keepLines/>
      <w:numPr>
        <w:ilvl w:val="6"/>
        <w:numId w:val="1"/>
      </w:numPr>
      <w:tabs>
        <w:tab w:val="left" w:pos="1296"/>
      </w:tabs>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pPr>
      <w:keepNext/>
      <w:keepLines/>
      <w:numPr>
        <w:ilvl w:val="7"/>
        <w:numId w:val="1"/>
      </w:numPr>
      <w:tabs>
        <w:tab w:val="left" w:pos="1440"/>
      </w:tabs>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pPr>
      <w:keepNext/>
      <w:keepLines/>
      <w:numPr>
        <w:ilvl w:val="8"/>
        <w:numId w:val="1"/>
      </w:numPr>
      <w:tabs>
        <w:tab w:val="left" w:pos="1583"/>
      </w:tabs>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link w:val="CharCharCharCharCharCharChar1"/>
    <w:semiHidden/>
  </w:style>
  <w:style w:type="table" w:default="1" w:styleId="TableNormal">
    <w:name w:val="Normal Table"/>
    <w:semiHidden/>
    <w:tblPr>
      <w:tblCellMar>
        <w:top w:w="0" w:type="dxa"/>
        <w:left w:w="108" w:type="dxa"/>
        <w:bottom w:w="0" w:type="dxa"/>
        <w:right w:w="108" w:type="dxa"/>
      </w:tblCellMar>
    </w:tblPr>
  </w:style>
  <w:style w:type="character" w:styleId="FollowedHyperlink">
    <w:name w:val="FollowedHyperlink"/>
    <w:basedOn w:val="DefaultParagraphFont"/>
    <w:rPr>
      <w:color w:val="800080"/>
      <w:u w:val="single"/>
    </w:rPr>
  </w:style>
  <w:style w:type="character" w:styleId="Strong">
    <w:name w:val="Strong"/>
    <w:basedOn w:val="DefaultParagraphFont"/>
    <w:rPr>
      <w:b/>
      <w:bCs/>
    </w:r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styleId="CommentReference">
    <w:name w:val="annotation reference"/>
    <w:basedOn w:val="DefaultParagraphFont"/>
    <w:semiHidden/>
    <w:rPr>
      <w:sz w:val="21"/>
      <w:szCs w:val="21"/>
    </w:rPr>
  </w:style>
  <w:style w:type="character" w:customStyle="1" w:styleId="2Char">
    <w:name w:val="标题 2 Char"/>
    <w:basedOn w:val="DefaultParagraphFont"/>
    <w:link w:val="Heading2"/>
    <w:rPr>
      <w:rFonts w:ascii="黑体" w:eastAsia="黑体" w:hAnsi="黑体" w:cs="黑体"/>
      <w:b w:val="0"/>
      <w:bCs w:val="0"/>
      <w:emboss w:val="0"/>
      <w:color w:val="auto"/>
      <w:kern w:val="2"/>
      <w:sz w:val="24"/>
      <w:szCs w:val="24"/>
      <w:lang w:val="en-US" w:eastAsia="zh-CN" w:bidi="ar-SA"/>
    </w:rPr>
  </w:style>
  <w:style w:type="character" w:customStyle="1" w:styleId="20085Char">
    <w:name w:val="样式 样式 小四 行距: 固定值 20 磅 + 首行缩进:  0.85 厘米 Char"/>
    <w:basedOn w:val="DefaultParagraphFont"/>
    <w:link w:val="20085"/>
    <w:rPr>
      <w:rFonts w:eastAsia="宋体" w:cs="宋体"/>
      <w:kern w:val="2"/>
      <w:sz w:val="24"/>
      <w:lang w:val="en-US" w:eastAsia="zh-CN" w:bidi="ar-SA"/>
    </w:rPr>
  </w:style>
  <w:style w:type="paragraph" w:styleId="DocumentMap">
    <w:name w:val="Document Map"/>
    <w:basedOn w:val="Normal"/>
    <w:semiHidden/>
    <w:pPr>
      <w:shd w:val="clear" w:color="auto" w:fill="000080"/>
    </w:pPr>
  </w:style>
  <w:style w:type="paragraph" w:styleId="CommentText">
    <w:name w:val="annotation text"/>
    <w:basedOn w:val="Normal"/>
    <w:semiHidden/>
    <w:pPr>
      <w:jc w:val="left"/>
    </w:pPr>
  </w:style>
  <w:style w:type="paragraph" w:styleId="TOC7">
    <w:name w:val="toc 7"/>
    <w:basedOn w:val="Normal"/>
    <w:next w:val="Normal"/>
    <w:pPr>
      <w:ind w:left="2520" w:leftChars="1200"/>
    </w:pPr>
  </w:style>
  <w:style w:type="paragraph" w:styleId="CommentSubject">
    <w:name w:val="annotation subject"/>
    <w:basedOn w:val="CommentText"/>
    <w:next w:val="CommentText"/>
    <w:semiHidden/>
    <w:rPr>
      <w:b/>
      <w:bCs/>
    </w:rPr>
  </w:style>
  <w:style w:type="paragraph" w:styleId="NormalIndent">
    <w:name w:val="Normal Indent"/>
    <w:basedOn w:val="Normal"/>
    <w:pPr>
      <w:adjustRightInd w:val="0"/>
      <w:snapToGrid w:val="0"/>
      <w:spacing w:line="460" w:lineRule="atLeast"/>
      <w:ind w:firstLine="510"/>
    </w:pPr>
    <w:rPr>
      <w:rFonts w:ascii="RomanS" w:hAnsi="RomanS"/>
      <w:sz w:val="24"/>
      <w:szCs w:val="20"/>
    </w:rPr>
  </w:style>
  <w:style w:type="paragraph" w:styleId="BodyText">
    <w:name w:val="Body Text"/>
    <w:basedOn w:val="Normal"/>
    <w:pPr>
      <w:spacing w:line="320" w:lineRule="exact"/>
      <w:jc w:val="center"/>
    </w:pPr>
    <w:rPr>
      <w:rFonts w:ascii="Arial" w:hAnsi="Arial"/>
      <w:sz w:val="24"/>
    </w:rPr>
  </w:style>
  <w:style w:type="paragraph" w:styleId="TOC6">
    <w:name w:val="toc 6"/>
    <w:basedOn w:val="Normal"/>
    <w:next w:val="Normal"/>
    <w:pPr>
      <w:ind w:left="2100" w:leftChars="1000"/>
    </w:pPr>
  </w:style>
  <w:style w:type="paragraph" w:styleId="TOC1">
    <w:name w:val="toc 1"/>
    <w:basedOn w:val="Normal"/>
    <w:next w:val="Normal"/>
    <w:semiHidden/>
    <w:pPr>
      <w:spacing w:line="360" w:lineRule="auto"/>
      <w:ind w:firstLine="0" w:firstLineChars="0"/>
    </w:pPr>
    <w:rPr>
      <w:rFonts w:ascii="Times New Roman" w:eastAsia="宋体" w:hAnsi="Times New Roman" w:cs="Times New Roman"/>
      <w:b/>
      <w:bCs/>
      <w:sz w:val="24"/>
    </w:rPr>
  </w:style>
  <w:style w:type="paragraph" w:styleId="TOC8">
    <w:name w:val="toc 8"/>
    <w:basedOn w:val="Normal"/>
    <w:next w:val="Normal"/>
    <w:pPr>
      <w:ind w:left="2940" w:leftChars="1400"/>
    </w:pPr>
  </w:style>
  <w:style w:type="paragraph" w:styleId="TOC3">
    <w:name w:val="toc 3"/>
    <w:basedOn w:val="Normal"/>
    <w:next w:val="Normal"/>
    <w:semiHidden/>
    <w:pPr>
      <w:spacing w:line="360" w:lineRule="auto"/>
      <w:ind w:left="0" w:firstLine="960" w:leftChars="0" w:firstLineChars="400"/>
    </w:pPr>
    <w:rPr>
      <w:rFonts w:ascii="Times New Roman" w:hAnsi="Times New Roman" w:cs="Times New Roman"/>
      <w:sz w:val="24"/>
      <w:szCs w:val="24"/>
      <w:lang w:bidi="ar-SA"/>
    </w:rPr>
  </w:style>
  <w:style w:type="paragraph" w:styleId="Footer">
    <w:name w:val="footer"/>
    <w:basedOn w:val="Normal"/>
    <w:pPr>
      <w:tabs>
        <w:tab w:val="center" w:pos="4153"/>
        <w:tab w:val="right" w:pos="8306"/>
      </w:tabs>
      <w:snapToGrid w:val="0"/>
      <w:jc w:val="left"/>
    </w:pPr>
    <w:rPr>
      <w:sz w:val="18"/>
      <w:szCs w:val="18"/>
    </w:rPr>
  </w:style>
  <w:style w:type="paragraph" w:styleId="TOC5">
    <w:name w:val="toc 5"/>
    <w:basedOn w:val="Normal"/>
    <w:next w:val="Normal"/>
    <w:pPr>
      <w:ind w:left="1680" w:leftChars="800"/>
    </w:pPr>
  </w:style>
  <w:style w:type="paragraph" w:styleId="PlainText">
    <w:name w:val="Plain Text"/>
    <w:basedOn w:val="Normal"/>
    <w:rPr>
      <w:rFonts w:ascii="宋体" w:hAnsi="Courier New" w:cs="Courier New"/>
      <w:szCs w:val="21"/>
    </w:rPr>
  </w:style>
  <w:style w:type="paragraph" w:styleId="List">
    <w:name w:val="List"/>
    <w:basedOn w:val="Normal"/>
    <w:pPr>
      <w:ind w:left="200" w:hanging="200" w:hangingChars="200"/>
    </w:pPr>
    <w:rPr>
      <w:szCs w:val="20"/>
    </w:rPr>
  </w:style>
  <w:style w:type="paragraph" w:styleId="TOC4">
    <w:name w:val="toc 4"/>
    <w:basedOn w:val="Normal"/>
    <w:next w:val="Normal"/>
    <w:pPr>
      <w:ind w:left="1260" w:leftChars="6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alloonText">
    <w:name w:val="Balloon Text"/>
    <w:basedOn w:val="Normal"/>
    <w:semiHidden/>
    <w:rPr>
      <w:sz w:val="18"/>
      <w:szCs w:val="18"/>
    </w:rPr>
  </w:style>
  <w:style w:type="paragraph" w:styleId="Date">
    <w:name w:val="Date"/>
    <w:basedOn w:val="Normal"/>
    <w:next w:val="Normal"/>
    <w:pPr>
      <w:ind w:left="100" w:leftChars="2500"/>
    </w:pPr>
  </w:style>
  <w:style w:type="paragraph" w:customStyle="1" w:styleId="a">
    <w:name w:val="表格内容"/>
    <w:basedOn w:val="Normal"/>
    <w:pPr>
      <w:spacing w:line="240" w:lineRule="exact"/>
      <w:jc w:val="center"/>
    </w:pPr>
    <w:rPr>
      <w:rFonts w:ascii="宋体" w:hAnsi="宋体"/>
      <w:szCs w:val="21"/>
    </w:rPr>
  </w:style>
  <w:style w:type="paragraph" w:customStyle="1" w:styleId="a0">
    <w:name w:val="二级标题"/>
    <w:basedOn w:val="Normal"/>
    <w:pPr>
      <w:overflowPunct w:val="0"/>
      <w:autoSpaceDE w:val="0"/>
      <w:autoSpaceDN w:val="0"/>
      <w:adjustRightInd w:val="0"/>
      <w:spacing w:before="120" w:beforeLines="0" w:after="120" w:afterLines="0" w:line="440" w:lineRule="exact"/>
      <w:ind w:left="420" w:hanging="420"/>
      <w:jc w:val="left"/>
      <w:textAlignment w:val="baseline"/>
    </w:pPr>
    <w:rPr>
      <w:rFonts w:ascii="宋体" w:hAnsi="宋体"/>
      <w:kern w:val="0"/>
      <w:sz w:val="28"/>
      <w:szCs w:val="24"/>
    </w:rPr>
  </w:style>
  <w:style w:type="paragraph" w:customStyle="1" w:styleId="CharCharCharCharCharCharChar1">
    <w:name w:val=" Char Char Char Char Char Char Char1"/>
    <w:basedOn w:val="Normal"/>
    <w:link w:val="DefaultParagraphFont"/>
  </w:style>
  <w:style w:type="paragraph" w:styleId="TOC2">
    <w:name w:val="toc 2"/>
    <w:basedOn w:val="Normal"/>
    <w:next w:val="Normal"/>
    <w:semiHidden/>
    <w:pPr>
      <w:spacing w:line="360" w:lineRule="auto"/>
      <w:ind w:left="0" w:firstLine="480" w:leftChars="0"/>
    </w:pPr>
    <w:rPr>
      <w:rFonts w:ascii="Times New Roman" w:hAnsi="Times New Roman" w:cs="Times New Roman"/>
      <w:sz w:val="24"/>
      <w:szCs w:val="24"/>
      <w:lang w:bidi="ar-SA"/>
    </w:rPr>
  </w:style>
  <w:style w:type="paragraph" w:customStyle="1" w:styleId="xl99">
    <w:name w:val="xl99"/>
    <w:basedOn w:val="Normal"/>
    <w:pPr>
      <w:widowControl/>
      <w:pBdr>
        <w:top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6"/>
      <w:szCs w:val="16"/>
    </w:rPr>
  </w:style>
  <w:style w:type="paragraph" w:customStyle="1" w:styleId="xl75">
    <w:name w:val="xl7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20"/>
      <w:szCs w:val="20"/>
    </w:rPr>
  </w:style>
  <w:style w:type="paragraph" w:customStyle="1" w:styleId="xl74">
    <w:name w:val="xl74"/>
    <w:basedOn w:val="Normal"/>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20"/>
      <w:szCs w:val="20"/>
    </w:rPr>
  </w:style>
  <w:style w:type="paragraph" w:customStyle="1" w:styleId="xl69">
    <w:name w:val="xl6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20"/>
      <w:szCs w:val="20"/>
    </w:rPr>
  </w:style>
  <w:style w:type="paragraph" w:customStyle="1" w:styleId="xl82">
    <w:name w:val="xl82"/>
    <w:basedOn w:val="Normal"/>
    <w:pPr>
      <w:widowControl/>
      <w:pBdr>
        <w:top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20"/>
      <w:szCs w:val="20"/>
    </w:rPr>
  </w:style>
  <w:style w:type="paragraph" w:customStyle="1" w:styleId="xl88">
    <w:name w:val="xl88"/>
    <w:basedOn w:val="Normal"/>
    <w:pPr>
      <w:widowControl/>
      <w:spacing w:before="100" w:beforeAutospacing="1" w:after="100" w:afterAutospacing="1"/>
      <w:jc w:val="center"/>
      <w:textAlignment w:val="top"/>
    </w:pPr>
    <w:rPr>
      <w:rFonts w:ascii="黑体" w:eastAsia="黑体" w:hAnsi="宋体" w:cs="宋体"/>
      <w:b/>
      <w:bCs/>
      <w:kern w:val="0"/>
      <w:sz w:val="36"/>
      <w:szCs w:val="36"/>
      <w:u w:val="double"/>
    </w:rPr>
  </w:style>
  <w:style w:type="paragraph" w:styleId="TOC9">
    <w:name w:val="toc 9"/>
    <w:basedOn w:val="Normal"/>
    <w:next w:val="Normal"/>
    <w:pPr>
      <w:ind w:left="3360" w:leftChars="1600"/>
    </w:pPr>
  </w:style>
  <w:style w:type="paragraph" w:customStyle="1" w:styleId="T2">
    <w:name w:val="T2站正文"/>
    <w:basedOn w:val="Normal"/>
    <w:pPr>
      <w:spacing w:line="360" w:lineRule="auto"/>
      <w:ind w:firstLine="200" w:firstLineChars="200"/>
      <w:textAlignment w:val="baseline"/>
    </w:pPr>
    <w:rPr>
      <w:rFonts w:ascii="仿宋_GB2312" w:eastAsia="仿宋_GB2312" w:hAnsi="Times New Roman"/>
      <w:sz w:val="28"/>
      <w:szCs w:val="28"/>
    </w:rPr>
  </w:style>
  <w:style w:type="paragraph" w:customStyle="1" w:styleId="1">
    <w:name w:val="施工方案1级标题"/>
    <w:basedOn w:val="Normal"/>
    <w:next w:val="Normal"/>
    <w:pPr>
      <w:numPr>
        <w:ilvl w:val="1"/>
        <w:numId w:val="3"/>
      </w:numPr>
      <w:tabs>
        <w:tab w:val="left" w:pos="0"/>
        <w:tab w:val="clear" w:pos="1827"/>
      </w:tabs>
      <w:adjustRightInd w:val="0"/>
      <w:spacing w:before="50" w:beforeLines="50" w:after="50" w:afterLines="50" w:line="440" w:lineRule="exact"/>
      <w:outlineLvl w:val="0"/>
    </w:pPr>
    <w:rPr>
      <w:rFonts w:ascii="黑体" w:eastAsia="黑体" w:hAnsi="Arial Black"/>
      <w:bCs/>
      <w:shadow/>
      <w:sz w:val="28"/>
      <w:szCs w:val="28"/>
    </w:rPr>
  </w:style>
  <w:style w:type="paragraph" w:customStyle="1" w:styleId="xl100">
    <w:name w:val="xl100"/>
    <w:basedOn w:val="Normal"/>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6"/>
      <w:szCs w:val="16"/>
    </w:rPr>
  </w:style>
  <w:style w:type="paragraph" w:customStyle="1" w:styleId="xl83">
    <w:name w:val="xl83"/>
    <w:basedOn w:val="Normal"/>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customStyle="1" w:styleId="xl81">
    <w:name w:val="xl81"/>
    <w:basedOn w:val="Normal"/>
    <w:pPr>
      <w:widowControl/>
      <w:pBdr>
        <w:left w:val="double" w:sz="6" w:space="0" w:color="auto"/>
        <w:bottom w:val="single" w:sz="8" w:space="0" w:color="auto"/>
        <w:right w:val="single" w:sz="4" w:space="0" w:color="auto"/>
      </w:pBdr>
      <w:spacing w:before="100" w:beforeAutospacing="1" w:after="100" w:afterAutospacing="1"/>
      <w:jc w:val="center"/>
      <w:textAlignment w:val="top"/>
    </w:pPr>
    <w:rPr>
      <w:rFonts w:ascii="宋体" w:hAnsi="宋体" w:cs="宋体"/>
      <w:kern w:val="0"/>
      <w:sz w:val="20"/>
      <w:szCs w:val="20"/>
    </w:rPr>
  </w:style>
  <w:style w:type="paragraph" w:customStyle="1" w:styleId="xl103">
    <w:name w:val="xl103"/>
    <w:basedOn w:val="Normal"/>
    <w:pPr>
      <w:widowControl/>
      <w:pBdr>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86">
    <w:name w:val="xl86"/>
    <w:basedOn w:val="Normal"/>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font9">
    <w:name w:val="font9"/>
    <w:basedOn w:val="Normal"/>
    <w:pPr>
      <w:widowControl/>
      <w:spacing w:before="100" w:beforeAutospacing="1" w:after="100" w:afterAutospacing="1"/>
      <w:jc w:val="left"/>
    </w:pPr>
    <w:rPr>
      <w:rFonts w:ascii="宋体" w:hAnsi="宋体" w:cs="宋体"/>
      <w:b/>
      <w:bCs/>
      <w:color w:val="000000"/>
      <w:kern w:val="0"/>
      <w:sz w:val="18"/>
      <w:szCs w:val="18"/>
    </w:rPr>
  </w:style>
  <w:style w:type="paragraph" w:customStyle="1" w:styleId="font7">
    <w:name w:val="font7"/>
    <w:basedOn w:val="Normal"/>
    <w:pPr>
      <w:widowControl/>
      <w:spacing w:before="100" w:beforeAutospacing="1" w:after="100" w:afterAutospacing="1"/>
      <w:jc w:val="left"/>
    </w:pPr>
    <w:rPr>
      <w:rFonts w:ascii="宋体" w:hAnsi="宋体" w:cs="宋体"/>
      <w:b/>
      <w:bCs/>
      <w:kern w:val="0"/>
      <w:sz w:val="20"/>
      <w:szCs w:val="20"/>
    </w:rPr>
  </w:style>
  <w:style w:type="paragraph" w:customStyle="1" w:styleId="xl66">
    <w:name w:val="xl66"/>
    <w:basedOn w:val="Normal"/>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94">
    <w:name w:val="xl94"/>
    <w:basedOn w:val="Normal"/>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6"/>
      <w:szCs w:val="16"/>
    </w:rPr>
  </w:style>
  <w:style w:type="paragraph" w:customStyle="1" w:styleId="xl96">
    <w:name w:val="xl96"/>
    <w:basedOn w:val="Normal"/>
    <w:pPr>
      <w:widowControl/>
      <w:pBdr>
        <w:top w:val="single" w:sz="8"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宋体" w:hAnsi="宋体" w:cs="宋体"/>
      <w:b/>
      <w:bCs/>
      <w:kern w:val="0"/>
      <w:sz w:val="16"/>
      <w:szCs w:val="16"/>
    </w:rPr>
  </w:style>
  <w:style w:type="paragraph" w:customStyle="1" w:styleId="xl110">
    <w:name w:val="xl110"/>
    <w:basedOn w:val="Normal"/>
    <w:pPr>
      <w:widowControl/>
      <w:pBdr>
        <w:bottom w:val="single" w:sz="4" w:space="0" w:color="auto"/>
        <w:right w:val="single" w:sz="4" w:space="0" w:color="auto"/>
      </w:pBdr>
      <w:spacing w:before="100" w:beforeAutospacing="1" w:after="100" w:afterAutospacing="1"/>
      <w:jc w:val="left"/>
      <w:textAlignment w:val="top"/>
    </w:pPr>
    <w:rPr>
      <w:rFonts w:ascii="宋体" w:hAnsi="宋体" w:cs="宋体"/>
      <w:kern w:val="0"/>
      <w:sz w:val="24"/>
    </w:rPr>
  </w:style>
  <w:style w:type="paragraph" w:customStyle="1" w:styleId="xl92">
    <w:name w:val="xl92"/>
    <w:basedOn w:val="Normal"/>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02">
    <w:name w:val="xl102"/>
    <w:basedOn w:val="Normal"/>
    <w:pPr>
      <w:widowControl/>
      <w:pBdr>
        <w:top w:val="single" w:sz="8"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80">
    <w:name w:val="xl80"/>
    <w:basedOn w:val="Normal"/>
    <w:pPr>
      <w:widowControl/>
      <w:pBdr>
        <w:top w:val="single" w:sz="4" w:space="0" w:color="auto"/>
        <w:left w:val="single" w:sz="4" w:space="0" w:color="auto"/>
        <w:bottom w:val="single" w:sz="8" w:space="0" w:color="auto"/>
        <w:right w:val="double" w:sz="6" w:space="0" w:color="auto"/>
      </w:pBdr>
      <w:spacing w:before="100" w:beforeAutospacing="1" w:after="100" w:afterAutospacing="1"/>
      <w:jc w:val="center"/>
      <w:textAlignment w:val="top"/>
    </w:pPr>
    <w:rPr>
      <w:rFonts w:ascii="宋体" w:hAnsi="宋体" w:cs="宋体"/>
      <w:kern w:val="0"/>
      <w:sz w:val="20"/>
      <w:szCs w:val="20"/>
    </w:rPr>
  </w:style>
  <w:style w:type="paragraph" w:customStyle="1" w:styleId="xl104">
    <w:name w:val="xl104"/>
    <w:basedOn w:val="Normal"/>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Default">
    <w:name w:val="Default"/>
    <w:pPr>
      <w:widowControl w:val="0"/>
      <w:autoSpaceDE w:val="0"/>
      <w:autoSpaceDN w:val="0"/>
      <w:adjustRightInd w:val="0"/>
    </w:pPr>
    <w:rPr>
      <w:rFonts w:ascii="幼圆" w:hAnsi="幼圆" w:cs="幼圆"/>
      <w:color w:val="000000"/>
      <w:sz w:val="24"/>
      <w:szCs w:val="24"/>
      <w:lang w:val="en-US" w:eastAsia="zh-CN" w:bidi="ar-SA"/>
    </w:rPr>
  </w:style>
  <w:style w:type="paragraph" w:customStyle="1" w:styleId="a1">
    <w:name w:val="样式 居中"/>
    <w:basedOn w:val="Normal"/>
    <w:pPr>
      <w:snapToGrid w:val="0"/>
      <w:jc w:val="center"/>
    </w:pPr>
    <w:rPr>
      <w:rFonts w:ascii="Times New Roman" w:eastAsia="仿宋_GB2312" w:hAnsi="Times New Roman" w:cs="宋体"/>
      <w:sz w:val="24"/>
      <w:szCs w:val="28"/>
    </w:rPr>
  </w:style>
  <w:style w:type="paragraph" w:styleId="ListParagraph">
    <w:name w:val="List Paragraph"/>
    <w:basedOn w:val="Normal"/>
    <w:uiPriority w:val="34"/>
    <w:qFormat/>
    <w:pPr>
      <w:ind w:firstLine="420" w:firstLineChars="200"/>
    </w:pPr>
  </w:style>
  <w:style w:type="paragraph" w:customStyle="1" w:styleId="a2">
    <w:name w:val="表内容"/>
    <w:basedOn w:val="Normal"/>
    <w:pPr>
      <w:spacing w:line="320" w:lineRule="exact"/>
    </w:pPr>
    <w:rPr>
      <w:kern w:val="24"/>
      <w:szCs w:val="21"/>
    </w:rPr>
  </w:style>
  <w:style w:type="paragraph" w:customStyle="1" w:styleId="xl106">
    <w:name w:val="xl106"/>
    <w:basedOn w:val="Normal"/>
    <w:pPr>
      <w:widowControl/>
      <w:pBdr>
        <w:top w:val="single" w:sz="4" w:space="0" w:color="auto"/>
        <w:right w:val="single" w:sz="4" w:space="0" w:color="auto"/>
      </w:pBdr>
      <w:spacing w:before="100" w:beforeAutospacing="1" w:after="100" w:afterAutospacing="1"/>
      <w:jc w:val="left"/>
      <w:textAlignment w:val="top"/>
    </w:pPr>
    <w:rPr>
      <w:rFonts w:ascii="宋体" w:hAnsi="宋体" w:cs="宋体"/>
      <w:kern w:val="0"/>
      <w:sz w:val="24"/>
    </w:rPr>
  </w:style>
  <w:style w:type="paragraph" w:customStyle="1" w:styleId="5">
    <w:name w:val="5"/>
    <w:basedOn w:val="Normal"/>
    <w:qFormat/>
    <w:pPr>
      <w:autoSpaceDE w:val="0"/>
      <w:autoSpaceDN w:val="0"/>
      <w:adjustRightInd w:val="0"/>
      <w:spacing w:before="156" w:beforeLines="50" w:after="156" w:afterLines="50"/>
      <w:ind w:firstLine="361" w:firstLineChars="150"/>
      <w:jc w:val="left"/>
      <w:outlineLvl w:val="2"/>
    </w:pPr>
    <w:rPr>
      <w:rFonts w:ascii="TimesNewRomanPSMT" w:hAnsi="TimesNewRomanPSMT"/>
      <w:b/>
      <w:kern w:val="0"/>
      <w:sz w:val="24"/>
      <w:szCs w:val="24"/>
    </w:rPr>
  </w:style>
  <w:style w:type="paragraph" w:customStyle="1" w:styleId="2">
    <w:name w:val="样式 正文段落格式 + 首行缩进:  2 字符"/>
    <w:basedOn w:val="Normal"/>
    <w:pPr>
      <w:spacing w:line="480" w:lineRule="exact"/>
      <w:ind w:firstLine="480" w:firstLineChars="200"/>
    </w:pPr>
    <w:rPr>
      <w:rFonts w:cs="宋体"/>
      <w:color w:val="3333FF"/>
      <w:sz w:val="24"/>
      <w:szCs w:val="20"/>
    </w:rPr>
  </w:style>
  <w:style w:type="paragraph" w:customStyle="1" w:styleId="xl95">
    <w:name w:val="xl9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6"/>
      <w:szCs w:val="16"/>
    </w:rPr>
  </w:style>
  <w:style w:type="paragraph" w:customStyle="1" w:styleId="xl97">
    <w:name w:val="xl97"/>
    <w:basedOn w:val="Normal"/>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宋体" w:hAnsi="宋体" w:cs="宋体"/>
      <w:b/>
      <w:bCs/>
      <w:kern w:val="0"/>
      <w:sz w:val="16"/>
      <w:szCs w:val="16"/>
    </w:rPr>
  </w:style>
  <w:style w:type="paragraph" w:customStyle="1" w:styleId="xl77">
    <w:name w:val="xl77"/>
    <w:basedOn w:val="Normal"/>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10">
    <w:name w:val="样式1"/>
    <w:basedOn w:val="Heading4"/>
    <w:pPr>
      <w:keepNext w:val="0"/>
      <w:keepLines w:val="0"/>
      <w:numPr>
        <w:ilvl w:val="3"/>
        <w:numId w:val="4"/>
      </w:numPr>
      <w:tabs>
        <w:tab w:val="left" w:pos="-227"/>
        <w:tab w:val="clear" w:pos="432"/>
      </w:tabs>
      <w:spacing w:before="60" w:after="60" w:line="400" w:lineRule="exact"/>
    </w:pPr>
    <w:rPr>
      <w:rFonts w:eastAsia="宋体"/>
      <w:snapToGrid w:val="0"/>
      <w:kern w:val="0"/>
      <w:sz w:val="24"/>
    </w:rPr>
  </w:style>
  <w:style w:type="paragraph" w:customStyle="1" w:styleId="20">
    <w:name w:val="2"/>
    <w:basedOn w:val="Normal"/>
    <w:qFormat/>
    <w:pPr>
      <w:spacing w:line="360" w:lineRule="auto"/>
      <w:ind w:firstLine="480" w:firstLineChars="200"/>
    </w:pPr>
    <w:rPr>
      <w:rFonts w:ascii="宋体" w:hAnsi="宋体"/>
      <w:sz w:val="24"/>
      <w:szCs w:val="28"/>
    </w:rPr>
  </w:style>
  <w:style w:type="paragraph" w:customStyle="1" w:styleId="xl79">
    <w:name w:val="xl79"/>
    <w:basedOn w:val="Normal"/>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宋体" w:hAnsi="宋体" w:cs="宋体"/>
      <w:kern w:val="0"/>
      <w:sz w:val="20"/>
      <w:szCs w:val="20"/>
    </w:rPr>
  </w:style>
  <w:style w:type="paragraph" w:customStyle="1" w:styleId="a3">
    <w:name w:val="表格文字"/>
    <w:basedOn w:val="Normal"/>
    <w:pPr>
      <w:tabs>
        <w:tab w:val="left" w:pos="180"/>
      </w:tabs>
      <w:spacing w:line="280" w:lineRule="exact"/>
      <w:jc w:val="center"/>
      <w:textAlignment w:val="center"/>
    </w:pPr>
    <w:rPr>
      <w:rFonts w:ascii="宋体" w:hAnsi="宋体"/>
      <w:szCs w:val="24"/>
    </w:rPr>
  </w:style>
  <w:style w:type="paragraph" w:customStyle="1" w:styleId="xl76">
    <w:name w:val="xl76"/>
    <w:basedOn w:val="Normal"/>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top"/>
    </w:pPr>
    <w:rPr>
      <w:rFonts w:ascii="宋体" w:hAnsi="宋体" w:cs="宋体"/>
      <w:kern w:val="0"/>
      <w:sz w:val="20"/>
      <w:szCs w:val="20"/>
    </w:rPr>
  </w:style>
  <w:style w:type="paragraph" w:customStyle="1" w:styleId="xl85">
    <w:name w:val="xl85"/>
    <w:basedOn w:val="Normal"/>
    <w:pPr>
      <w:widowControl/>
      <w:pBdr>
        <w:top w:val="single" w:sz="4" w:space="0" w:color="auto"/>
        <w:bottom w:val="single" w:sz="8"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8">
    <w:name w:val="xl78"/>
    <w:basedOn w:val="Normal"/>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宋体" w:hAnsi="宋体" w:cs="宋体"/>
      <w:kern w:val="0"/>
      <w:sz w:val="20"/>
      <w:szCs w:val="20"/>
    </w:rPr>
  </w:style>
  <w:style w:type="paragraph" w:customStyle="1" w:styleId="xl93">
    <w:name w:val="xl93"/>
    <w:basedOn w:val="Normal"/>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90">
    <w:name w:val="xl90"/>
    <w:basedOn w:val="Normal"/>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87">
    <w:name w:val="xl87"/>
    <w:basedOn w:val="Normal"/>
    <w:pPr>
      <w:widowControl/>
      <w:spacing w:before="100" w:beforeAutospacing="1" w:after="100" w:afterAutospacing="1"/>
      <w:jc w:val="center"/>
      <w:textAlignment w:val="top"/>
    </w:pPr>
    <w:rPr>
      <w:b/>
      <w:bCs/>
      <w:kern w:val="0"/>
      <w:sz w:val="36"/>
      <w:szCs w:val="36"/>
      <w:u w:val="double"/>
    </w:rPr>
  </w:style>
  <w:style w:type="paragraph" w:customStyle="1" w:styleId="xl72">
    <w:name w:val="xl72"/>
    <w:basedOn w:val="Normal"/>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top"/>
    </w:pPr>
    <w:rPr>
      <w:rFonts w:ascii="宋体" w:hAnsi="宋体" w:cs="宋体"/>
      <w:kern w:val="0"/>
      <w:sz w:val="20"/>
      <w:szCs w:val="20"/>
    </w:rPr>
  </w:style>
  <w:style w:type="paragraph" w:customStyle="1" w:styleId="xl108">
    <w:name w:val="xl108"/>
    <w:basedOn w:val="Normal"/>
    <w:pPr>
      <w:widowControl/>
      <w:pBdr>
        <w:right w:val="single" w:sz="4" w:space="0" w:color="auto"/>
      </w:pBdr>
      <w:spacing w:before="100" w:beforeAutospacing="1" w:after="100" w:afterAutospacing="1"/>
      <w:jc w:val="left"/>
      <w:textAlignment w:val="top"/>
    </w:pPr>
    <w:rPr>
      <w:rFonts w:ascii="宋体" w:hAnsi="宋体" w:cs="宋体"/>
      <w:kern w:val="0"/>
      <w:sz w:val="24"/>
    </w:rPr>
  </w:style>
  <w:style w:type="paragraph" w:customStyle="1" w:styleId="xl109">
    <w:name w:val="xl109"/>
    <w:basedOn w:val="Normal"/>
    <w:pPr>
      <w:widowControl/>
      <w:pBdr>
        <w:bottom w:val="single" w:sz="4" w:space="0" w:color="auto"/>
      </w:pBdr>
      <w:spacing w:before="100" w:beforeAutospacing="1" w:after="100" w:afterAutospacing="1"/>
      <w:jc w:val="left"/>
      <w:textAlignment w:val="top"/>
    </w:pPr>
    <w:rPr>
      <w:rFonts w:ascii="宋体" w:hAnsi="宋体" w:cs="宋体"/>
      <w:kern w:val="0"/>
      <w:sz w:val="24"/>
    </w:rPr>
  </w:style>
  <w:style w:type="paragraph" w:customStyle="1" w:styleId="xl71">
    <w:name w:val="xl71"/>
    <w:basedOn w:val="Normal"/>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8">
    <w:name w:val="xl98"/>
    <w:basedOn w:val="Normal"/>
    <w:pPr>
      <w:widowControl/>
      <w:pBdr>
        <w:bottom w:val="single" w:sz="8" w:space="0" w:color="auto"/>
      </w:pBdr>
      <w:spacing w:before="100" w:beforeAutospacing="1" w:after="100" w:afterAutospacing="1"/>
      <w:jc w:val="left"/>
      <w:textAlignment w:val="center"/>
    </w:pPr>
    <w:rPr>
      <w:rFonts w:ascii="宋体" w:hAnsi="宋体" w:cs="宋体"/>
      <w:b/>
      <w:bCs/>
      <w:kern w:val="0"/>
      <w:sz w:val="22"/>
      <w:szCs w:val="22"/>
    </w:rPr>
  </w:style>
  <w:style w:type="paragraph" w:customStyle="1" w:styleId="xl107">
    <w:name w:val="xl107"/>
    <w:basedOn w:val="Normal"/>
    <w:pPr>
      <w:widowControl/>
      <w:spacing w:before="100" w:beforeAutospacing="1" w:after="100" w:afterAutospacing="1"/>
      <w:jc w:val="left"/>
      <w:textAlignment w:val="top"/>
    </w:pPr>
    <w:rPr>
      <w:rFonts w:ascii="宋体" w:hAnsi="宋体" w:cs="宋体"/>
      <w:kern w:val="0"/>
      <w:sz w:val="24"/>
    </w:rPr>
  </w:style>
  <w:style w:type="paragraph" w:customStyle="1" w:styleId="xl68">
    <w:name w:val="xl68"/>
    <w:basedOn w:val="Normal"/>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0">
    <w:name w:val="xl70"/>
    <w:basedOn w:val="Normal"/>
    <w:pPr>
      <w:widowControl/>
      <w:pBdr>
        <w:top w:val="single" w:sz="4" w:space="0" w:color="auto"/>
        <w:left w:val="single" w:sz="4" w:space="0" w:color="auto"/>
        <w:bottom w:val="single" w:sz="4" w:space="0" w:color="auto"/>
        <w:right w:val="double" w:sz="6" w:space="0" w:color="auto"/>
      </w:pBdr>
      <w:spacing w:before="100" w:beforeAutospacing="1" w:after="100" w:afterAutospacing="1"/>
      <w:jc w:val="left"/>
      <w:textAlignment w:val="top"/>
    </w:pPr>
    <w:rPr>
      <w:rFonts w:ascii="宋体" w:hAnsi="宋体" w:cs="宋体"/>
      <w:kern w:val="0"/>
      <w:sz w:val="20"/>
      <w:szCs w:val="20"/>
    </w:rPr>
  </w:style>
  <w:style w:type="paragraph" w:customStyle="1" w:styleId="xl73">
    <w:name w:val="xl73"/>
    <w:basedOn w:val="Normal"/>
    <w:pPr>
      <w:widowControl/>
      <w:pBdr>
        <w:top w:val="single" w:sz="4" w:space="0" w:color="auto"/>
        <w:left w:val="single" w:sz="4" w:space="0" w:color="auto"/>
        <w:bottom w:val="single" w:sz="8" w:space="0" w:color="auto"/>
        <w:right w:val="double" w:sz="6" w:space="0" w:color="auto"/>
      </w:pBdr>
      <w:spacing w:before="100" w:beforeAutospacing="1" w:after="100" w:afterAutospacing="1"/>
      <w:jc w:val="left"/>
      <w:textAlignment w:val="top"/>
    </w:pPr>
    <w:rPr>
      <w:rFonts w:ascii="宋体" w:hAnsi="宋体" w:cs="宋体"/>
      <w:kern w:val="0"/>
      <w:sz w:val="20"/>
      <w:szCs w:val="20"/>
    </w:rPr>
  </w:style>
  <w:style w:type="paragraph" w:customStyle="1" w:styleId="a4">
    <w:name w:val="标书三级标题"/>
    <w:basedOn w:val="a5"/>
    <w:pPr>
      <w:numPr>
        <w:ilvl w:val="1"/>
        <w:numId w:val="5"/>
      </w:numPr>
      <w:tabs>
        <w:tab w:val="clear" w:pos="567"/>
        <w:tab w:val="left" w:pos="840"/>
      </w:tabs>
      <w:spacing w:before="62" w:beforeLines="20"/>
      <w:ind w:left="840" w:hanging="420"/>
      <w:jc w:val="both"/>
      <w:outlineLvl w:val="2"/>
    </w:pPr>
  </w:style>
  <w:style w:type="paragraph" w:customStyle="1" w:styleId="a5">
    <w:name w:val="标书二级标题"/>
    <w:next w:val="a4"/>
    <w:pPr>
      <w:numPr>
        <w:ilvl w:val="0"/>
        <w:numId w:val="5"/>
      </w:numPr>
      <w:tabs>
        <w:tab w:val="clear" w:pos="3305"/>
      </w:tabs>
      <w:spacing w:before="156" w:beforeLines="50" w:after="62" w:afterLines="20" w:line="440" w:lineRule="exact"/>
      <w:ind w:left="0" w:firstLine="0"/>
      <w:jc w:val="center"/>
      <w:outlineLvl w:val="1"/>
    </w:pPr>
    <w:rPr>
      <w:rFonts w:eastAsia="仿宋_GB2312"/>
      <w:kern w:val="2"/>
      <w:sz w:val="24"/>
      <w:szCs w:val="24"/>
      <w:lang w:val="en-US" w:eastAsia="zh-CN" w:bidi="ar-SA"/>
    </w:rPr>
  </w:style>
  <w:style w:type="paragraph" w:customStyle="1" w:styleId="xl91">
    <w:name w:val="xl91"/>
    <w:basedOn w:val="Normal"/>
    <w:pPr>
      <w:widowControl/>
      <w:pBdr>
        <w:top w:val="single" w:sz="8"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cs="宋体"/>
      <w:kern w:val="0"/>
      <w:sz w:val="18"/>
      <w:szCs w:val="18"/>
    </w:rPr>
  </w:style>
  <w:style w:type="paragraph" w:customStyle="1" w:styleId="xl111">
    <w:name w:val="xl111"/>
    <w:basedOn w:val="Normal"/>
    <w:pPr>
      <w:widowControl/>
      <w:pBdr>
        <w:top w:val="single" w:sz="4" w:space="0" w:color="auto"/>
        <w:bottom w:val="single" w:sz="4" w:space="0" w:color="auto"/>
      </w:pBdr>
      <w:spacing w:before="100" w:beforeAutospacing="1" w:after="100" w:afterAutospacing="1"/>
      <w:jc w:val="left"/>
      <w:textAlignment w:val="top"/>
    </w:pPr>
    <w:rPr>
      <w:rFonts w:ascii="宋体" w:hAnsi="宋体" w:cs="宋体"/>
      <w:kern w:val="0"/>
      <w:sz w:val="20"/>
      <w:szCs w:val="20"/>
    </w:rPr>
  </w:style>
  <w:style w:type="paragraph" w:customStyle="1" w:styleId="Char">
    <w:name w:val="正文格式 Char"/>
    <w:basedOn w:val="Normal"/>
    <w:pPr>
      <w:spacing w:line="440" w:lineRule="exact"/>
      <w:ind w:firstLine="480" w:firstLineChars="200"/>
    </w:pPr>
    <w:rPr>
      <w:rFonts w:eastAsia="仿宋_GB2312"/>
      <w:sz w:val="24"/>
    </w:rPr>
  </w:style>
  <w:style w:type="paragraph" w:customStyle="1" w:styleId="21">
    <w:name w:val="样式2"/>
    <w:basedOn w:val="Heading5"/>
    <w:pPr>
      <w:keepNext w:val="0"/>
      <w:keepLines w:val="0"/>
      <w:numPr>
        <w:ilvl w:val="4"/>
        <w:numId w:val="0"/>
      </w:numPr>
      <w:tabs>
        <w:tab w:val="left" w:pos="0"/>
        <w:tab w:val="clear" w:pos="1008"/>
      </w:tabs>
      <w:spacing w:before="0" w:after="0" w:line="360" w:lineRule="auto"/>
      <w:outlineLvl w:val="3"/>
    </w:pPr>
    <w:rPr>
      <w:rFonts w:ascii="Arial" w:hAnsi="Arial"/>
      <w:snapToGrid w:val="0"/>
      <w:kern w:val="0"/>
      <w:sz w:val="24"/>
    </w:rPr>
  </w:style>
  <w:style w:type="paragraph" w:customStyle="1" w:styleId="xl67">
    <w:name w:val="xl6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3">
    <w:name w:val="xl113"/>
    <w:basedOn w:val="Normal"/>
    <w:pPr>
      <w:widowControl/>
      <w:pBdr>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8">
    <w:name w:val="font8"/>
    <w:basedOn w:val="Normal"/>
    <w:pPr>
      <w:widowControl/>
      <w:spacing w:before="100" w:beforeAutospacing="1" w:after="100" w:afterAutospacing="1"/>
      <w:jc w:val="left"/>
    </w:pPr>
    <w:rPr>
      <w:rFonts w:ascii="宋体" w:hAnsi="宋体" w:cs="宋体"/>
      <w:b/>
      <w:bCs/>
      <w:kern w:val="0"/>
      <w:sz w:val="12"/>
      <w:szCs w:val="12"/>
    </w:rPr>
  </w:style>
  <w:style w:type="paragraph" w:customStyle="1" w:styleId="a6">
    <w:name w:val="标书四级标题"/>
    <w:basedOn w:val="a4"/>
    <w:pPr>
      <w:numPr>
        <w:ilvl w:val="2"/>
        <w:numId w:val="5"/>
      </w:numPr>
      <w:tabs>
        <w:tab w:val="clear" w:pos="709"/>
        <w:tab w:val="clear" w:pos="840"/>
        <w:tab w:val="left" w:pos="1260"/>
      </w:tabs>
      <w:spacing w:after="0" w:afterLines="0"/>
      <w:ind w:left="1260" w:hanging="420"/>
      <w:outlineLvl w:val="3"/>
    </w:pPr>
  </w:style>
  <w:style w:type="paragraph" w:customStyle="1" w:styleId="xl84">
    <w:name w:val="xl8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101">
    <w:name w:val="xl101"/>
    <w:basedOn w:val="Normal"/>
    <w:pPr>
      <w:widowControl/>
      <w:pBdr>
        <w:top w:val="single" w:sz="8"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3">
    <w:name w:val="样式3"/>
    <w:basedOn w:val="Heading6"/>
    <w:pPr>
      <w:keepNext w:val="0"/>
      <w:keepLines w:val="0"/>
      <w:numPr>
        <w:ilvl w:val="5"/>
        <w:numId w:val="4"/>
      </w:numPr>
      <w:tabs>
        <w:tab w:val="left" w:pos="540"/>
        <w:tab w:val="clear" w:pos="1151"/>
      </w:tabs>
      <w:spacing w:before="60" w:after="60" w:line="400" w:lineRule="exact"/>
    </w:pPr>
    <w:rPr>
      <w:rFonts w:eastAsia="宋体"/>
      <w:b w:val="0"/>
      <w:color w:val="000000"/>
    </w:rPr>
  </w:style>
  <w:style w:type="paragraph" w:customStyle="1" w:styleId="xl112">
    <w:name w:val="xl112"/>
    <w:basedOn w:val="Normal"/>
    <w:pPr>
      <w:widowControl/>
      <w:pBdr>
        <w:top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20"/>
      <w:szCs w:val="20"/>
    </w:rPr>
  </w:style>
  <w:style w:type="paragraph" w:customStyle="1" w:styleId="20085">
    <w:name w:val="样式 样式 小四 行距: 固定值 20 磅 + 首行缩进:  0.85 厘米"/>
    <w:basedOn w:val="Normal"/>
    <w:link w:val="20085Char"/>
    <w:pPr>
      <w:spacing w:line="400" w:lineRule="exact"/>
      <w:ind w:firstLine="480"/>
    </w:pPr>
    <w:rPr>
      <w:rFonts w:cs="宋体"/>
      <w:sz w:val="24"/>
      <w:szCs w:val="20"/>
    </w:rPr>
  </w:style>
  <w:style w:type="paragraph" w:customStyle="1" w:styleId="font10">
    <w:name w:val="font10"/>
    <w:basedOn w:val="Normal"/>
    <w:pPr>
      <w:widowControl/>
      <w:spacing w:before="100" w:beforeAutospacing="1" w:after="100" w:afterAutospacing="1"/>
      <w:jc w:val="left"/>
    </w:pPr>
    <w:rPr>
      <w:rFonts w:ascii="宋体" w:hAnsi="宋体" w:cs="宋体"/>
      <w:color w:val="000000"/>
      <w:kern w:val="0"/>
      <w:sz w:val="18"/>
      <w:szCs w:val="18"/>
    </w:rPr>
  </w:style>
  <w:style w:type="paragraph" w:customStyle="1" w:styleId="11">
    <w:name w:val="样式 标题 1条 + 宋体 小二 蓝色"/>
    <w:basedOn w:val="Heading1"/>
    <w:pPr>
      <w:numPr>
        <w:ilvl w:val="0"/>
        <w:numId w:val="0"/>
      </w:numPr>
      <w:tabs>
        <w:tab w:val="left" w:pos="425"/>
      </w:tabs>
      <w:ind w:left="425" w:hanging="137"/>
    </w:pPr>
    <w:rPr>
      <w:rFonts w:ascii="宋体" w:hAnsi="宋体"/>
      <w:color w:val="0000FF"/>
      <w:sz w:val="36"/>
    </w:rPr>
  </w:style>
  <w:style w:type="paragraph" w:customStyle="1" w:styleId="xl89">
    <w:name w:val="xl89"/>
    <w:basedOn w:val="Normal"/>
    <w:pPr>
      <w:widowControl/>
      <w:pBdr>
        <w:top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Normal"/>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黑体" w:eastAsia="黑体" w:hAnsi="宋体" w:cs="宋体"/>
      <w:b/>
      <w:bCs/>
      <w:kern w:val="0"/>
      <w:sz w:val="36"/>
      <w:szCs w:val="36"/>
      <w:u w:val="double"/>
    </w:rPr>
  </w:style>
  <w:style w:type="paragraph" w:customStyle="1" w:styleId="xl105">
    <w:name w:val="xl105"/>
    <w:basedOn w:val="Normal"/>
    <w:pPr>
      <w:widowControl/>
      <w:pBdr>
        <w:top w:val="single" w:sz="4" w:space="0" w:color="auto"/>
      </w:pBdr>
      <w:spacing w:before="100" w:beforeAutospacing="1" w:after="100" w:afterAutospacing="1"/>
      <w:jc w:val="left"/>
      <w:textAlignment w:val="top"/>
    </w:pPr>
    <w:rPr>
      <w:rFonts w:ascii="宋体" w:hAnsi="宋体" w:cs="宋体"/>
      <w:kern w:val="0"/>
      <w:sz w:val="24"/>
    </w:rPr>
  </w:style>
  <w:style w:type="paragraph" w:customStyle="1" w:styleId="p0">
    <w:name w:val="p0"/>
    <w:basedOn w:val="Normal"/>
    <w:pPr>
      <w:widowControl/>
    </w:pPr>
    <w:rPr>
      <w:kern w:val="0"/>
      <w:szCs w:val="21"/>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emf"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emf" /><Relationship Id="rId14" Type="http://schemas.openxmlformats.org/officeDocument/2006/relationships/oleObject" Target="embeddings/oleObject1.vsd" /><Relationship Id="rId15" Type="http://schemas.openxmlformats.org/officeDocument/2006/relationships/image" Target="media/image11.emf" /><Relationship Id="rId16" Type="http://schemas.openxmlformats.org/officeDocument/2006/relationships/oleObject" Target="embeddings/oleObject2.vsd" /><Relationship Id="rId17" Type="http://schemas.openxmlformats.org/officeDocument/2006/relationships/image" Target="media/image12.wmf" /><Relationship Id="rId18" Type="http://schemas.openxmlformats.org/officeDocument/2006/relationships/oleObject" Target="embeddings/oleObject3.bin" /><Relationship Id="rId19" Type="http://schemas.openxmlformats.org/officeDocument/2006/relationships/image" Target="media/image13.wmf" /><Relationship Id="rId2" Type="http://schemas.openxmlformats.org/officeDocument/2006/relationships/webSettings" Target="webSettings.xml" /><Relationship Id="rId20" Type="http://schemas.openxmlformats.org/officeDocument/2006/relationships/oleObject" Target="embeddings/oleObject4.bin" /><Relationship Id="rId21" Type="http://schemas.openxmlformats.org/officeDocument/2006/relationships/image" Target="media/image14.wmf" /><Relationship Id="rId22" Type="http://schemas.openxmlformats.org/officeDocument/2006/relationships/oleObject" Target="embeddings/oleObject5.bin" /><Relationship Id="rId23" Type="http://schemas.openxmlformats.org/officeDocument/2006/relationships/image" Target="media/image15.wmf" /><Relationship Id="rId24" Type="http://schemas.openxmlformats.org/officeDocument/2006/relationships/oleObject" Target="embeddings/oleObject6.bin" /><Relationship Id="rId25" Type="http://schemas.openxmlformats.org/officeDocument/2006/relationships/image" Target="media/image16.wmf" /><Relationship Id="rId26" Type="http://schemas.openxmlformats.org/officeDocument/2006/relationships/oleObject" Target="embeddings/oleObject7.bin" /><Relationship Id="rId27" Type="http://schemas.openxmlformats.org/officeDocument/2006/relationships/hyperlink" Target="https://d.book118.com/187141064044006030" TargetMode="External" /><Relationship Id="rId28" Type="http://schemas.openxmlformats.org/officeDocument/2006/relationships/theme" Target="theme/theme1.xml" /><Relationship Id="rId29" Type="http://schemas.openxmlformats.org/officeDocument/2006/relationships/numbering" Target="numbering.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34</Pages>
  <Words>6591</Words>
  <Characters>37570</Characters>
  <Application>Microsoft Office Word</Application>
  <DocSecurity>0</DocSecurity>
  <Lines>313</Lines>
  <Paragraphs>88</Paragraphs>
  <ScaleCrop>false</ScaleCrop>
  <Manager>金武攸</Manager>
  <Company/>
  <LinksUpToDate>false</LinksUpToDate>
  <CharactersWithSpaces>44073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2023重庆标区间隧道穿越机场试验段施工方案</dc:title>
  <dc:subject>2023重庆标区间隧道穿越机场试验段施工方案</dc:subject>
  <dc:creator>金武攸</dc:creator>
  <cp:keywords>2023</cp:keywords>
  <cp:lastModifiedBy>金武攸</cp:lastModifiedBy>
  <cp:revision>28</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2052-9.1.0.4985</vt:lpwstr>
  </property>
</Properties>
</file>