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数控石油深井测井仪项目计划设计方案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7" w:history="1">
        <w:r>
          <w:rPr>
            <w:rFonts w:ascii="仿宋" w:eastAsia="仿宋" w:hAnsi="仿宋" w:cs="仿宋" w:hint="eastAsia"/>
            <w:lang w:eastAsia="zh-CN"/>
          </w:rPr>
          <w:t>概论</w:t>
        </w:r>
        <w:r>
          <w:tab/>
        </w:r>
        <w:r>
          <w:fldChar w:fldCharType="begin"/>
        </w:r>
        <w:r>
          <w:instrText xml:space="preserve"> PAGEREF _Toc25307 \h </w:instrText>
        </w:r>
        <w:r>
          <w:fldChar w:fldCharType="separate"/>
        </w:r>
        <w:r>
          <w:t>3</w:t>
        </w:r>
        <w:r>
          <w:fldChar w:fldCharType="end"/>
        </w:r>
      </w:hyperlink>
    </w:p>
    <w:p>
      <w:pPr>
        <w:pStyle w:val="TOC1"/>
        <w:tabs>
          <w:tab w:val="right" w:leader="dot" w:pos="8306"/>
        </w:tabs>
      </w:pPr>
      <w:hyperlink w:anchor="_Toc12539" w:history="1">
        <w:r>
          <w:rPr>
            <w:rFonts w:ascii="仿宋" w:eastAsia="仿宋" w:hAnsi="仿宋" w:cs="仿宋" w:hint="eastAsia"/>
            <w:lang w:eastAsia="zh-CN"/>
          </w:rPr>
          <w:t>一、数控石油深井测井仪项目可持续发展</w:t>
        </w:r>
        <w:r>
          <w:tab/>
        </w:r>
        <w:r>
          <w:fldChar w:fldCharType="begin"/>
        </w:r>
        <w:r>
          <w:instrText xml:space="preserve"> PAGEREF _Toc12539 \h </w:instrText>
        </w:r>
        <w:r>
          <w:fldChar w:fldCharType="separate"/>
        </w:r>
        <w:r>
          <w:t>3</w:t>
        </w:r>
        <w:r>
          <w:fldChar w:fldCharType="end"/>
        </w:r>
      </w:hyperlink>
    </w:p>
    <w:p>
      <w:pPr>
        <w:pStyle w:val="TOC2"/>
        <w:tabs>
          <w:tab w:val="right" w:leader="dot" w:pos="8306"/>
        </w:tabs>
      </w:pPr>
      <w:hyperlink w:anchor="_Toc703" w:history="1">
        <w:r>
          <w:rPr>
            <w:rFonts w:ascii="仿宋" w:eastAsia="仿宋" w:hAnsi="仿宋" w:cs="仿宋" w:hint="eastAsia"/>
            <w:lang w:eastAsia="zh-CN"/>
          </w:rPr>
          <w:t>(一)、可持续战略与实践</w:t>
        </w:r>
        <w:r>
          <w:tab/>
        </w:r>
        <w:r>
          <w:fldChar w:fldCharType="begin"/>
        </w:r>
        <w:r>
          <w:instrText xml:space="preserve"> PAGEREF _Toc703 \h </w:instrText>
        </w:r>
        <w:r>
          <w:fldChar w:fldCharType="separate"/>
        </w:r>
        <w:r>
          <w:t>3</w:t>
        </w:r>
        <w:r>
          <w:fldChar w:fldCharType="end"/>
        </w:r>
      </w:hyperlink>
    </w:p>
    <w:p>
      <w:pPr>
        <w:pStyle w:val="TOC2"/>
        <w:tabs>
          <w:tab w:val="right" w:leader="dot" w:pos="8306"/>
        </w:tabs>
      </w:pPr>
      <w:hyperlink w:anchor="_Toc30202" w:history="1">
        <w:r>
          <w:rPr>
            <w:rFonts w:ascii="仿宋" w:eastAsia="仿宋" w:hAnsi="仿宋" w:cs="仿宋" w:hint="eastAsia"/>
            <w:lang w:eastAsia="zh-CN"/>
          </w:rPr>
          <w:t>(二)、环保与社会责任</w:t>
        </w:r>
        <w:r>
          <w:tab/>
        </w:r>
        <w:r>
          <w:fldChar w:fldCharType="begin"/>
        </w:r>
        <w:r>
          <w:instrText xml:space="preserve"> PAGEREF _Toc30202 \h </w:instrText>
        </w:r>
        <w:r>
          <w:fldChar w:fldCharType="separate"/>
        </w:r>
        <w:r>
          <w:t>4</w:t>
        </w:r>
        <w:r>
          <w:fldChar w:fldCharType="end"/>
        </w:r>
      </w:hyperlink>
    </w:p>
    <w:p>
      <w:pPr>
        <w:pStyle w:val="TOC1"/>
        <w:tabs>
          <w:tab w:val="right" w:leader="dot" w:pos="8306"/>
        </w:tabs>
      </w:pPr>
      <w:hyperlink w:anchor="_Toc19424" w:history="1">
        <w:r>
          <w:rPr>
            <w:rFonts w:ascii="仿宋" w:eastAsia="仿宋" w:hAnsi="仿宋" w:cs="仿宋" w:hint="eastAsia"/>
            <w:lang w:eastAsia="zh-CN"/>
          </w:rPr>
          <w:t>二、数控石油深井测井仪项目建设背景及必要性分析</w:t>
        </w:r>
        <w:r>
          <w:tab/>
        </w:r>
        <w:r>
          <w:fldChar w:fldCharType="begin"/>
        </w:r>
        <w:r>
          <w:instrText xml:space="preserve"> PAGEREF _Toc19424 \h </w:instrText>
        </w:r>
        <w:r>
          <w:fldChar w:fldCharType="separate"/>
        </w:r>
        <w:r>
          <w:t>5</w:t>
        </w:r>
        <w:r>
          <w:fldChar w:fldCharType="end"/>
        </w:r>
      </w:hyperlink>
    </w:p>
    <w:p>
      <w:pPr>
        <w:pStyle w:val="TOC2"/>
        <w:tabs>
          <w:tab w:val="right" w:leader="dot" w:pos="8306"/>
        </w:tabs>
      </w:pPr>
      <w:hyperlink w:anchor="_Toc16348" w:history="1">
        <w:r>
          <w:rPr>
            <w:rFonts w:ascii="仿宋" w:eastAsia="仿宋" w:hAnsi="仿宋" w:cs="仿宋" w:hint="eastAsia"/>
            <w:lang w:eastAsia="zh-CN"/>
          </w:rPr>
          <w:t>(一)、数控石油深井测井仪项目背景分析</w:t>
        </w:r>
        <w:r>
          <w:tab/>
        </w:r>
        <w:r>
          <w:fldChar w:fldCharType="begin"/>
        </w:r>
        <w:r>
          <w:instrText xml:space="preserve"> PAGEREF _Toc16348 \h </w:instrText>
        </w:r>
        <w:r>
          <w:fldChar w:fldCharType="separate"/>
        </w:r>
        <w:r>
          <w:t>5</w:t>
        </w:r>
        <w:r>
          <w:fldChar w:fldCharType="end"/>
        </w:r>
      </w:hyperlink>
    </w:p>
    <w:p>
      <w:pPr>
        <w:pStyle w:val="TOC2"/>
        <w:tabs>
          <w:tab w:val="right" w:leader="dot" w:pos="8306"/>
        </w:tabs>
      </w:pPr>
      <w:hyperlink w:anchor="_Toc13714" w:history="1">
        <w:r>
          <w:rPr>
            <w:rFonts w:ascii="仿宋" w:eastAsia="仿宋" w:hAnsi="仿宋" w:cs="仿宋" w:hint="eastAsia"/>
            <w:lang w:eastAsia="zh-CN"/>
          </w:rPr>
          <w:t>(二)、数控石油深井测井仪项目建设必要性分析</w:t>
        </w:r>
        <w:r>
          <w:tab/>
        </w:r>
        <w:r>
          <w:fldChar w:fldCharType="begin"/>
        </w:r>
        <w:r>
          <w:instrText xml:space="preserve"> PAGEREF _Toc13714 \h </w:instrText>
        </w:r>
        <w:r>
          <w:fldChar w:fldCharType="separate"/>
        </w:r>
        <w:r>
          <w:t>6</w:t>
        </w:r>
        <w:r>
          <w:fldChar w:fldCharType="end"/>
        </w:r>
      </w:hyperlink>
    </w:p>
    <w:p>
      <w:pPr>
        <w:pStyle w:val="TOC1"/>
        <w:tabs>
          <w:tab w:val="right" w:leader="dot" w:pos="8306"/>
        </w:tabs>
      </w:pPr>
      <w:hyperlink w:anchor="_Toc1890" w:history="1">
        <w:r>
          <w:rPr>
            <w:rFonts w:ascii="仿宋" w:eastAsia="仿宋" w:hAnsi="仿宋" w:cs="仿宋" w:hint="eastAsia"/>
            <w:lang w:eastAsia="zh-CN"/>
          </w:rPr>
          <w:t>三、数控石油深井测井仪项目建设单位说明</w:t>
        </w:r>
        <w:r>
          <w:tab/>
        </w:r>
        <w:r>
          <w:fldChar w:fldCharType="begin"/>
        </w:r>
        <w:r>
          <w:instrText xml:space="preserve"> PAGEREF _Toc1890 \h </w:instrText>
        </w:r>
        <w:r>
          <w:fldChar w:fldCharType="separate"/>
        </w:r>
        <w:r>
          <w:t>8</w:t>
        </w:r>
        <w:r>
          <w:fldChar w:fldCharType="end"/>
        </w:r>
      </w:hyperlink>
    </w:p>
    <w:p>
      <w:pPr>
        <w:pStyle w:val="TOC2"/>
        <w:tabs>
          <w:tab w:val="right" w:leader="dot" w:pos="8306"/>
        </w:tabs>
      </w:pPr>
      <w:hyperlink w:anchor="_Toc16709" w:history="1">
        <w:r>
          <w:rPr>
            <w:rFonts w:ascii="仿宋" w:eastAsia="仿宋" w:hAnsi="仿宋" w:cs="仿宋" w:hint="eastAsia"/>
            <w:lang w:eastAsia="zh-CN"/>
          </w:rPr>
          <w:t>(一)、数控石油深井测井仪项目承办单位基本情况</w:t>
        </w:r>
        <w:r>
          <w:tab/>
        </w:r>
        <w:r>
          <w:fldChar w:fldCharType="begin"/>
        </w:r>
        <w:r>
          <w:instrText xml:space="preserve"> PAGEREF _Toc16709 \h </w:instrText>
        </w:r>
        <w:r>
          <w:fldChar w:fldCharType="separate"/>
        </w:r>
        <w:r>
          <w:t>8</w:t>
        </w:r>
        <w:r>
          <w:fldChar w:fldCharType="end"/>
        </w:r>
      </w:hyperlink>
    </w:p>
    <w:p>
      <w:pPr>
        <w:pStyle w:val="TOC2"/>
        <w:tabs>
          <w:tab w:val="right" w:leader="dot" w:pos="8306"/>
        </w:tabs>
      </w:pPr>
      <w:hyperlink w:anchor="_Toc27924" w:history="1">
        <w:r>
          <w:rPr>
            <w:rFonts w:ascii="仿宋" w:eastAsia="仿宋" w:hAnsi="仿宋" w:cs="仿宋" w:hint="eastAsia"/>
            <w:lang w:eastAsia="zh-CN"/>
          </w:rPr>
          <w:t>(二)、公司经济效益分析</w:t>
        </w:r>
        <w:r>
          <w:tab/>
        </w:r>
        <w:r>
          <w:fldChar w:fldCharType="begin"/>
        </w:r>
        <w:r>
          <w:instrText xml:space="preserve"> PAGEREF _Toc27924 \h </w:instrText>
        </w:r>
        <w:r>
          <w:fldChar w:fldCharType="separate"/>
        </w:r>
        <w:r>
          <w:t>8</w:t>
        </w:r>
        <w:r>
          <w:fldChar w:fldCharType="end"/>
        </w:r>
      </w:hyperlink>
    </w:p>
    <w:p>
      <w:pPr>
        <w:pStyle w:val="TOC1"/>
        <w:tabs>
          <w:tab w:val="right" w:leader="dot" w:pos="8306"/>
        </w:tabs>
      </w:pPr>
      <w:hyperlink w:anchor="_Toc26356" w:history="1">
        <w:r>
          <w:rPr>
            <w:rFonts w:ascii="仿宋" w:eastAsia="仿宋" w:hAnsi="仿宋" w:cs="仿宋" w:hint="eastAsia"/>
            <w:lang w:eastAsia="zh-CN"/>
          </w:rPr>
          <w:t>四、数控石油深井测井仪项目概论</w:t>
        </w:r>
        <w:r>
          <w:tab/>
        </w:r>
        <w:r>
          <w:fldChar w:fldCharType="begin"/>
        </w:r>
        <w:r>
          <w:instrText xml:space="preserve"> PAGEREF _Toc26356 \h </w:instrText>
        </w:r>
        <w:r>
          <w:fldChar w:fldCharType="separate"/>
        </w:r>
        <w:r>
          <w:t>10</w:t>
        </w:r>
        <w:r>
          <w:fldChar w:fldCharType="end"/>
        </w:r>
      </w:hyperlink>
    </w:p>
    <w:p>
      <w:pPr>
        <w:pStyle w:val="TOC2"/>
        <w:tabs>
          <w:tab w:val="right" w:leader="dot" w:pos="8306"/>
        </w:tabs>
      </w:pPr>
      <w:hyperlink w:anchor="_Toc9311" w:history="1">
        <w:r>
          <w:rPr>
            <w:rFonts w:ascii="仿宋" w:eastAsia="仿宋" w:hAnsi="仿宋" w:cs="仿宋" w:hint="eastAsia"/>
            <w:lang w:eastAsia="zh-CN"/>
          </w:rPr>
          <w:t>(一)、数控石油深井测井仪项目概况</w:t>
        </w:r>
        <w:r>
          <w:tab/>
        </w:r>
        <w:r>
          <w:fldChar w:fldCharType="begin"/>
        </w:r>
        <w:r>
          <w:instrText xml:space="preserve"> PAGEREF _Toc9311 \h </w:instrText>
        </w:r>
        <w:r>
          <w:fldChar w:fldCharType="separate"/>
        </w:r>
        <w:r>
          <w:t>10</w:t>
        </w:r>
        <w:r>
          <w:fldChar w:fldCharType="end"/>
        </w:r>
      </w:hyperlink>
    </w:p>
    <w:p>
      <w:pPr>
        <w:pStyle w:val="TOC2"/>
        <w:tabs>
          <w:tab w:val="right" w:leader="dot" w:pos="8306"/>
        </w:tabs>
      </w:pPr>
      <w:hyperlink w:anchor="_Toc16938" w:history="1">
        <w:r>
          <w:rPr>
            <w:rFonts w:ascii="仿宋" w:eastAsia="仿宋" w:hAnsi="仿宋" w:cs="仿宋" w:hint="eastAsia"/>
            <w:lang w:eastAsia="zh-CN"/>
          </w:rPr>
          <w:t>(二)、数控石油深井测井仪项目目标</w:t>
        </w:r>
        <w:r>
          <w:tab/>
        </w:r>
        <w:r>
          <w:fldChar w:fldCharType="begin"/>
        </w:r>
        <w:r>
          <w:instrText xml:space="preserve"> PAGEREF _Toc16938 \h </w:instrText>
        </w:r>
        <w:r>
          <w:fldChar w:fldCharType="separate"/>
        </w:r>
        <w:r>
          <w:t>12</w:t>
        </w:r>
        <w:r>
          <w:fldChar w:fldCharType="end"/>
        </w:r>
      </w:hyperlink>
    </w:p>
    <w:p>
      <w:pPr>
        <w:pStyle w:val="TOC2"/>
        <w:tabs>
          <w:tab w:val="right" w:leader="dot" w:pos="8306"/>
        </w:tabs>
      </w:pPr>
      <w:hyperlink w:anchor="_Toc8469" w:history="1">
        <w:r>
          <w:rPr>
            <w:rFonts w:ascii="仿宋" w:eastAsia="仿宋" w:hAnsi="仿宋" w:cs="仿宋" w:hint="eastAsia"/>
            <w:lang w:eastAsia="zh-CN"/>
          </w:rPr>
          <w:t>(三)、数控石油深井测井仪项目提出的理由</w:t>
        </w:r>
        <w:r>
          <w:tab/>
        </w:r>
        <w:r>
          <w:fldChar w:fldCharType="begin"/>
        </w:r>
        <w:r>
          <w:instrText xml:space="preserve"> PAGEREF _Toc8469 \h </w:instrText>
        </w:r>
        <w:r>
          <w:fldChar w:fldCharType="separate"/>
        </w:r>
        <w:r>
          <w:t>13</w:t>
        </w:r>
        <w:r>
          <w:fldChar w:fldCharType="end"/>
        </w:r>
      </w:hyperlink>
    </w:p>
    <w:p>
      <w:pPr>
        <w:pStyle w:val="TOC2"/>
        <w:tabs>
          <w:tab w:val="right" w:leader="dot" w:pos="8306"/>
        </w:tabs>
      </w:pPr>
      <w:hyperlink w:anchor="_Toc27677" w:history="1">
        <w:r>
          <w:rPr>
            <w:rFonts w:ascii="仿宋" w:eastAsia="仿宋" w:hAnsi="仿宋" w:cs="仿宋" w:hint="eastAsia"/>
            <w:lang w:eastAsia="zh-CN"/>
          </w:rPr>
          <w:t>(四)、数控石油深井测井仪项目意义</w:t>
        </w:r>
        <w:r>
          <w:tab/>
        </w:r>
        <w:r>
          <w:fldChar w:fldCharType="begin"/>
        </w:r>
        <w:r>
          <w:instrText xml:space="preserve"> PAGEREF _Toc27677 \h </w:instrText>
        </w:r>
        <w:r>
          <w:fldChar w:fldCharType="separate"/>
        </w:r>
        <w:r>
          <w:t>15</w:t>
        </w:r>
        <w:r>
          <w:fldChar w:fldCharType="end"/>
        </w:r>
      </w:hyperlink>
    </w:p>
    <w:p>
      <w:pPr>
        <w:pStyle w:val="TOC2"/>
        <w:tabs>
          <w:tab w:val="right" w:leader="dot" w:pos="8306"/>
        </w:tabs>
      </w:pPr>
      <w:hyperlink w:anchor="_Toc24981" w:history="1">
        <w:r>
          <w:rPr>
            <w:rFonts w:ascii="仿宋" w:eastAsia="仿宋" w:hAnsi="仿宋" w:cs="仿宋" w:hint="eastAsia"/>
            <w:lang w:eastAsia="zh-CN"/>
          </w:rPr>
          <w:t>(五)、数控石油深井测井仪项目背景</w:t>
        </w:r>
        <w:r>
          <w:tab/>
        </w:r>
        <w:r>
          <w:fldChar w:fldCharType="begin"/>
        </w:r>
        <w:r>
          <w:instrText xml:space="preserve"> PAGEREF _Toc24981 \h </w:instrText>
        </w:r>
        <w:r>
          <w:fldChar w:fldCharType="separate"/>
        </w:r>
        <w:r>
          <w:t>16</w:t>
        </w:r>
        <w:r>
          <w:fldChar w:fldCharType="end"/>
        </w:r>
      </w:hyperlink>
    </w:p>
    <w:p>
      <w:pPr>
        <w:pStyle w:val="TOC1"/>
        <w:tabs>
          <w:tab w:val="right" w:leader="dot" w:pos="8306"/>
        </w:tabs>
      </w:pPr>
      <w:hyperlink w:anchor="_Toc5038" w:history="1">
        <w:r>
          <w:rPr>
            <w:rFonts w:ascii="仿宋" w:eastAsia="仿宋" w:hAnsi="仿宋" w:cs="仿宋" w:hint="eastAsia"/>
            <w:lang w:eastAsia="zh-CN"/>
          </w:rPr>
          <w:t>五、数控石油深井测井仪项目危机管理</w:t>
        </w:r>
        <w:r>
          <w:tab/>
        </w:r>
        <w:r>
          <w:fldChar w:fldCharType="begin"/>
        </w:r>
        <w:r>
          <w:instrText xml:space="preserve"> PAGEREF _Toc5038 \h </w:instrText>
        </w:r>
        <w:r>
          <w:fldChar w:fldCharType="separate"/>
        </w:r>
        <w:r>
          <w:t>17</w:t>
        </w:r>
        <w:r>
          <w:fldChar w:fldCharType="end"/>
        </w:r>
      </w:hyperlink>
    </w:p>
    <w:p>
      <w:pPr>
        <w:pStyle w:val="TOC2"/>
        <w:tabs>
          <w:tab w:val="right" w:leader="dot" w:pos="8306"/>
        </w:tabs>
      </w:pPr>
      <w:hyperlink w:anchor="_Toc17235" w:history="1">
        <w:r>
          <w:rPr>
            <w:rFonts w:ascii="仿宋" w:eastAsia="仿宋" w:hAnsi="仿宋" w:cs="仿宋" w:hint="eastAsia"/>
            <w:lang w:eastAsia="zh-CN"/>
          </w:rPr>
          <w:t>(一)、危机预警与识别</w:t>
        </w:r>
        <w:r>
          <w:tab/>
        </w:r>
        <w:r>
          <w:fldChar w:fldCharType="begin"/>
        </w:r>
        <w:r>
          <w:instrText xml:space="preserve"> PAGEREF _Toc17235 \h </w:instrText>
        </w:r>
        <w:r>
          <w:fldChar w:fldCharType="separate"/>
        </w:r>
        <w:r>
          <w:t>17</w:t>
        </w:r>
        <w:r>
          <w:fldChar w:fldCharType="end"/>
        </w:r>
      </w:hyperlink>
    </w:p>
    <w:p>
      <w:pPr>
        <w:pStyle w:val="TOC2"/>
        <w:tabs>
          <w:tab w:val="right" w:leader="dot" w:pos="8306"/>
        </w:tabs>
      </w:pPr>
      <w:hyperlink w:anchor="_Toc10826" w:history="1">
        <w:r>
          <w:rPr>
            <w:rFonts w:ascii="仿宋" w:eastAsia="仿宋" w:hAnsi="仿宋" w:cs="仿宋" w:hint="eastAsia"/>
            <w:lang w:eastAsia="zh-CN"/>
          </w:rPr>
          <w:t>(二)、危机应对与恢复</w:t>
        </w:r>
        <w:r>
          <w:tab/>
        </w:r>
        <w:r>
          <w:fldChar w:fldCharType="begin"/>
        </w:r>
        <w:r>
          <w:instrText xml:space="preserve"> PAGEREF _Toc10826 \h </w:instrText>
        </w:r>
        <w:r>
          <w:fldChar w:fldCharType="separate"/>
        </w:r>
        <w:r>
          <w:t>18</w:t>
        </w:r>
        <w:r>
          <w:fldChar w:fldCharType="end"/>
        </w:r>
      </w:hyperlink>
    </w:p>
    <w:p>
      <w:pPr>
        <w:pStyle w:val="TOC1"/>
        <w:tabs>
          <w:tab w:val="right" w:leader="dot" w:pos="8306"/>
        </w:tabs>
      </w:pPr>
      <w:hyperlink w:anchor="_Toc31909" w:history="1">
        <w:r>
          <w:rPr>
            <w:rFonts w:ascii="仿宋" w:eastAsia="仿宋" w:hAnsi="仿宋" w:cs="仿宋" w:hint="eastAsia"/>
            <w:lang w:eastAsia="zh-CN"/>
          </w:rPr>
          <w:t>六、产品规划分析</w:t>
        </w:r>
        <w:r>
          <w:tab/>
        </w:r>
        <w:r>
          <w:fldChar w:fldCharType="begin"/>
        </w:r>
        <w:r>
          <w:instrText xml:space="preserve"> PAGEREF _Toc31909 \h </w:instrText>
        </w:r>
        <w:r>
          <w:fldChar w:fldCharType="separate"/>
        </w:r>
        <w:r>
          <w:t>19</w:t>
        </w:r>
        <w:r>
          <w:fldChar w:fldCharType="end"/>
        </w:r>
      </w:hyperlink>
    </w:p>
    <w:p>
      <w:pPr>
        <w:pStyle w:val="TOC2"/>
        <w:tabs>
          <w:tab w:val="right" w:leader="dot" w:pos="8306"/>
        </w:tabs>
      </w:pPr>
      <w:hyperlink w:anchor="_Toc29957" w:history="1">
        <w:r>
          <w:rPr>
            <w:rFonts w:ascii="仿宋" w:eastAsia="仿宋" w:hAnsi="仿宋" w:cs="仿宋" w:hint="eastAsia"/>
            <w:lang w:eastAsia="zh-CN"/>
          </w:rPr>
          <w:t>(一)、产品规划</w:t>
        </w:r>
        <w:r>
          <w:tab/>
        </w:r>
        <w:r>
          <w:fldChar w:fldCharType="begin"/>
        </w:r>
        <w:r>
          <w:instrText xml:space="preserve"> PAGEREF _Toc29957 \h </w:instrText>
        </w:r>
        <w:r>
          <w:fldChar w:fldCharType="separate"/>
        </w:r>
        <w:r>
          <w:t>19</w:t>
        </w:r>
        <w:r>
          <w:fldChar w:fldCharType="end"/>
        </w:r>
      </w:hyperlink>
    </w:p>
    <w:p>
      <w:pPr>
        <w:pStyle w:val="TOC2"/>
        <w:tabs>
          <w:tab w:val="right" w:leader="dot" w:pos="8306"/>
        </w:tabs>
      </w:pPr>
      <w:hyperlink w:anchor="_Toc28160" w:history="1">
        <w:r>
          <w:rPr>
            <w:rFonts w:ascii="仿宋" w:eastAsia="仿宋" w:hAnsi="仿宋" w:cs="仿宋" w:hint="eastAsia"/>
            <w:lang w:eastAsia="zh-CN"/>
          </w:rPr>
          <w:t>(二)、建设规模</w:t>
        </w:r>
        <w:r>
          <w:tab/>
        </w:r>
        <w:r>
          <w:fldChar w:fldCharType="begin"/>
        </w:r>
        <w:r>
          <w:instrText xml:space="preserve"> PAGEREF _Toc28160 \h </w:instrText>
        </w:r>
        <w:r>
          <w:fldChar w:fldCharType="separate"/>
        </w:r>
        <w:r>
          <w:t>20</w:t>
        </w:r>
        <w:r>
          <w:fldChar w:fldCharType="end"/>
        </w:r>
      </w:hyperlink>
    </w:p>
    <w:p>
      <w:pPr>
        <w:pStyle w:val="TOC1"/>
        <w:tabs>
          <w:tab w:val="right" w:leader="dot" w:pos="8306"/>
        </w:tabs>
      </w:pPr>
      <w:hyperlink w:anchor="_Toc2922" w:history="1">
        <w:r>
          <w:rPr>
            <w:rFonts w:ascii="仿宋" w:eastAsia="仿宋" w:hAnsi="仿宋" w:cs="仿宋" w:hint="eastAsia"/>
            <w:lang w:eastAsia="zh-CN"/>
          </w:rPr>
          <w:t>七、数控石油深井测井仪项目社会影响</w:t>
        </w:r>
        <w:r>
          <w:tab/>
        </w:r>
        <w:r>
          <w:fldChar w:fldCharType="begin"/>
        </w:r>
        <w:r>
          <w:instrText xml:space="preserve"> PAGEREF _Toc2922 \h </w:instrText>
        </w:r>
        <w:r>
          <w:fldChar w:fldCharType="separate"/>
        </w:r>
        <w:r>
          <w:t>21</w:t>
        </w:r>
        <w:r>
          <w:fldChar w:fldCharType="end"/>
        </w:r>
      </w:hyperlink>
    </w:p>
    <w:p>
      <w:pPr>
        <w:pStyle w:val="TOC2"/>
        <w:tabs>
          <w:tab w:val="right" w:leader="dot" w:pos="8306"/>
        </w:tabs>
      </w:pPr>
      <w:hyperlink w:anchor="_Toc19977" w:history="1">
        <w:r>
          <w:rPr>
            <w:rFonts w:ascii="仿宋" w:eastAsia="仿宋" w:hAnsi="仿宋" w:cs="仿宋" w:hint="eastAsia"/>
            <w:lang w:eastAsia="zh-CN"/>
          </w:rPr>
          <w:t>(一)、社会责任与义务</w:t>
        </w:r>
        <w:r>
          <w:tab/>
        </w:r>
        <w:r>
          <w:fldChar w:fldCharType="begin"/>
        </w:r>
        <w:r>
          <w:instrText xml:space="preserve"> PAGEREF _Toc19977 \h </w:instrText>
        </w:r>
        <w:r>
          <w:fldChar w:fldCharType="separate"/>
        </w:r>
        <w:r>
          <w:t>21</w:t>
        </w:r>
        <w:r>
          <w:fldChar w:fldCharType="end"/>
        </w:r>
      </w:hyperlink>
    </w:p>
    <w:p>
      <w:pPr>
        <w:pStyle w:val="TOC2"/>
        <w:tabs>
          <w:tab w:val="right" w:leader="dot" w:pos="8306"/>
        </w:tabs>
      </w:pPr>
      <w:hyperlink w:anchor="_Toc22987" w:history="1">
        <w:r>
          <w:rPr>
            <w:rFonts w:ascii="仿宋" w:eastAsia="仿宋" w:hAnsi="仿宋" w:cs="仿宋" w:hint="eastAsia"/>
            <w:lang w:eastAsia="zh-CN"/>
          </w:rPr>
          <w:t>(二)、社会参与与沟通</w:t>
        </w:r>
        <w:r>
          <w:tab/>
        </w:r>
        <w:r>
          <w:fldChar w:fldCharType="begin"/>
        </w:r>
        <w:r>
          <w:instrText xml:space="preserve"> PAGEREF _Toc22987 \h </w:instrText>
        </w:r>
        <w:r>
          <w:fldChar w:fldCharType="separate"/>
        </w:r>
        <w:r>
          <w:t>22</w:t>
        </w:r>
        <w:r>
          <w:fldChar w:fldCharType="end"/>
        </w:r>
      </w:hyperlink>
    </w:p>
    <w:p>
      <w:pPr>
        <w:pStyle w:val="TOC1"/>
        <w:tabs>
          <w:tab w:val="right" w:leader="dot" w:pos="8306"/>
        </w:tabs>
      </w:pPr>
      <w:hyperlink w:anchor="_Toc3866" w:history="1">
        <w:r>
          <w:rPr>
            <w:rFonts w:ascii="仿宋" w:eastAsia="仿宋" w:hAnsi="仿宋" w:cs="仿宋" w:hint="eastAsia"/>
            <w:lang w:eastAsia="zh-CN"/>
          </w:rPr>
          <w:t>八、数控石油深井测井仪项目计划安排</w:t>
        </w:r>
        <w:r>
          <w:tab/>
        </w:r>
        <w:r>
          <w:fldChar w:fldCharType="begin"/>
        </w:r>
        <w:r>
          <w:instrText xml:space="preserve"> PAGEREF _Toc3866 \h </w:instrText>
        </w:r>
        <w:r>
          <w:fldChar w:fldCharType="separate"/>
        </w:r>
        <w:r>
          <w:t>23</w:t>
        </w:r>
        <w:r>
          <w:fldChar w:fldCharType="end"/>
        </w:r>
      </w:hyperlink>
    </w:p>
    <w:p>
      <w:pPr>
        <w:pStyle w:val="TOC2"/>
        <w:tabs>
          <w:tab w:val="right" w:leader="dot" w:pos="8306"/>
        </w:tabs>
      </w:pPr>
      <w:hyperlink w:anchor="_Toc11034" w:history="1">
        <w:r>
          <w:rPr>
            <w:rFonts w:ascii="仿宋" w:eastAsia="仿宋" w:hAnsi="仿宋" w:cs="仿宋" w:hint="eastAsia"/>
            <w:lang w:eastAsia="zh-CN"/>
          </w:rPr>
          <w:t>(一)、建设周期</w:t>
        </w:r>
        <w:r>
          <w:tab/>
        </w:r>
        <w:r>
          <w:fldChar w:fldCharType="begin"/>
        </w:r>
        <w:r>
          <w:instrText xml:space="preserve"> PAGEREF _Toc11034 \h </w:instrText>
        </w:r>
        <w:r>
          <w:fldChar w:fldCharType="separate"/>
        </w:r>
        <w:r>
          <w:t>23</w:t>
        </w:r>
        <w:r>
          <w:fldChar w:fldCharType="end"/>
        </w:r>
      </w:hyperlink>
    </w:p>
    <w:p>
      <w:pPr>
        <w:pStyle w:val="TOC2"/>
        <w:tabs>
          <w:tab w:val="right" w:leader="dot" w:pos="8306"/>
        </w:tabs>
      </w:pPr>
      <w:hyperlink w:anchor="_Toc4671" w:history="1">
        <w:r>
          <w:rPr>
            <w:rFonts w:ascii="仿宋" w:eastAsia="仿宋" w:hAnsi="仿宋" w:cs="仿宋" w:hint="eastAsia"/>
            <w:lang w:eastAsia="zh-CN"/>
          </w:rPr>
          <w:t>(二)、建设进度</w:t>
        </w:r>
        <w:r>
          <w:tab/>
        </w:r>
        <w:r>
          <w:fldChar w:fldCharType="begin"/>
        </w:r>
        <w:r>
          <w:instrText xml:space="preserve"> PAGEREF _Toc4671 \h </w:instrText>
        </w:r>
        <w:r>
          <w:fldChar w:fldCharType="separate"/>
        </w:r>
        <w:r>
          <w:t>24</w:t>
        </w:r>
        <w:r>
          <w:fldChar w:fldCharType="end"/>
        </w:r>
      </w:hyperlink>
    </w:p>
    <w:p>
      <w:pPr>
        <w:pStyle w:val="TOC2"/>
        <w:tabs>
          <w:tab w:val="right" w:leader="dot" w:pos="8306"/>
        </w:tabs>
      </w:pPr>
      <w:hyperlink w:anchor="_Toc7831" w:history="1">
        <w:r>
          <w:rPr>
            <w:rFonts w:ascii="仿宋" w:eastAsia="仿宋" w:hAnsi="仿宋" w:cs="仿宋" w:hint="eastAsia"/>
            <w:lang w:eastAsia="zh-CN"/>
          </w:rPr>
          <w:t>(三)、进度安排注意事项</w:t>
        </w:r>
        <w:r>
          <w:tab/>
        </w:r>
        <w:r>
          <w:fldChar w:fldCharType="begin"/>
        </w:r>
        <w:r>
          <w:instrText xml:space="preserve"> PAGEREF _Toc7831 \h </w:instrText>
        </w:r>
        <w:r>
          <w:fldChar w:fldCharType="separate"/>
        </w:r>
        <w:r>
          <w:t>25</w:t>
        </w:r>
        <w:r>
          <w:fldChar w:fldCharType="end"/>
        </w:r>
      </w:hyperlink>
    </w:p>
    <w:p>
      <w:pPr>
        <w:pStyle w:val="TOC2"/>
        <w:tabs>
          <w:tab w:val="right" w:leader="dot" w:pos="8306"/>
        </w:tabs>
      </w:pPr>
      <w:hyperlink w:anchor="_Toc6824" w:history="1">
        <w:r>
          <w:rPr>
            <w:rFonts w:ascii="仿宋" w:eastAsia="仿宋" w:hAnsi="仿宋" w:cs="仿宋" w:hint="eastAsia"/>
            <w:lang w:eastAsia="zh-CN"/>
          </w:rPr>
          <w:t>(四)、人力资源配置</w:t>
        </w:r>
        <w:r>
          <w:tab/>
        </w:r>
        <w:r>
          <w:fldChar w:fldCharType="begin"/>
        </w:r>
        <w:r>
          <w:instrText xml:space="preserve"> PAGEREF _Toc6824 \h </w:instrText>
        </w:r>
        <w:r>
          <w:fldChar w:fldCharType="separate"/>
        </w:r>
        <w:r>
          <w:t>27</w:t>
        </w:r>
        <w:r>
          <w:fldChar w:fldCharType="end"/>
        </w:r>
      </w:hyperlink>
    </w:p>
    <w:p>
      <w:pPr>
        <w:pStyle w:val="TOC1"/>
        <w:tabs>
          <w:tab w:val="right" w:leader="dot" w:pos="8306"/>
        </w:tabs>
      </w:pPr>
      <w:hyperlink w:anchor="_Toc20435" w:history="1">
        <w:r>
          <w:rPr>
            <w:rFonts w:ascii="仿宋" w:eastAsia="仿宋" w:hAnsi="仿宋" w:cs="仿宋" w:hint="eastAsia"/>
            <w:lang w:eastAsia="zh-CN"/>
          </w:rPr>
          <w:t>九、生产安全保护</w:t>
        </w:r>
        <w:r>
          <w:tab/>
        </w:r>
        <w:r>
          <w:fldChar w:fldCharType="begin"/>
        </w:r>
        <w:r>
          <w:instrText xml:space="preserve"> PAGEREF _Toc20435 \h </w:instrText>
        </w:r>
        <w:r>
          <w:fldChar w:fldCharType="separate"/>
        </w:r>
        <w:r>
          <w:t>27</w:t>
        </w:r>
        <w:r>
          <w:fldChar w:fldCharType="end"/>
        </w:r>
      </w:hyperlink>
    </w:p>
    <w:p>
      <w:pPr>
        <w:pStyle w:val="TOC2"/>
        <w:tabs>
          <w:tab w:val="right" w:leader="dot" w:pos="8306"/>
        </w:tabs>
      </w:pPr>
      <w:hyperlink w:anchor="_Toc20009" w:history="1">
        <w:r>
          <w:rPr>
            <w:rFonts w:ascii="仿宋" w:eastAsia="仿宋" w:hAnsi="仿宋" w:cs="仿宋" w:hint="eastAsia"/>
            <w:lang w:eastAsia="zh-CN"/>
          </w:rPr>
          <w:t>(一)、消防安全</w:t>
        </w:r>
        <w:r>
          <w:tab/>
        </w:r>
        <w:r>
          <w:fldChar w:fldCharType="begin"/>
        </w:r>
        <w:r>
          <w:instrText xml:space="preserve"> PAGEREF _Toc20009 \h </w:instrText>
        </w:r>
        <w:r>
          <w:fldChar w:fldCharType="separate"/>
        </w:r>
        <w:r>
          <w:t>27</w:t>
        </w:r>
        <w:r>
          <w:fldChar w:fldCharType="end"/>
        </w:r>
      </w:hyperlink>
    </w:p>
    <w:p>
      <w:pPr>
        <w:pStyle w:val="TOC2"/>
        <w:tabs>
          <w:tab w:val="right" w:leader="dot" w:pos="8306"/>
        </w:tabs>
      </w:pPr>
      <w:hyperlink w:anchor="_Toc27604" w:history="1">
        <w:r>
          <w:rPr>
            <w:rFonts w:ascii="仿宋" w:eastAsia="仿宋" w:hAnsi="仿宋" w:cs="仿宋" w:hint="eastAsia"/>
            <w:lang w:eastAsia="zh-CN"/>
          </w:rPr>
          <w:t>(二)、防火防爆总图布置措施</w:t>
        </w:r>
        <w:r>
          <w:tab/>
        </w:r>
        <w:r>
          <w:fldChar w:fldCharType="begin"/>
        </w:r>
        <w:r>
          <w:instrText xml:space="preserve"> PAGEREF _Toc27604 \h </w:instrText>
        </w:r>
        <w:r>
          <w:fldChar w:fldCharType="separate"/>
        </w:r>
        <w:r>
          <w:t>29</w:t>
        </w:r>
        <w:r>
          <w:fldChar w:fldCharType="end"/>
        </w:r>
      </w:hyperlink>
    </w:p>
    <w:p>
      <w:pPr>
        <w:pStyle w:val="TOC2"/>
        <w:tabs>
          <w:tab w:val="right" w:leader="dot" w:pos="8306"/>
        </w:tabs>
      </w:pPr>
      <w:hyperlink w:anchor="_Toc12865" w:history="1">
        <w:r>
          <w:rPr>
            <w:rFonts w:ascii="仿宋" w:eastAsia="仿宋" w:hAnsi="仿宋" w:cs="仿宋" w:hint="eastAsia"/>
            <w:lang w:eastAsia="zh-CN"/>
          </w:rPr>
          <w:t>(三)、自然灾害防范措施</w:t>
        </w:r>
        <w:r>
          <w:tab/>
        </w:r>
        <w:r>
          <w:fldChar w:fldCharType="begin"/>
        </w:r>
        <w:r>
          <w:instrText xml:space="preserve"> PAGEREF _Toc12865 \h </w:instrText>
        </w:r>
        <w:r>
          <w:fldChar w:fldCharType="separate"/>
        </w:r>
        <w:r>
          <w:t>30</w:t>
        </w:r>
        <w:r>
          <w:fldChar w:fldCharType="end"/>
        </w:r>
      </w:hyperlink>
    </w:p>
    <w:p>
      <w:pPr>
        <w:pStyle w:val="TOC2"/>
        <w:tabs>
          <w:tab w:val="right" w:leader="dot" w:pos="8306"/>
        </w:tabs>
      </w:pPr>
      <w:hyperlink w:anchor="_Toc1122" w:history="1">
        <w:r>
          <w:rPr>
            <w:rFonts w:ascii="仿宋" w:eastAsia="仿宋" w:hAnsi="仿宋" w:cs="仿宋" w:hint="eastAsia"/>
            <w:lang w:eastAsia="zh-CN"/>
          </w:rPr>
          <w:t>(四)、安全色及安全标志使用要求</w:t>
        </w:r>
        <w:r>
          <w:tab/>
        </w:r>
        <w:r>
          <w:fldChar w:fldCharType="begin"/>
        </w:r>
        <w:r>
          <w:instrText xml:space="preserve"> PAGEREF _Toc1122 \h </w:instrText>
        </w:r>
        <w:r>
          <w:fldChar w:fldCharType="separate"/>
        </w:r>
        <w:r>
          <w:t>31</w:t>
        </w:r>
        <w:r>
          <w:fldChar w:fldCharType="end"/>
        </w:r>
      </w:hyperlink>
    </w:p>
    <w:p>
      <w:pPr>
        <w:pStyle w:val="TOC2"/>
        <w:tabs>
          <w:tab w:val="right" w:leader="dot" w:pos="8306"/>
        </w:tabs>
      </w:pPr>
      <w:hyperlink w:anchor="_Toc21172" w:history="1">
        <w:r>
          <w:rPr>
            <w:rFonts w:ascii="仿宋" w:eastAsia="仿宋" w:hAnsi="仿宋" w:cs="仿宋" w:hint="eastAsia"/>
            <w:lang w:eastAsia="zh-CN"/>
          </w:rPr>
          <w:t>(五)、防尘防毒措施</w:t>
        </w:r>
        <w:r>
          <w:tab/>
        </w:r>
        <w:r>
          <w:fldChar w:fldCharType="begin"/>
        </w:r>
        <w:r>
          <w:instrText xml:space="preserve"> PAGEREF _Toc21172 \h </w:instrText>
        </w:r>
        <w:r>
          <w:fldChar w:fldCharType="separate"/>
        </w:r>
        <w:r>
          <w:t>32</w:t>
        </w:r>
        <w:r>
          <w:fldChar w:fldCharType="end"/>
        </w:r>
      </w:hyperlink>
    </w:p>
    <w:p>
      <w:pPr>
        <w:pStyle w:val="TOC2"/>
        <w:tabs>
          <w:tab w:val="right" w:leader="dot" w:pos="8306"/>
        </w:tabs>
      </w:pPr>
      <w:hyperlink w:anchor="_Toc15052" w:history="1">
        <w:r>
          <w:rPr>
            <w:rFonts w:ascii="仿宋" w:eastAsia="仿宋" w:hAnsi="仿宋" w:cs="仿宋" w:hint="eastAsia"/>
            <w:lang w:eastAsia="zh-CN"/>
          </w:rPr>
          <w:t>(六)、防静电、触电防护及防雷措施</w:t>
        </w:r>
        <w:r>
          <w:tab/>
        </w:r>
        <w:r>
          <w:fldChar w:fldCharType="begin"/>
        </w:r>
        <w:r>
          <w:instrText xml:space="preserve"> PAGEREF _Toc15052 \h </w:instrText>
        </w:r>
        <w:r>
          <w:fldChar w:fldCharType="separate"/>
        </w:r>
        <w:r>
          <w:t>33</w:t>
        </w:r>
        <w:r>
          <w:fldChar w:fldCharType="end"/>
        </w:r>
      </w:hyperlink>
    </w:p>
    <w:p>
      <w:pPr>
        <w:pStyle w:val="TOC2"/>
        <w:tabs>
          <w:tab w:val="right" w:leader="dot" w:pos="8306"/>
        </w:tabs>
      </w:pPr>
      <w:hyperlink w:anchor="_Toc26061" w:history="1">
        <w:r>
          <w:rPr>
            <w:rFonts w:ascii="仿宋" w:eastAsia="仿宋" w:hAnsi="仿宋" w:cs="仿宋" w:hint="eastAsia"/>
            <w:lang w:eastAsia="zh-CN"/>
          </w:rPr>
          <w:t>(七)、机械设备安全保障措施</w:t>
        </w:r>
        <w:r>
          <w:tab/>
        </w:r>
        <w:r>
          <w:fldChar w:fldCharType="begin"/>
        </w:r>
        <w:r>
          <w:instrText xml:space="preserve"> PAGEREF _Toc26061 \h </w:instrText>
        </w:r>
        <w:r>
          <w:fldChar w:fldCharType="separate"/>
        </w:r>
        <w:r>
          <w:t>34</w:t>
        </w:r>
        <w:r>
          <w:fldChar w:fldCharType="end"/>
        </w:r>
      </w:hyperlink>
    </w:p>
    <w:p>
      <w:pPr>
        <w:pStyle w:val="TOC1"/>
        <w:tabs>
          <w:tab w:val="right" w:leader="dot" w:pos="8306"/>
        </w:tabs>
      </w:pPr>
      <w:hyperlink w:anchor="_Toc26009" w:history="1">
        <w:r>
          <w:rPr>
            <w:rFonts w:ascii="仿宋" w:eastAsia="仿宋" w:hAnsi="仿宋" w:cs="仿宋" w:hint="eastAsia"/>
            <w:lang w:eastAsia="zh-CN"/>
          </w:rPr>
          <w:t>十、数控石油深井测井仪项目人力资源管理</w:t>
        </w:r>
        <w:r>
          <w:tab/>
        </w:r>
        <w:r>
          <w:fldChar w:fldCharType="begin"/>
        </w:r>
        <w:r>
          <w:instrText xml:space="preserve"> PAGEREF _Toc26009 \h </w:instrText>
        </w:r>
        <w:r>
          <w:fldChar w:fldCharType="separate"/>
        </w:r>
        <w:r>
          <w:t>36</w:t>
        </w:r>
        <w:r>
          <w:fldChar w:fldCharType="end"/>
        </w:r>
      </w:hyperlink>
    </w:p>
    <w:p>
      <w:pPr>
        <w:pStyle w:val="TOC2"/>
        <w:tabs>
          <w:tab w:val="right" w:leader="dot" w:pos="8306"/>
        </w:tabs>
      </w:pPr>
      <w:hyperlink w:anchor="_Toc9144" w:history="1">
        <w:r>
          <w:rPr>
            <w:rFonts w:ascii="仿宋" w:eastAsia="仿宋" w:hAnsi="仿宋" w:cs="仿宋" w:hint="eastAsia"/>
            <w:lang w:eastAsia="zh-CN"/>
          </w:rPr>
          <w:t>(一)、建立健全的预算管理制度</w:t>
        </w:r>
        <w:r>
          <w:tab/>
        </w:r>
        <w:r>
          <w:fldChar w:fldCharType="begin"/>
        </w:r>
        <w:r>
          <w:instrText xml:space="preserve"> PAGEREF _Toc9144 \h </w:instrText>
        </w:r>
        <w:r>
          <w:fldChar w:fldCharType="separate"/>
        </w:r>
        <w:r>
          <w:t>36</w:t>
        </w:r>
        <w:r>
          <w:fldChar w:fldCharType="end"/>
        </w:r>
      </w:hyperlink>
    </w:p>
    <w:p>
      <w:pPr>
        <w:pStyle w:val="TOC2"/>
        <w:tabs>
          <w:tab w:val="right" w:leader="dot" w:pos="8306"/>
        </w:tabs>
      </w:pPr>
      <w:hyperlink w:anchor="_Toc12550" w:history="1">
        <w:r>
          <w:rPr>
            <w:rFonts w:ascii="仿宋" w:eastAsia="仿宋" w:hAnsi="仿宋" w:cs="仿宋" w:hint="eastAsia"/>
            <w:lang w:eastAsia="zh-CN"/>
          </w:rPr>
          <w:t>(二)、加强资金流动监控</w:t>
        </w:r>
        <w:r>
          <w:tab/>
        </w:r>
        <w:r>
          <w:fldChar w:fldCharType="begin"/>
        </w:r>
        <w:r>
          <w:instrText xml:space="preserve"> PAGEREF _Toc12550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2" w:history="1">
        <w:r>
          <w:rPr>
            <w:rFonts w:ascii="仿宋" w:eastAsia="仿宋" w:hAnsi="仿宋" w:cs="仿宋" w:hint="eastAsia"/>
            <w:lang w:eastAsia="zh-CN"/>
          </w:rPr>
          <w:t>(三)、制定完善的风险控制机制</w:t>
        </w:r>
        <w:r>
          <w:tab/>
        </w:r>
        <w:r>
          <w:fldChar w:fldCharType="begin"/>
        </w:r>
        <w:r>
          <w:instrText xml:space="preserve"> PAGEREF _Toc29072 \h </w:instrText>
        </w:r>
        <w:r>
          <w:fldChar w:fldCharType="separate"/>
        </w:r>
        <w:r>
          <w:t>39</w:t>
        </w:r>
        <w:r>
          <w:fldChar w:fldCharType="end"/>
        </w:r>
      </w:hyperlink>
    </w:p>
    <w:p>
      <w:pPr>
        <w:pStyle w:val="TOC2"/>
        <w:tabs>
          <w:tab w:val="right" w:leader="dot" w:pos="8306"/>
        </w:tabs>
      </w:pPr>
      <w:hyperlink w:anchor="_Toc30789" w:history="1">
        <w:r>
          <w:rPr>
            <w:rFonts w:ascii="仿宋" w:eastAsia="仿宋" w:hAnsi="仿宋" w:cs="仿宋" w:hint="eastAsia"/>
            <w:lang w:eastAsia="zh-CN"/>
          </w:rPr>
          <w:t>(四)、优化成本管理</w:t>
        </w:r>
        <w:r>
          <w:tab/>
        </w:r>
        <w:r>
          <w:fldChar w:fldCharType="begin"/>
        </w:r>
        <w:r>
          <w:instrText xml:space="preserve"> PAGEREF _Toc30789 \h </w:instrText>
        </w:r>
        <w:r>
          <w:fldChar w:fldCharType="separate"/>
        </w:r>
        <w:r>
          <w:t>40</w:t>
        </w:r>
        <w:r>
          <w:fldChar w:fldCharType="end"/>
        </w:r>
      </w:hyperlink>
    </w:p>
    <w:p>
      <w:pPr>
        <w:pStyle w:val="TOC1"/>
        <w:tabs>
          <w:tab w:val="right" w:leader="dot" w:pos="8306"/>
        </w:tabs>
      </w:pPr>
      <w:hyperlink w:anchor="_Toc17951" w:history="1">
        <w:r>
          <w:rPr>
            <w:rFonts w:ascii="仿宋" w:eastAsia="仿宋" w:hAnsi="仿宋" w:cs="仿宋" w:hint="eastAsia"/>
            <w:lang w:eastAsia="zh-CN"/>
          </w:rPr>
          <w:t>十一、数控石油深井测井仪项目创新与研发</w:t>
        </w:r>
        <w:r>
          <w:tab/>
        </w:r>
        <w:r>
          <w:fldChar w:fldCharType="begin"/>
        </w:r>
        <w:r>
          <w:instrText xml:space="preserve"> PAGEREF _Toc17951 \h </w:instrText>
        </w:r>
        <w:r>
          <w:fldChar w:fldCharType="separate"/>
        </w:r>
        <w:r>
          <w:t>42</w:t>
        </w:r>
        <w:r>
          <w:fldChar w:fldCharType="end"/>
        </w:r>
      </w:hyperlink>
    </w:p>
    <w:p>
      <w:pPr>
        <w:pStyle w:val="TOC2"/>
        <w:tabs>
          <w:tab w:val="right" w:leader="dot" w:pos="8306"/>
        </w:tabs>
      </w:pPr>
      <w:hyperlink w:anchor="_Toc17874" w:history="1">
        <w:r>
          <w:rPr>
            <w:rFonts w:ascii="仿宋" w:eastAsia="仿宋" w:hAnsi="仿宋" w:cs="仿宋" w:hint="eastAsia"/>
            <w:lang w:eastAsia="zh-CN"/>
          </w:rPr>
          <w:t>(一)、创新策略与方向</w:t>
        </w:r>
        <w:r>
          <w:tab/>
        </w:r>
        <w:r>
          <w:fldChar w:fldCharType="begin"/>
        </w:r>
        <w:r>
          <w:instrText xml:space="preserve"> PAGEREF _Toc17874 \h </w:instrText>
        </w:r>
        <w:r>
          <w:fldChar w:fldCharType="separate"/>
        </w:r>
        <w:r>
          <w:t>42</w:t>
        </w:r>
        <w:r>
          <w:fldChar w:fldCharType="end"/>
        </w:r>
      </w:hyperlink>
    </w:p>
    <w:p>
      <w:pPr>
        <w:pStyle w:val="TOC2"/>
        <w:tabs>
          <w:tab w:val="right" w:leader="dot" w:pos="8306"/>
        </w:tabs>
      </w:pPr>
      <w:hyperlink w:anchor="_Toc7524" w:history="1">
        <w:r>
          <w:rPr>
            <w:rFonts w:ascii="仿宋" w:eastAsia="仿宋" w:hAnsi="仿宋" w:cs="仿宋" w:hint="eastAsia"/>
            <w:lang w:eastAsia="zh-CN"/>
          </w:rPr>
          <w:t>(二)、研发规划与投入</w:t>
        </w:r>
        <w:r>
          <w:tab/>
        </w:r>
        <w:r>
          <w:fldChar w:fldCharType="begin"/>
        </w:r>
        <w:r>
          <w:instrText xml:space="preserve"> PAGEREF _Toc7524 \h </w:instrText>
        </w:r>
        <w:r>
          <w:fldChar w:fldCharType="separate"/>
        </w:r>
        <w:r>
          <w:t>43</w:t>
        </w:r>
        <w:r>
          <w:fldChar w:fldCharType="end"/>
        </w:r>
      </w:hyperlink>
    </w:p>
    <w:p>
      <w:pPr>
        <w:pStyle w:val="TOC1"/>
        <w:tabs>
          <w:tab w:val="right" w:leader="dot" w:pos="8306"/>
        </w:tabs>
      </w:pPr>
      <w:hyperlink w:anchor="_Toc7008" w:history="1">
        <w:r>
          <w:rPr>
            <w:rFonts w:ascii="仿宋" w:eastAsia="仿宋" w:hAnsi="仿宋" w:cs="仿宋" w:hint="eastAsia"/>
            <w:lang w:eastAsia="zh-CN"/>
          </w:rPr>
          <w:t>十二、数控石油深井测井仪项目经营效益</w:t>
        </w:r>
        <w:r>
          <w:tab/>
        </w:r>
        <w:r>
          <w:fldChar w:fldCharType="begin"/>
        </w:r>
        <w:r>
          <w:instrText xml:space="preserve"> PAGEREF _Toc7008 \h </w:instrText>
        </w:r>
        <w:r>
          <w:fldChar w:fldCharType="separate"/>
        </w:r>
        <w:r>
          <w:t>45</w:t>
        </w:r>
        <w:r>
          <w:fldChar w:fldCharType="end"/>
        </w:r>
      </w:hyperlink>
    </w:p>
    <w:p>
      <w:pPr>
        <w:pStyle w:val="TOC2"/>
        <w:tabs>
          <w:tab w:val="right" w:leader="dot" w:pos="8306"/>
        </w:tabs>
      </w:pPr>
      <w:hyperlink w:anchor="_Toc14666" w:history="1">
        <w:r>
          <w:rPr>
            <w:rFonts w:ascii="仿宋" w:eastAsia="仿宋" w:hAnsi="仿宋" w:cs="仿宋" w:hint="eastAsia"/>
            <w:lang w:eastAsia="zh-CN"/>
          </w:rPr>
          <w:t>(一)、经济评价财务测算</w:t>
        </w:r>
        <w:r>
          <w:tab/>
        </w:r>
        <w:r>
          <w:fldChar w:fldCharType="begin"/>
        </w:r>
        <w:r>
          <w:instrText xml:space="preserve"> PAGEREF _Toc14666 \h </w:instrText>
        </w:r>
        <w:r>
          <w:fldChar w:fldCharType="separate"/>
        </w:r>
        <w:r>
          <w:t>45</w:t>
        </w:r>
        <w:r>
          <w:fldChar w:fldCharType="end"/>
        </w:r>
      </w:hyperlink>
    </w:p>
    <w:p>
      <w:pPr>
        <w:pStyle w:val="TOC2"/>
        <w:tabs>
          <w:tab w:val="right" w:leader="dot" w:pos="8306"/>
        </w:tabs>
      </w:pPr>
      <w:hyperlink w:anchor="_Toc26146" w:history="1">
        <w:r>
          <w:rPr>
            <w:rFonts w:ascii="仿宋" w:eastAsia="仿宋" w:hAnsi="仿宋" w:cs="仿宋" w:hint="eastAsia"/>
            <w:lang w:eastAsia="zh-CN"/>
          </w:rPr>
          <w:t>(二)、数控石油深井测井仪项目盈利能力分析</w:t>
        </w:r>
        <w:r>
          <w:tab/>
        </w:r>
        <w:r>
          <w:fldChar w:fldCharType="begin"/>
        </w:r>
        <w:r>
          <w:instrText xml:space="preserve"> PAGEREF _Toc26146 \h </w:instrText>
        </w:r>
        <w:r>
          <w:fldChar w:fldCharType="separate"/>
        </w:r>
        <w:r>
          <w:t>46</w:t>
        </w:r>
        <w:r>
          <w:fldChar w:fldCharType="end"/>
        </w:r>
      </w:hyperlink>
    </w:p>
    <w:p>
      <w:pPr>
        <w:pStyle w:val="TOC1"/>
        <w:tabs>
          <w:tab w:val="right" w:leader="dot" w:pos="8306"/>
        </w:tabs>
      </w:pPr>
      <w:hyperlink w:anchor="_Toc8517" w:history="1">
        <w:r>
          <w:rPr>
            <w:rFonts w:ascii="仿宋" w:eastAsia="仿宋" w:hAnsi="仿宋" w:cs="仿宋" w:hint="eastAsia"/>
            <w:lang w:eastAsia="zh-CN"/>
          </w:rPr>
          <w:t>十三、营销与推广策略</w:t>
        </w:r>
        <w:r>
          <w:tab/>
        </w:r>
        <w:r>
          <w:fldChar w:fldCharType="begin"/>
        </w:r>
        <w:r>
          <w:instrText xml:space="preserve"> PAGEREF _Toc8517 \h </w:instrText>
        </w:r>
        <w:r>
          <w:fldChar w:fldCharType="separate"/>
        </w:r>
        <w:r>
          <w:t>47</w:t>
        </w:r>
        <w:r>
          <w:fldChar w:fldCharType="end"/>
        </w:r>
      </w:hyperlink>
    </w:p>
    <w:p>
      <w:pPr>
        <w:pStyle w:val="TOC2"/>
        <w:tabs>
          <w:tab w:val="right" w:leader="dot" w:pos="8306"/>
        </w:tabs>
      </w:pPr>
      <w:hyperlink w:anchor="_Toc27271" w:history="1">
        <w:r>
          <w:rPr>
            <w:rFonts w:ascii="仿宋" w:eastAsia="仿宋" w:hAnsi="仿宋" w:cs="仿宋" w:hint="eastAsia"/>
            <w:lang w:eastAsia="zh-CN"/>
          </w:rPr>
          <w:t>(一)、产品/服务定位与特点</w:t>
        </w:r>
        <w:r>
          <w:tab/>
        </w:r>
        <w:r>
          <w:fldChar w:fldCharType="begin"/>
        </w:r>
        <w:r>
          <w:instrText xml:space="preserve"> PAGEREF _Toc27271 \h </w:instrText>
        </w:r>
        <w:r>
          <w:fldChar w:fldCharType="separate"/>
        </w:r>
        <w:r>
          <w:t>47</w:t>
        </w:r>
        <w:r>
          <w:fldChar w:fldCharType="end"/>
        </w:r>
      </w:hyperlink>
    </w:p>
    <w:p>
      <w:pPr>
        <w:pStyle w:val="TOC2"/>
        <w:tabs>
          <w:tab w:val="right" w:leader="dot" w:pos="8306"/>
        </w:tabs>
      </w:pPr>
      <w:hyperlink w:anchor="_Toc8112" w:history="1">
        <w:r>
          <w:rPr>
            <w:rFonts w:ascii="仿宋" w:eastAsia="仿宋" w:hAnsi="仿宋" w:cs="仿宋" w:hint="eastAsia"/>
            <w:lang w:eastAsia="zh-CN"/>
          </w:rPr>
          <w:t>(二)、市场定位与竞争分析</w:t>
        </w:r>
        <w:r>
          <w:tab/>
        </w:r>
        <w:r>
          <w:fldChar w:fldCharType="begin"/>
        </w:r>
        <w:r>
          <w:instrText xml:space="preserve"> PAGEREF _Toc8112 \h </w:instrText>
        </w:r>
        <w:r>
          <w:fldChar w:fldCharType="separate"/>
        </w:r>
        <w:r>
          <w:t>49</w:t>
        </w:r>
        <w:r>
          <w:fldChar w:fldCharType="end"/>
        </w:r>
      </w:hyperlink>
    </w:p>
    <w:p>
      <w:pPr>
        <w:pStyle w:val="TOC2"/>
        <w:tabs>
          <w:tab w:val="right" w:leader="dot" w:pos="8306"/>
        </w:tabs>
      </w:pPr>
      <w:hyperlink w:anchor="_Toc2715" w:history="1">
        <w:r>
          <w:rPr>
            <w:rFonts w:ascii="仿宋" w:eastAsia="仿宋" w:hAnsi="仿宋" w:cs="仿宋" w:hint="eastAsia"/>
            <w:lang w:eastAsia="zh-CN"/>
          </w:rPr>
          <w:t>(三)、营销渠道与策略</w:t>
        </w:r>
        <w:r>
          <w:tab/>
        </w:r>
        <w:r>
          <w:fldChar w:fldCharType="begin"/>
        </w:r>
        <w:r>
          <w:instrText xml:space="preserve"> PAGEREF _Toc2715 \h </w:instrText>
        </w:r>
        <w:r>
          <w:fldChar w:fldCharType="separate"/>
        </w:r>
        <w:r>
          <w:t>50</w:t>
        </w:r>
        <w:r>
          <w:fldChar w:fldCharType="end"/>
        </w:r>
      </w:hyperlink>
    </w:p>
    <w:p>
      <w:pPr>
        <w:pStyle w:val="TOC2"/>
        <w:tabs>
          <w:tab w:val="right" w:leader="dot" w:pos="8306"/>
        </w:tabs>
      </w:pPr>
      <w:hyperlink w:anchor="_Toc13075" w:history="1">
        <w:r>
          <w:rPr>
            <w:rFonts w:ascii="仿宋" w:eastAsia="仿宋" w:hAnsi="仿宋" w:cs="仿宋" w:hint="eastAsia"/>
            <w:lang w:eastAsia="zh-CN"/>
          </w:rPr>
          <w:t>(四)、推广与宣传活动</w:t>
        </w:r>
        <w:r>
          <w:tab/>
        </w:r>
        <w:r>
          <w:fldChar w:fldCharType="begin"/>
        </w:r>
        <w:r>
          <w:instrText xml:space="preserve"> PAGEREF _Toc13075 \h </w:instrText>
        </w:r>
        <w:r>
          <w:fldChar w:fldCharType="separate"/>
        </w:r>
        <w:r>
          <w:t>51</w:t>
        </w:r>
        <w:r>
          <w:fldChar w:fldCharType="end"/>
        </w:r>
      </w:hyperlink>
    </w:p>
    <w:p>
      <w:pPr>
        <w:pStyle w:val="TOC1"/>
        <w:tabs>
          <w:tab w:val="right" w:leader="dot" w:pos="8306"/>
        </w:tabs>
      </w:pPr>
      <w:hyperlink w:anchor="_Toc9390" w:history="1">
        <w:r>
          <w:rPr>
            <w:rFonts w:ascii="仿宋" w:eastAsia="仿宋" w:hAnsi="仿宋" w:cs="仿宋" w:hint="eastAsia"/>
            <w:lang w:eastAsia="zh-CN"/>
          </w:rPr>
          <w:t>十四、数控石油深井测井仪项目变更管理</w:t>
        </w:r>
        <w:r>
          <w:tab/>
        </w:r>
        <w:r>
          <w:fldChar w:fldCharType="begin"/>
        </w:r>
        <w:r>
          <w:instrText xml:space="preserve"> PAGEREF _Toc9390 \h </w:instrText>
        </w:r>
        <w:r>
          <w:fldChar w:fldCharType="separate"/>
        </w:r>
        <w:r>
          <w:t>56</w:t>
        </w:r>
        <w:r>
          <w:fldChar w:fldCharType="end"/>
        </w:r>
      </w:hyperlink>
    </w:p>
    <w:p>
      <w:pPr>
        <w:pStyle w:val="TOC2"/>
        <w:tabs>
          <w:tab w:val="right" w:leader="dot" w:pos="8306"/>
        </w:tabs>
      </w:pPr>
      <w:hyperlink w:anchor="_Toc23240" w:history="1">
        <w:r>
          <w:rPr>
            <w:rFonts w:ascii="仿宋" w:eastAsia="仿宋" w:hAnsi="仿宋" w:cs="仿宋" w:hint="eastAsia"/>
            <w:lang w:eastAsia="zh-CN"/>
          </w:rPr>
          <w:t>(一)、变更申请与评估</w:t>
        </w:r>
        <w:r>
          <w:tab/>
        </w:r>
        <w:r>
          <w:fldChar w:fldCharType="begin"/>
        </w:r>
        <w:r>
          <w:instrText xml:space="preserve"> PAGEREF _Toc23240 \h </w:instrText>
        </w:r>
        <w:r>
          <w:fldChar w:fldCharType="separate"/>
        </w:r>
        <w:r>
          <w:t>56</w:t>
        </w:r>
        <w:r>
          <w:fldChar w:fldCharType="end"/>
        </w:r>
      </w:hyperlink>
    </w:p>
    <w:p>
      <w:pPr>
        <w:pStyle w:val="TOC2"/>
        <w:tabs>
          <w:tab w:val="right" w:leader="dot" w:pos="8306"/>
        </w:tabs>
      </w:pPr>
      <w:hyperlink w:anchor="_Toc29676" w:history="1">
        <w:r>
          <w:rPr>
            <w:rFonts w:ascii="仿宋" w:eastAsia="仿宋" w:hAnsi="仿宋" w:cs="仿宋" w:hint="eastAsia"/>
            <w:lang w:eastAsia="zh-CN"/>
          </w:rPr>
          <w:t>(二)、变更实施与控制</w:t>
        </w:r>
        <w:r>
          <w:tab/>
        </w:r>
        <w:r>
          <w:fldChar w:fldCharType="begin"/>
        </w:r>
        <w:r>
          <w:instrText xml:space="preserve"> PAGEREF _Toc29676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39"/>
      <w:r>
        <w:rPr>
          <w:rFonts w:ascii="仿宋" w:eastAsia="仿宋" w:hAnsi="仿宋" w:cs="仿宋" w:hint="eastAsia"/>
          <w:sz w:val="28"/>
          <w:lang w:eastAsia="zh-CN"/>
        </w:rPr>
        <w:t>一、数控石油深井测井仪项目可持续发展</w:t>
      </w:r>
      <w:bookmarkEnd w:id="2"/>
    </w:p>
    <w:p>
      <w:pPr>
        <w:pStyle w:val="Heading2"/>
        <w:rPr>
          <w:rFonts w:ascii="仿宋" w:eastAsia="仿宋" w:hAnsi="仿宋" w:cs="仿宋" w:hint="eastAsia"/>
          <w:lang w:eastAsia="zh-CN"/>
        </w:rPr>
      </w:pPr>
      <w:bookmarkStart w:id="3" w:name="_Toc70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中，数控石油深井测井仪项目团队着眼于未来，明确了可持续发展的战略方向。制定的具体可持续发展目标包括降低资源使用、采用环保技术、最大化社会效益等。这一步骤不仅有助于数控石油深井测井仪项目在环保和社会责任方面达到最高标准，也为未来提供了明确的指引，确保数控石油深井测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可持续实践的融入数控石油深井测井仪项目管理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石油深井测井仪项目管理周期。从数控石油深井测井仪项目规划开始，数控石油深井测井仪项目团队就考虑了环境和社会的因素。在执行阶段，数控石油深井测井仪项目团队积极推动绿色技术的应用，优化资源利用。此外，关注员工的社会责任，通过培训和沟通活动提高员工对可持续发展的认知，使他们能够在日常工作中践行可持续实践。这些举措不仅为数控石油深井测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2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石油深井测井仪项目的可持续发展理念，我们深信环保与社会责任是数控石油深井测井仪项目成功的关键支柱。在数控石油深井测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团队通过引入先进的环保技术、建立高效的废物处理系统以及推动能源节约措施，积极履行环保责任。定期的环保监测和评估确保数控石油深井测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数控石油深井测井仪项目不仅致力于自身可持续发展，还注重对社会的回馈。通过支持社区数控石油深井测井仪项目、参与慈善事业、提供培训机会等方式，数控石油深井测井仪项目积极履行社会责任。与当地社区建立积极互动，关注员工的工作与生活平衡，以及员工的身心健康，是数控石油深井测井仪项目在社会责任层面的关键举措。这样的实践不仅增强了数控石油深井测井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424"/>
      <w:r>
        <w:rPr>
          <w:rFonts w:ascii="仿宋" w:eastAsia="仿宋" w:hAnsi="仿宋" w:cs="仿宋" w:hint="eastAsia"/>
          <w:sz w:val="28"/>
          <w:lang w:eastAsia="zh-CN"/>
        </w:rPr>
        <w:t>二、数控石油深井测井仪项目建设背景及必要性分析</w:t>
      </w:r>
      <w:bookmarkEnd w:id="5"/>
    </w:p>
    <w:p>
      <w:pPr>
        <w:pStyle w:val="Heading2"/>
        <w:rPr>
          <w:rFonts w:ascii="仿宋" w:eastAsia="仿宋" w:hAnsi="仿宋" w:cs="仿宋" w:hint="eastAsia"/>
          <w:lang w:eastAsia="zh-CN"/>
        </w:rPr>
      </w:pPr>
      <w:bookmarkStart w:id="6" w:name="_Toc16348"/>
      <w:r>
        <w:rPr>
          <w:rFonts w:ascii="仿宋" w:eastAsia="仿宋" w:hAnsi="仿宋" w:cs="仿宋" w:hint="eastAsia"/>
          <w:lang w:eastAsia="zh-CN"/>
        </w:rPr>
        <w:t>(一)、数控石油深井测井仪项目背景分析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石油深井测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石油深井测井仪项目在这个潮流中的定位。同时，我们将关注行业内涌现的新兴机遇，以便数控石油深井测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石油深井测井仪项目提供了强大的发展动力。我们将聚焦于行业内最新的技术发展趋势，包括但不限于人工智能、大数据分析、物联网等领域。通过深度的技术研究，我们将确保数控石油深井测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石油深井测井仪项目发展的源泉。我们将投入更多的精力对市场需求进行深入剖析，超越表面的需求，深入挖掘潜在的市场痛点和机遇。通过对市场需求的细致了解，数控石油深井测井仪项目将更有针对性地设计解决方案，满足市场的多样化需求，从而更好地促进数控石油深井测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石油深井测井仪项目战略至关重要。我们将对竞争态势进行更为深入的分析，包括但不限于市场份额、产品特点、客户满意度等多个维度。通过深度的竞争分析，数控石油深井测井仪项目将能够更准确地把握市场脉搏，制定具有竞争力的数控石油深井测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石油深井测井仪项目的发展具有直接的影响。我们将进行更为全面的法规和政策分析，了解行业发展中的潜在法律风险和合规挑战。通过充分了解和遵守相关法规，数控石油深井测井仪项目将确保在法律框架内合法合规运营，为数控石油深井测井仪项目的稳健发展提供有力支持。</w:t>
      </w:r>
    </w:p>
    <w:p>
      <w:pPr>
        <w:pStyle w:val="Heading2"/>
        <w:ind w:firstLine="560" w:firstLineChars="200"/>
        <w:rPr>
          <w:rFonts w:ascii="仿宋" w:eastAsia="仿宋" w:hAnsi="仿宋" w:cs="仿宋" w:hint="eastAsia"/>
          <w:sz w:val="28"/>
          <w:lang w:eastAsia="zh-CN"/>
        </w:rPr>
      </w:pPr>
      <w:bookmarkStart w:id="7" w:name="_Toc13714"/>
      <w:r>
        <w:rPr>
          <w:rFonts w:ascii="仿宋" w:eastAsia="仿宋" w:hAnsi="仿宋" w:cs="仿宋" w:hint="eastAsia"/>
          <w:sz w:val="28"/>
          <w:lang w:eastAsia="zh-CN"/>
        </w:rPr>
        <w:t>(二)、数控石油深井测井仪项目建设必要性分析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建设的迫切性源于对行业发展趋势的深刻洞察。我们正处于一个行业变革的时代，科技创新、数字化转型成为企业发展的关键动力。数控石油深井测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建设不仅仅是为了跟上潮流，更是为了通过技术创新推动企业的持续发展。通过引入先进的技术和解决方案，数控石油深井测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石油深井测井仪项目的建设成为必然选择，通过提高产品质量、拓展服务领域，从而在竞争中获得更多的机会。数控石油深井测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石油深井测井仪项目建设的必要性体现在对客户需求更精准的满足。通过数控石油深井测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建设的背后是对企业持续创新的追求。只有通过不断创新，企业才能在竞争中立于不败之地。数控石油深井测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90"/>
      <w:r>
        <w:rPr>
          <w:rFonts w:ascii="仿宋" w:eastAsia="仿宋" w:hAnsi="仿宋" w:cs="仿宋" w:hint="eastAsia"/>
          <w:sz w:val="28"/>
          <w:lang w:eastAsia="zh-CN"/>
        </w:rPr>
        <w:t>三、数控石油深井测井仪项目建设单位说明</w:t>
      </w:r>
      <w:bookmarkEnd w:id="8"/>
    </w:p>
    <w:p>
      <w:pPr>
        <w:pStyle w:val="Heading2"/>
        <w:rPr>
          <w:rFonts w:ascii="仿宋" w:eastAsia="仿宋" w:hAnsi="仿宋" w:cs="仿宋" w:hint="eastAsia"/>
          <w:lang w:eastAsia="zh-CN"/>
        </w:rPr>
      </w:pPr>
      <w:bookmarkStart w:id="9" w:name="_Toc16709"/>
      <w:r>
        <w:rPr>
          <w:rFonts w:ascii="仿宋" w:eastAsia="仿宋" w:hAnsi="仿宋" w:cs="仿宋" w:hint="eastAsia"/>
          <w:lang w:eastAsia="zh-CN"/>
        </w:rPr>
        <w:t>(一)、数控石油深井测井仪项目承办单位基本情况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92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石油深井测井仪项目承办单位的XXXX，我们着眼于实现可持续的经济效益。通过技术创新和解决方案的提供，公司预计在数控石油深井测井仪项目执行期间将获得可观的收入增长。这一收入来源主要包括数控石油深井测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同时，我们注重成本控制和效率提升，以确保数控石油深井测井仪项目的可持续盈利。透过精细的管理和资源优化，公司期望实现数控石油深井测井仪项目利润最大化。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石油深井测井仪项目实施进行全面的投资评估，包括数控石油深井测井仪项目启动阶段的资金投入和后续运营成本。通过对数控石油深井测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数控石油深井测井仪项目实施过程中具备足够的资金流动性，公司将进行详尽的现金流分析。这包括资金需求的合理预测、数控石油深井测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6356"/>
      <w:r>
        <w:rPr>
          <w:rFonts w:ascii="仿宋" w:eastAsia="仿宋" w:hAnsi="仿宋" w:cs="仿宋" w:hint="eastAsia"/>
          <w:sz w:val="28"/>
          <w:lang w:eastAsia="zh-CN"/>
        </w:rPr>
        <w:t>四、数控石油深井测井仪项目概论</w:t>
      </w:r>
      <w:bookmarkEnd w:id="11"/>
    </w:p>
    <w:p>
      <w:pPr>
        <w:pStyle w:val="Heading2"/>
        <w:rPr>
          <w:rFonts w:ascii="仿宋" w:eastAsia="仿宋" w:hAnsi="仿宋" w:cs="仿宋" w:hint="eastAsia"/>
          <w:lang w:eastAsia="zh-CN"/>
        </w:rPr>
      </w:pPr>
      <w:bookmarkStart w:id="12" w:name="_Toc9311"/>
      <w:r>
        <w:rPr>
          <w:rFonts w:ascii="仿宋" w:eastAsia="仿宋" w:hAnsi="仿宋" w:cs="仿宋" w:hint="eastAsia"/>
          <w:lang w:eastAsia="zh-CN"/>
        </w:rPr>
        <w:t>(一)、数控石油深井测井仪项目概况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起源追溯至对市场的深入洞察。市场的不断演变与变革为数控石油深井测井仪项目提供了难得的机遇。当前市场存在的需求缺口和变革的大环境共同构成了数控石油深井测井仪项目的背景。这个数控石油深井测井仪项目旨在充分利用市场机遇，填补行业中尚未满足的需求，为客户提供全新的解决方案。市场的变革和需求的增长使得这个数控石油深井测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数控石油深井测井仪项目名称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正式命名为数控石油深井测井仪。这个名称不仅仅是一个标识，更代表了数控石油深井测井仪项目的核心理念和愿景。它蕴含着数控石油深井测井仪项目所要解决问题的关键字，具有强烈的表达和辨识度，为数控石油深井测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数控石油深井测井仪项目目标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核心目标是提供一种全新、高效的解决方案，满足客户日益增长的需求。数控石油深井测井仪项目追求的不仅仅是满足市场需求，更是在市场中获得卓越的竞争优势。通过不断提升产品或服务的质量和创新水平，数控石油深井测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数控石油深井测井仪项目范围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全面涵盖了产品研发、制造、市场推广和售后服务，确保从产品设计到最终用户体验的全方位关注。这一全面的数控石油深井测井仪项目范围是为了确保数控石油深井测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数控石油深井测井仪项目时间表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计划在未来18个月内完成，包括研发、测试、市场试点和正式推出等不同阶段。这个时间表的合理设计是为了确保数控石油深井测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数控石油深井测井仪项目预算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总预算估算为XX百万美元，主要分配在研发、市场推广、人员培训和运营等方面。这一充足的预算为数控石油深井测井仪项目提供了充足的资源，确保数控石油深井测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数控石油深井测井仪项目风险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控石油深井测井仪项目可能面临的风险包括市场接受度低、技术难题、竞争激烈等。数控石油深井测井仪项目团队已经制定了相应的风险应对计划，通过前瞻性的风险管理，确保数控石油深井测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数控石油深井测井仪项目团队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数控石油深井测井仪项目汇聚了一支经验丰富、多领域专业素养的核心团队，确保数控石油深井测井仪项目在各个方面都能拥有高水平的执行力。团队的协同作战是数控石油深井测井仪项目成功的关键因素之一。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数控石油深井测井仪项目背景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数控石油深井测井仪项目的背景根植于市场对更高效、创新产品的渴望，同时也受到科技发展对行业格局的深刻改变的影响。这为数控石油深井测井仪项目提供了广阔的发展空间和市场需求。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数控石油深井测井仪项目现状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截至目前，数控石油深井测井仪项目已完成市场调研和技术验证，取得了初步的成功。这为数控石油深井测井仪项目在未来的发展奠定了坚实的基础，为更远大的目标打下了坚实的基石。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6938"/>
      <w:r>
        <w:rPr>
          <w:rFonts w:ascii="仿宋" w:eastAsia="仿宋" w:hAnsi="仿宋" w:cs="仿宋" w:hint="eastAsia"/>
          <w:sz w:val="28"/>
          <w:lang w:eastAsia="zh-CN"/>
        </w:rPr>
        <w:t>(二)、数控石油深井测井仪项目目标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石油深井测井仪项目首要业务目标是在市场中占据有利地位，实现产品/服务的成功推广和销售。通过不断提升产品质量、创新性，数控石油深井测井仪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在科技迅速发展的时代，数控石油深井测井仪项目着眼于技术创新。通过持续的研发和技术升级，数控石油深井测井仪项目旨在推出更具创新性的产品或服务，以满足市场对新鲜、先进解决方案的需求。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石油深井测井仪项目设定了客户满意度目标。通过提供卓越的产品质量和优质的客户服务，数控石油深井测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数控石油深井测井仪项目注重社会责任和可持续发展。通过实施环保、社会责任数控石油深井测井仪项目，数控石油深井测井仪项目致力于在经济发展的同时保护环境，促进社会公平，实现可持续经营。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数控石油深井测井仪项目的团队是实现目标的核心驱动力。因此，数控石油深井测井仪项目设定了团队发展目标，包括提升团队成员的专业技能、培养领导力，以及搭建协同高效的团队工作氛围。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469"/>
      <w:r>
        <w:rPr>
          <w:rFonts w:ascii="仿宋" w:eastAsia="仿宋" w:hAnsi="仿宋" w:cs="仿宋" w:hint="eastAsia"/>
          <w:sz w:val="28"/>
          <w:lang w:eastAsia="zh-CN"/>
        </w:rPr>
        <w:t>(三)、数控石油深井测井仪项目提出的理由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数控石油深井测井仪项目提出的理由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提出源于对市场机遇的深刻洞察。当前市场中存在的需求缺口和行业发展趋势表明，有巨大的商业机会等待被开发。通过准确捕捉市场机遇，数控石油深井测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理念基于对技术创新的信仰。通过持续的研发和技术投入，数控石油深井测井仪项目有望推出更具创新性的产品或服务。在科技飞速发展的当下，数控石油深井测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提出是为了增强企业的行业竞争力。通过提升产品或服务的质量和独特性，数控石油深井测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响应了消费者需求的变化。随着社会和科技的不断发展，消费者对产品和服务的需求也在发生变化。通过深入了解并及时回应消费者的新需求，数控石油深井测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提出是企业战略发展规划的一部分。在面对日益激烈的市场竞争和不断变化的商业环境中，数控石油深井测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提出不仅仅是基于商业考量，还注重社会责任。通过推出环保、社会责任等方面的数控石油深井测井仪项目，数控石油深井测井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数控石油深井测井仪项目的提出反映了对利益相关者期望的关注。包括客户、员工、投资者等利益相关者在企业发展中都有着各自的期望，数控石油深井测井仪项目力求在满足这些期望的同时，取得更大的共赢。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677"/>
      <w:r>
        <w:rPr>
          <w:rFonts w:ascii="仿宋" w:eastAsia="仿宋" w:hAnsi="仿宋" w:cs="仿宋" w:hint="eastAsia"/>
          <w:sz w:val="28"/>
          <w:lang w:eastAsia="zh-CN"/>
        </w:rPr>
        <w:t>(四)、数控石油深井测井仪项目意义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在实施数控石油深井测井仪项目的过程中，我们不仅仅是在追逐商业成功，更是为企业和社会的多个层面创造了深远的意义。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首要意义在于提升企业的市场竞争力。通过持续的创新和对产品质量的高标准要求，数控石油深井测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石油深井测井仪项目的推进将促使行业技术水平的提升。通过引入先进技术和创新性解决方案，数控石油深井测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石油深井测井仪项目不仅创造了大量就业机会，提高了就业水平，还注重社会责任和环保。通过参与社会公益事业和推动环保数控石油深井测井仪项目，数控石油深井测井仪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综合而言，数控石油深井测井仪项目意义重大，不仅推动了企业的发展，也为行业和社会的进步贡献了积极力量。这是一个全面而深刻的影响，将在未来产生可持续的正面效应。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981"/>
      <w:r>
        <w:rPr>
          <w:rFonts w:ascii="仿宋" w:eastAsia="仿宋" w:hAnsi="仿宋" w:cs="仿宋" w:hint="eastAsia"/>
          <w:sz w:val="28"/>
          <w:lang w:eastAsia="zh-CN"/>
        </w:rPr>
        <w:t>(五)、数控石油深井测井仪项目背景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在当今迅猛发展的商业环境中，数控石油深井测井仪项目的动因根植于对多方面因素的审慎考量。这个数控石油深井测井仪项目的提出并非孤立的决策，而是对企业所处背景深入思考的产物。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石油深井测井仪项目背后的首要原因。科技的迅速发展和全球市场的快速变化使得企业必须灵活应对。数控石油深井测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石油深井测井仪项目背景中不可忽视的一环。企业需要在激烈竞争中脱颖而出，为此，数控石油深井测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技术的迅速发展为企业带来了机遇与挑战。作为数控石油深井测井仪项目启动的背景之一，对新兴技术的应用将有助于提升企业的技术水平，使其在不断演进的商业环境中保持竞争优势。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石油深井测井仪项目充分融入了社会责任的理念，通过可持续经营和社会公益数控石油深井测井仪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https://d.book118.com/187165020061006045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A29A2"/>
    <w:rsid w:val="51AA29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6502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2024-02-22T02:19:00Z</dcterms:created>
  <dcterms:modified xsi:type="dcterms:W3CDTF">2024-02-22T02:19:50Z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0D1B4EC45D8D41EBB14107061AB3F37E_11</vt:lpwstr>
  </property>
  <property fmtid="{D5CDD505-2E9C-101B-9397-08002B2CF9AE}" pid="3" name="KSOProductBuildVer">
    <vt:lpwstr>2052-12.1.0.16250</vt:lpwstr>
  </property>
</Properties>
</file>