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0"/>
        <w:rPr>
          <w:rFonts w:ascii="宋体" w:hAnsi="宋体" w:cs="宋体" w:hint="eastAsia"/>
          <w:b/>
          <w:bCs/>
          <w:color w:val="171A1D"/>
          <w:sz w:val="24"/>
          <w:shd w:val="clear" w:color="auto" w:fill="FFFFFF"/>
        </w:rPr>
      </w:pPr>
      <w:bookmarkStart w:id="0" w:name="_Toc18703"/>
      <w:r>
        <w:rPr>
          <w:rFonts w:ascii="宋体" w:eastAsia="宋体" w:hAnsi="宋体" w:cs="宋体" w:hint="eastAsia"/>
          <w:b/>
          <w:bCs/>
          <w:color w:val="171A1D"/>
          <w:sz w:val="24"/>
          <w:szCs w:val="24"/>
          <w:shd w:val="clear" w:color="auto" w:fill="FFFFFF"/>
        </w:rPr>
        <w:t>服装类电商直播对消费者购买意愿的影响因素研究</w:t>
      </w:r>
      <w:bookmarkEnd w:id="0"/>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80" w:firstLineChars="200"/>
        <w:jc w:val="both"/>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bCs/>
          <w:color w:val="171A1D"/>
          <w:sz w:val="24"/>
          <w:szCs w:val="24"/>
          <w:shd w:val="clear" w:color="auto" w:fill="FFFFFF"/>
          <w:lang w:val="en-US" w:eastAsia="zh-CN"/>
        </w:rPr>
        <w:t>摘要：</w:t>
      </w:r>
      <w:r>
        <w:rPr>
          <w:rFonts w:ascii="宋体" w:eastAsia="宋体" w:hAnsi="宋体" w:cs="宋体" w:hint="eastAsia"/>
          <w:b w:val="0"/>
          <w:bCs w:val="0"/>
          <w:color w:val="171A1D"/>
          <w:sz w:val="24"/>
          <w:szCs w:val="24"/>
          <w:shd w:val="clear" w:color="auto" w:fill="FFFFFF"/>
          <w:lang w:val="en-US" w:eastAsia="zh-CN"/>
        </w:rPr>
        <w:t>相比传统货架式电商的静态图文或短视频展示方式，直播电商以其真实可视、娱乐性和互动性等特征提高了人们的线上购物的体验感和融入度，成为商家营销的利器。按照平台属性，当前的直播电商可以划分为传统电商和内容平台两大类，传统电商平台通过直播克服流量瓶颈的问题，而内容平台则借助直播实现了流量的商业化变现。但是，现有的研究文献多限于单一的电商平台，对内容平台的研究相对较少，且两类属性平台之间的对比研究也较为缺乏。基于此，本文以淘宝电商平台与抖音内容平台两大头部直播电商为对比，探究平台间服装消费者购买意愿的影响因素差异。探究造成两平台直播电商服装消费者购买意愿影响因素差异的原因。最后，综合分析研究结果并结合两直播电商平台的特点为各平台入驻商家提出针对性的管理建议。</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80" w:firstLineChars="200"/>
        <w:jc w:val="both"/>
        <w:textAlignment w:val="auto"/>
        <w:outlineLvl w:val="9"/>
        <w:rPr>
          <w:rFonts w:ascii="宋体" w:hAnsi="宋体" w:cs="宋体" w:hint="eastAsia"/>
          <w:b w:val="0"/>
          <w:bCs w:val="0"/>
          <w:color w:val="171A1D"/>
          <w:sz w:val="24"/>
          <w:shd w:val="clear" w:color="auto" w:fill="FFFFFF"/>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bCs/>
          <w:color w:val="171A1D"/>
          <w:sz w:val="24"/>
          <w:szCs w:val="24"/>
          <w:shd w:val="clear" w:color="auto" w:fill="FFFFFF"/>
          <w:lang w:val="en-US" w:eastAsia="zh-CN"/>
        </w:rPr>
        <w:t>关键词：</w:t>
      </w:r>
      <w:r>
        <w:rPr>
          <w:rFonts w:ascii="宋体" w:eastAsia="宋体" w:hAnsi="宋体" w:cs="宋体" w:hint="eastAsia"/>
          <w:b w:val="0"/>
          <w:bCs w:val="0"/>
          <w:color w:val="171A1D"/>
          <w:sz w:val="24"/>
          <w:szCs w:val="24"/>
          <w:shd w:val="clear" w:color="auto" w:fill="FFFFFF"/>
          <w:lang w:val="en-US" w:eastAsia="zh-CN"/>
        </w:rPr>
        <w:t>直播电商；电商平台；内容平台；购买意愿</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80" w:firstLineChars="200"/>
        <w:jc w:val="both"/>
        <w:textAlignment w:val="auto"/>
        <w:outlineLvl w:val="0"/>
        <w:rPr>
          <w:rFonts w:ascii="宋体" w:hAnsi="宋体" w:cs="宋体" w:hint="eastAsia"/>
          <w:b/>
          <w:bCs/>
          <w:color w:val="171A1D"/>
          <w:sz w:val="24"/>
          <w:shd w:val="clear" w:color="auto" w:fill="FFFFFF"/>
        </w:rPr>
      </w:pPr>
      <w:r>
        <w:rPr>
          <w:rFonts w:ascii="宋体" w:eastAsia="宋体" w:hAnsi="宋体" w:cs="宋体" w:hint="eastAsia"/>
          <w:b/>
          <w:bCs/>
          <w:color w:val="171A1D"/>
          <w:sz w:val="24"/>
          <w:szCs w:val="24"/>
          <w:shd w:val="clear" w:color="auto" w:fill="FFFFFF"/>
          <w:lang w:val="en-US" w:eastAsia="zh-CN"/>
        </w:rPr>
        <w:t>第1章绪论</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80" w:firstLineChars="200"/>
        <w:jc w:val="both"/>
        <w:textAlignment w:val="auto"/>
        <w:outlineLvl w:val="1"/>
        <w:rPr>
          <w:rFonts w:ascii="宋体" w:hAnsi="宋体" w:cs="宋体" w:hint="eastAsia"/>
          <w:b/>
          <w:bCs/>
          <w:color w:val="171A1D"/>
          <w:sz w:val="24"/>
          <w:shd w:val="clear" w:color="auto" w:fill="FFFFFF"/>
        </w:rPr>
      </w:pPr>
      <w:r>
        <w:rPr>
          <w:rFonts w:ascii="宋体" w:eastAsia="宋体" w:hAnsi="宋体" w:cs="宋体" w:hint="eastAsia"/>
          <w:b/>
          <w:bCs/>
          <w:color w:val="171A1D"/>
          <w:sz w:val="24"/>
          <w:szCs w:val="24"/>
          <w:shd w:val="clear" w:color="auto" w:fill="FFFFFF"/>
          <w:lang w:val="en-US" w:eastAsia="zh-CN"/>
        </w:rPr>
        <w:t>1.1研究背景</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80" w:firstLineChars="200"/>
        <w:jc w:val="both"/>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目前，直播电商用户数量规模达到3.88亿，占据总体网民数量的39.2%，半成以上直播用户有过观看直播并购买商品的经历[1]。各地政府纷纷出台直播电商扶持政策，企业也加大人才资源的投入，使得直播电商迅速发展，成为各行业和企业数字化营销和商业变现的重要发展方向。随着互联网、大数据、人工智能技术的不断应用和融合，未来也将不断提升和丰富直播电商的服务价值。以互联网为基础的经济时代，流量代表着市场，是企业发展的核心竞争力之一，一定程度体现企业的实力和未来发展的潜力。在以消费者为导向的逆向供应链中，了解和掌握消费者购买决策过程中的影响因素、购买态度和行为显得极其重要，以此为发力点，商家会更加精准和高效地抓住目标消费者群体需求，其影响和意义将作用到市场细分、品牌形象及管理、产品定位及定价、产品开发、推广和促销策略的制定等品牌的整个运作过程中。</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80" w:firstLineChars="200"/>
        <w:jc w:val="both"/>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随着直播电商营销模式的火爆，各类电商及内容平台纷纷布局和发展直播营销。相比传统的货架式电商，直播媒介和电商的融合成为平台进一步发展的新型驱动器。按照平台自身的属性进行划分，当前的各类直播电商平台可以大致分为电商平台类直播电商和内容平台类直播电商两大类平台[2]，电商平台自带交易属性，而内容平台娱乐属性较为突出，其中，淘宝和抖音是两类直播电商中的头部平台。在流量为王的时代，直播已成为电商平台突破流量瓶颈获取消费者注意力和眼球的必备工具，而内容属性平台则通过内嵌直播功能为流量的商业化开掘了新的渠道。在各平台的激烈竞争之下，如何发挥平台自身优势，吸引流量并保持粉丝的粘性，是各类直播电商平台发展的关注重点。服装位居直播电商全品类商品销售第一，在电商市场中占有较大的份额。相关数据显示，服装类商品的数量达到直播电商带货商品数量的46%，成为直播营销中销售额最大的商品品类[3]。因此，对于直播电商服装消费者购买意愿的研究有着重要的价值。因此，本文将直播电商平台的服装消费者作为分析的对象，研究淘宝与抖音两平台服装消费者基于感知价值角度的影响因素的差异，希望为企业和商家提供管理方面的启示和建议。综上所述，文章通过分析国内直播电商和相关平台概况、消费者购买意愿和感知价值理论等相关研究，掌握直播电商的发展和研究状况，进而提出了直播电商平台服装消费者的感知价值影响因素的研究假设及理论模型，研究主要以淘宝与抖音两大直播电商平台的服装消费者为研究对象，对消费者的个体属性、使用习惯和消费偏好等行为特征进行调研分析，并分析了两平台服装消费者购买意愿的影响因素差异，然后通过文本分析方法分析进一步剖析造成两者影响因素差异的可能原因。</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80" w:firstLineChars="200"/>
        <w:jc w:val="both"/>
        <w:textAlignment w:val="auto"/>
        <w:outlineLvl w:val="1"/>
        <w:rPr>
          <w:rFonts w:ascii="宋体" w:hAnsi="宋体" w:cs="宋体" w:hint="eastAsia"/>
          <w:b/>
          <w:bCs/>
          <w:color w:val="171A1D"/>
          <w:sz w:val="24"/>
          <w:shd w:val="clear" w:color="auto" w:fill="FFFFFF"/>
        </w:rPr>
      </w:pPr>
      <w:r>
        <w:rPr>
          <w:rFonts w:ascii="宋体" w:eastAsia="宋体" w:hAnsi="宋体" w:cs="宋体" w:hint="eastAsia"/>
          <w:b/>
          <w:bCs/>
          <w:color w:val="171A1D"/>
          <w:sz w:val="24"/>
          <w:szCs w:val="24"/>
          <w:shd w:val="clear" w:color="auto" w:fill="FFFFFF"/>
          <w:lang w:val="en-US" w:eastAsia="zh-CN"/>
        </w:rPr>
        <w:t>1.2研究目的与意义</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80" w:firstLineChars="200"/>
        <w:jc w:val="both"/>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本文的主要研究目的是分析淘宝和抖音两大直播电商平台服装消费者购买意愿的感知价值因素的影响差异，基于直播电商平台消费者的调查问卷和同一品牌在两平台的直播间收集的弹幕文本数据，对研究假设进行验证并深入分析造成差异的原因，从而为不同平台的入驻商家提高直播服务质量提供启发和思考。文章从理论和实践方面出发具有以下研究意义：</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80" w:firstLineChars="200"/>
        <w:jc w:val="both"/>
        <w:textAlignment w:val="auto"/>
        <w:outlineLvl w:val="9"/>
        <w:rPr>
          <w:rFonts w:ascii="宋体" w:hAnsi="宋体" w:cs="宋体" w:hint="eastAsia"/>
          <w:b w:val="0"/>
          <w:bCs w:val="0"/>
          <w:color w:val="171A1D"/>
          <w:sz w:val="24"/>
          <w:shd w:val="clear" w:color="auto" w:fill="FFFFFF"/>
        </w:rPr>
        <w:sectPr>
          <w:type w:val="nextPage"/>
          <w:pgSz w:w="11906" w:h="16838"/>
          <w:pgMar w:top="1440" w:right="1800" w:bottom="1440" w:left="1800" w:header="851" w:footer="992" w:gutter="0"/>
          <w:pgNumType w:start="2"/>
          <w:cols w:num="1" w:space="425"/>
          <w:titlePg w:val="0"/>
          <w:docGrid w:type="lines" w:linePitch="312" w:charSpace="0"/>
        </w:sectPr>
      </w:pP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80" w:firstLineChars="200"/>
        <w:jc w:val="both"/>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1）理论意义：补充直播电商领域的研究。直播电商作为较新的概念和研究领域，目前相关的研究内容相对较少，现有的大多内容也集中在直播电商模式的特征和直播传播的要素等方面，且多限于单一的电商平台，随着直播电商模式的火热发展，抖音等短视频内容平台也相继进入直播电商领域，内容平台强大的流量优势和流量吸引能力为流量的商业化打下了坚实的基础。但目前关于内容平台的研究相对较少，且两类属性平台之间的对比研究也较为缺乏，通过本文的研究分析增加和丰富这一领域的研究内容。</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80" w:firstLineChars="200"/>
        <w:jc w:val="both"/>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2）实践意义：为两平台入驻商家如何结合平台自身特点发挥直播电商营销模式的优势提供数据启示和管理建议。文章从直播电商消费者角度出发，分析不同直播电商平台消费者群体的基本情况、使用习惯及消费偏好，了解消费者的消费行为特征。针对淘宝与抖音两大直播电商平台消费者群体的购买意愿影响因素进行分析和比较研究，并进一步分析造成差异的原因，由此针对性给出建议。</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80" w:firstLineChars="200"/>
        <w:jc w:val="both"/>
        <w:textAlignment w:val="auto"/>
        <w:outlineLvl w:val="1"/>
        <w:rPr>
          <w:rFonts w:ascii="宋体" w:hAnsi="宋体" w:cs="宋体" w:hint="eastAsia"/>
          <w:b/>
          <w:bCs/>
          <w:color w:val="171A1D"/>
          <w:sz w:val="24"/>
          <w:shd w:val="clear" w:color="auto" w:fill="FFFFFF"/>
        </w:rPr>
      </w:pPr>
      <w:r>
        <w:rPr>
          <w:rFonts w:ascii="宋体" w:eastAsia="宋体" w:hAnsi="宋体" w:cs="宋体" w:hint="eastAsia"/>
          <w:b/>
          <w:bCs/>
          <w:color w:val="171A1D"/>
          <w:sz w:val="24"/>
          <w:szCs w:val="24"/>
          <w:shd w:val="clear" w:color="auto" w:fill="FFFFFF"/>
          <w:lang w:val="en-US" w:eastAsia="zh-CN"/>
        </w:rPr>
        <w:t>1.3研究创新点</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80" w:firstLineChars="200"/>
        <w:jc w:val="both"/>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通过回顾和整理当前关于直播电商领域相关的研究文献，发现目前的研究主要是直播电商的商业模式分析或直播要素作为影响因素的消费者购买意愿研究，且研究多以淘宝电商平台为主，而关于内容类直播电商平台的研究相对较少。且由于内容平台与电商平台自身的差异性，不同平台的消费者群体及消费行为是否存在差异以及具体的差异之处尚有待探索。因此，本文的研究创新点即为针对电商和内容两大属性的直播电商平台服装消费者购买意愿影响因素的差异性研究。</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80" w:firstLineChars="200"/>
        <w:jc w:val="both"/>
        <w:textAlignment w:val="auto"/>
        <w:outlineLvl w:val="1"/>
        <w:rPr>
          <w:rFonts w:ascii="宋体" w:hAnsi="宋体" w:cs="宋体" w:hint="eastAsia"/>
          <w:b/>
          <w:bCs/>
          <w:color w:val="171A1D"/>
          <w:sz w:val="24"/>
          <w:shd w:val="clear" w:color="auto" w:fill="FFFFFF"/>
        </w:rPr>
      </w:pPr>
      <w:r>
        <w:rPr>
          <w:rFonts w:ascii="宋体" w:eastAsia="宋体" w:hAnsi="宋体" w:cs="宋体" w:hint="eastAsia"/>
          <w:b/>
          <w:bCs/>
          <w:color w:val="171A1D"/>
          <w:sz w:val="24"/>
          <w:szCs w:val="24"/>
          <w:shd w:val="clear" w:color="auto" w:fill="FFFFFF"/>
          <w:lang w:val="en-US" w:eastAsia="zh-CN"/>
        </w:rPr>
        <w:t>1.4本文结构</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80" w:firstLineChars="200"/>
        <w:jc w:val="both"/>
        <w:textAlignment w:val="auto"/>
        <w:outlineLvl w:val="9"/>
        <w:rPr>
          <w:rFonts w:ascii="宋体" w:hAnsi="宋体" w:cs="宋体" w:hint="eastAsia"/>
          <w:color w:val="000000"/>
          <w:sz w:val="24"/>
          <w:shd w:val="clear" w:color="auto" w:fill="auto"/>
        </w:rPr>
      </w:pPr>
      <w:r>
        <w:rPr>
          <w:rFonts w:ascii="宋体" w:eastAsia="宋体" w:hAnsi="宋体" w:cs="宋体" w:hint="eastAsia"/>
          <w:sz w:val="24"/>
          <w:szCs w:val="24"/>
          <w:lang w:val="en-US" w:eastAsia="zh-CN"/>
        </w:rPr>
        <w:t>全文分为五个部分，主要内容和结构如下：第一部分为绪论。</w:t>
      </w:r>
      <w:r>
        <w:rPr>
          <w:rFonts w:ascii="宋体" w:eastAsia="宋体" w:hAnsi="宋体" w:cs="宋体" w:hint="eastAsia"/>
          <w:color w:val="000000"/>
          <w:sz w:val="24"/>
          <w:szCs w:val="24"/>
          <w:shd w:val="clear" w:color="auto" w:fill="auto"/>
          <w:lang w:val="en-US" w:eastAsia="zh-CN"/>
        </w:rPr>
        <w:t>首先</w:t>
      </w:r>
      <w:r>
        <w:rPr>
          <w:rFonts w:ascii="宋体" w:eastAsia="宋体" w:hAnsi="宋体" w:cs="宋体" w:hint="eastAsia"/>
          <w:i w:val="0"/>
          <w:iCs w:val="0"/>
          <w:caps w:val="0"/>
          <w:color w:val="000000"/>
          <w:spacing w:val="0"/>
          <w:kern w:val="0"/>
          <w:sz w:val="24"/>
          <w:szCs w:val="24"/>
          <w:shd w:val="clear" w:color="auto" w:fill="auto"/>
          <w:lang w:val="en-US" w:eastAsia="zh-CN" w:bidi="ar"/>
        </w:rPr>
        <w:t>介绍了本文研究背景、目的、意义</w:t>
      </w:r>
      <w:r>
        <w:rPr>
          <w:rFonts w:ascii="宋体" w:eastAsia="宋体" w:hAnsi="宋体" w:cs="宋体" w:hint="eastAsia"/>
          <w:sz w:val="24"/>
          <w:szCs w:val="24"/>
          <w:lang w:eastAsia="zh-CN"/>
        </w:rPr>
        <w:t>，</w:t>
      </w:r>
      <w:r>
        <w:rPr>
          <w:rFonts w:ascii="宋体" w:eastAsia="宋体" w:hAnsi="宋体" w:cs="宋体" w:hint="eastAsia"/>
          <w:sz w:val="24"/>
          <w:szCs w:val="24"/>
          <w:lang w:val="en-US" w:eastAsia="zh-CN"/>
        </w:rPr>
        <w:t>其次</w:t>
      </w:r>
      <w:r>
        <w:rPr>
          <w:rFonts w:ascii="宋体" w:eastAsia="宋体" w:hAnsi="宋体" w:cs="宋体" w:hint="eastAsia"/>
          <w:i w:val="0"/>
          <w:iCs w:val="0"/>
          <w:caps w:val="0"/>
          <w:color w:val="000000"/>
          <w:spacing w:val="0"/>
          <w:kern w:val="0"/>
          <w:sz w:val="24"/>
          <w:szCs w:val="24"/>
          <w:shd w:val="clear" w:color="auto" w:fill="auto"/>
          <w:lang w:val="en-US" w:eastAsia="zh-CN" w:bidi="ar"/>
        </w:rPr>
        <w:t>对</w:t>
      </w:r>
      <w:r>
        <w:rPr>
          <w:rFonts w:ascii="宋体" w:eastAsia="宋体" w:hAnsi="宋体" w:cs="宋体" w:hint="eastAsia"/>
          <w:color w:val="000000"/>
          <w:sz w:val="24"/>
          <w:szCs w:val="24"/>
          <w:shd w:val="clear" w:color="auto" w:fill="auto"/>
          <w:lang w:val="en-US" w:eastAsia="zh-CN"/>
        </w:rPr>
        <w:t>指出本文的研究方法，并闸述本文创新点。第二部分为</w:t>
      </w:r>
      <w:r>
        <w:rPr>
          <w:rFonts w:ascii="宋体" w:eastAsia="宋体" w:hAnsi="宋体" w:cs="宋体" w:hint="eastAsia"/>
          <w:sz w:val="24"/>
          <w:szCs w:val="24"/>
          <w:lang w:val="en-US" w:eastAsia="zh-CN"/>
        </w:rPr>
        <w:t>服装类</w:t>
      </w:r>
      <w:r>
        <w:rPr>
          <w:rFonts w:ascii="宋体" w:eastAsia="宋体" w:hAnsi="宋体" w:cs="宋体" w:hint="eastAsia"/>
          <w:sz w:val="24"/>
          <w:szCs w:val="24"/>
        </w:rPr>
        <w:t>产品电商直播现状与问题。首先对我国现阶段</w:t>
      </w:r>
      <w:r>
        <w:rPr>
          <w:rFonts w:ascii="宋体" w:eastAsia="宋体" w:hAnsi="宋体" w:cs="宋体" w:hint="eastAsia"/>
          <w:sz w:val="24"/>
          <w:szCs w:val="24"/>
          <w:lang w:val="en-US" w:eastAsia="zh-CN"/>
        </w:rPr>
        <w:t>服装类</w:t>
      </w:r>
      <w:r>
        <w:rPr>
          <w:rFonts w:ascii="宋体" w:eastAsia="宋体" w:hAnsi="宋体" w:cs="宋体" w:hint="eastAsia"/>
          <w:sz w:val="24"/>
          <w:szCs w:val="24"/>
        </w:rPr>
        <w:t>产品电商直播的发展状况进行简要概括，而后提出现阶段</w:t>
      </w:r>
      <w:r>
        <w:rPr>
          <w:rFonts w:ascii="宋体" w:eastAsia="宋体" w:hAnsi="宋体" w:cs="宋体" w:hint="eastAsia"/>
          <w:sz w:val="24"/>
          <w:szCs w:val="24"/>
          <w:lang w:val="en-US" w:eastAsia="zh-CN"/>
        </w:rPr>
        <w:t>服装类</w:t>
      </w:r>
      <w:r>
        <w:rPr>
          <w:rFonts w:ascii="宋体" w:eastAsia="宋体" w:hAnsi="宋体" w:cs="宋体" w:hint="eastAsia"/>
          <w:sz w:val="24"/>
          <w:szCs w:val="24"/>
        </w:rPr>
        <w:t>产品电商直播还存在的问题</w:t>
      </w:r>
      <w:r>
        <w:rPr>
          <w:rFonts w:ascii="宋体" w:eastAsia="宋体" w:hAnsi="宋体" w:cs="宋体" w:hint="eastAsia"/>
          <w:sz w:val="24"/>
          <w:szCs w:val="24"/>
          <w:lang w:eastAsia="zh-CN"/>
        </w:rPr>
        <w:t>。</w:t>
      </w:r>
      <w:r>
        <w:rPr>
          <w:rFonts w:ascii="宋体" w:eastAsia="宋体" w:hAnsi="宋体" w:cs="宋体" w:hint="eastAsia"/>
          <w:color w:val="000000"/>
          <w:sz w:val="24"/>
          <w:szCs w:val="24"/>
          <w:shd w:val="clear" w:color="auto" w:fill="auto"/>
          <w:lang w:val="en-US" w:eastAsia="zh-CN"/>
        </w:rPr>
        <w:t>第三部分为</w:t>
      </w:r>
      <w:r>
        <w:rPr>
          <w:rFonts w:ascii="宋体" w:eastAsia="宋体" w:hAnsi="宋体" w:cs="宋体" w:hint="eastAsia"/>
          <w:b w:val="0"/>
          <w:bCs w:val="0"/>
          <w:sz w:val="24"/>
          <w:szCs w:val="24"/>
        </w:rPr>
        <w:t>服装类电商直播对消费者购买意愿</w:t>
      </w:r>
      <w:r>
        <w:rPr>
          <w:rFonts w:ascii="宋体" w:eastAsia="宋体" w:hAnsi="宋体" w:cs="宋体" w:hint="eastAsia"/>
          <w:b w:val="0"/>
          <w:bCs w:val="0"/>
          <w:sz w:val="24"/>
          <w:szCs w:val="24"/>
          <w:lang w:val="en-US" w:eastAsia="zh-CN"/>
        </w:rPr>
        <w:t>影响因素</w:t>
      </w:r>
      <w:r>
        <w:rPr>
          <w:rFonts w:ascii="宋体" w:eastAsia="宋体" w:hAnsi="宋体" w:cs="宋体" w:hint="eastAsia"/>
          <w:b w:val="0"/>
          <w:bCs w:val="0"/>
          <w:sz w:val="24"/>
          <w:szCs w:val="24"/>
        </w:rPr>
        <w:t>的</w:t>
      </w:r>
      <w:r>
        <w:rPr>
          <w:rFonts w:ascii="宋体" w:eastAsia="宋体" w:hAnsi="宋体" w:cs="宋体" w:hint="eastAsia"/>
          <w:b w:val="0"/>
          <w:bCs w:val="0"/>
          <w:sz w:val="24"/>
          <w:szCs w:val="24"/>
          <w:lang w:val="en-US" w:eastAsia="zh-CN"/>
        </w:rPr>
        <w:t>实证</w:t>
      </w:r>
      <w:r>
        <w:rPr>
          <w:rFonts w:ascii="宋体" w:eastAsia="宋体" w:hAnsi="宋体" w:cs="宋体" w:hint="eastAsia"/>
          <w:b w:val="0"/>
          <w:bCs w:val="0"/>
          <w:sz w:val="24"/>
          <w:szCs w:val="24"/>
        </w:rPr>
        <w:t>研究</w:t>
      </w:r>
      <w:r>
        <w:rPr>
          <w:rFonts w:ascii="宋体" w:eastAsia="宋体" w:hAnsi="宋体" w:cs="宋体" w:hint="eastAsia"/>
          <w:b w:val="0"/>
          <w:bCs w:val="0"/>
          <w:sz w:val="24"/>
          <w:szCs w:val="24"/>
          <w:lang w:eastAsia="zh-CN"/>
        </w:rPr>
        <w:t>。</w:t>
      </w:r>
      <w:r>
        <w:rPr>
          <w:rFonts w:ascii="宋体" w:eastAsia="宋体" w:hAnsi="宋体" w:cs="宋体" w:hint="eastAsia"/>
          <w:color w:val="000000"/>
          <w:sz w:val="24"/>
          <w:szCs w:val="24"/>
          <w:shd w:val="clear" w:color="auto" w:fill="auto"/>
          <w:lang w:val="en-US" w:eastAsia="zh-CN"/>
        </w:rPr>
        <w:t>根据问卷调查和访谈调查的结果，研究得出显著影响因素。第四部分</w:t>
      </w:r>
      <w:r>
        <w:rPr>
          <w:rFonts w:ascii="宋体" w:eastAsia="宋体" w:hAnsi="宋体" w:cs="宋体" w:hint="eastAsia"/>
          <w:b w:val="0"/>
          <w:bCs w:val="0"/>
          <w:sz w:val="24"/>
          <w:szCs w:val="24"/>
          <w:lang w:val="en-US" w:eastAsia="zh-CN"/>
        </w:rPr>
        <w:t>发展建议</w:t>
      </w:r>
      <w:r>
        <w:rPr>
          <w:rFonts w:ascii="宋体" w:eastAsia="宋体" w:hAnsi="宋体" w:cs="宋体" w:hint="eastAsia"/>
          <w:color w:val="000000"/>
          <w:sz w:val="24"/>
          <w:szCs w:val="24"/>
          <w:shd w:val="clear" w:color="auto" w:fill="auto"/>
          <w:lang w:val="en-US" w:eastAsia="zh-CN"/>
        </w:rPr>
        <w:t>。根据数据分析得出研究结论，并以此提出恰当的对策建议，帮助服装类产品电商借助直播这一模式提高消费者购买意愿，增加交易量，推动服装类产品的发展流通。第五部分为总结根据研究结论，总结出本研究管理启示，并发现本文研究的局限，确定研究方向。</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80" w:firstLineChars="200"/>
        <w:jc w:val="both"/>
        <w:textAlignment w:val="auto"/>
        <w:outlineLvl w:val="0"/>
        <w:rPr>
          <w:rFonts w:ascii="宋体" w:hAnsi="宋体" w:cs="宋体" w:hint="eastAsia"/>
          <w:b/>
          <w:bCs/>
          <w:color w:val="171A1D"/>
          <w:sz w:val="24"/>
          <w:shd w:val="clear" w:color="auto" w:fill="FFFFFF"/>
        </w:rPr>
      </w:pPr>
      <w:r>
        <w:rPr>
          <w:rFonts w:ascii="宋体" w:eastAsia="宋体" w:hAnsi="宋体" w:cs="宋体" w:hint="eastAsia"/>
          <w:b/>
          <w:bCs/>
          <w:color w:val="171A1D"/>
          <w:sz w:val="24"/>
          <w:szCs w:val="24"/>
          <w:shd w:val="clear" w:color="auto" w:fill="FFFFFF"/>
          <w:lang w:val="en-US" w:eastAsia="zh-CN"/>
        </w:rPr>
        <w:t>第2章服装电商直播现状与影响消费者购买意愿的问题</w:t>
      </w:r>
      <w:bookmarkStart w:id="1" w:name="_Toc22569"/>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80" w:firstLineChars="200"/>
        <w:jc w:val="both"/>
        <w:textAlignment w:val="auto"/>
        <w:outlineLvl w:val="1"/>
        <w:rPr>
          <w:rFonts w:ascii="宋体" w:hAnsi="宋体" w:cs="宋体" w:hint="eastAsia"/>
          <w:b/>
          <w:bCs/>
          <w:i w:val="0"/>
          <w:iCs w:val="0"/>
          <w:caps w:val="0"/>
          <w:color w:val="000000"/>
          <w:spacing w:val="0"/>
          <w:sz w:val="24"/>
          <w:shd w:val="clear" w:color="auto" w:fill="FFFFFF"/>
        </w:rPr>
      </w:pPr>
      <w:r>
        <w:rPr>
          <w:rFonts w:ascii="宋体" w:eastAsia="宋体" w:hAnsi="宋体" w:cs="宋体" w:hint="eastAsia"/>
          <w:b/>
          <w:bCs/>
          <w:i w:val="0"/>
          <w:iCs w:val="0"/>
          <w:caps w:val="0"/>
          <w:color w:val="000000"/>
          <w:spacing w:val="0"/>
          <w:sz w:val="24"/>
          <w:szCs w:val="24"/>
          <w:shd w:val="clear" w:color="auto" w:fill="FFFFFF"/>
          <w:lang w:val="en-US" w:eastAsia="zh-CN"/>
        </w:rPr>
        <w:t>2.1电商直播发展现状</w:t>
      </w:r>
      <w:bookmarkEnd w:id="1"/>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80" w:firstLineChars="200"/>
        <w:jc w:val="both"/>
        <w:textAlignment w:val="auto"/>
        <w:outlineLvl w:val="9"/>
        <w:rPr>
          <w:rFonts w:ascii="宋体" w:hAnsi="宋体" w:cs="宋体" w:hint="eastAsia"/>
          <w:i w:val="0"/>
          <w:iCs w:val="0"/>
          <w:caps w:val="0"/>
          <w:color w:val="000000"/>
          <w:spacing w:val="0"/>
          <w:sz w:val="24"/>
          <w:shd w:val="clear" w:color="auto" w:fill="FFFFFF"/>
        </w:rPr>
        <w:sectPr>
          <w:type w:val="nextPage"/>
          <w:pgSz w:w="11906" w:h="16838"/>
          <w:pgMar w:top="1440" w:right="1800" w:bottom="1440" w:left="1800" w:header="851" w:footer="992" w:gutter="0"/>
          <w:pgNumType w:start="3"/>
          <w:cols w:num="1" w:space="425"/>
          <w:titlePg w:val="0"/>
          <w:docGrid w:type="lines" w:linePitch="312" w:charSpace="0"/>
        </w:sectPr>
      </w:pPr>
      <w:r>
        <w:rPr>
          <w:rFonts w:ascii="宋体" w:eastAsia="宋体" w:hAnsi="宋体" w:cs="宋体" w:hint="eastAsia"/>
          <w:i w:val="0"/>
          <w:iCs w:val="0"/>
          <w:caps w:val="0"/>
          <w:color w:val="000000"/>
          <w:spacing w:val="0"/>
          <w:sz w:val="24"/>
          <w:szCs w:val="24"/>
          <w:shd w:val="clear" w:color="auto" w:fill="FFFFFF"/>
          <w:lang w:val="en-US" w:eastAsia="zh-CN"/>
        </w:rPr>
        <w:t>直播电商现在的发展现状还是比较有优势的，消费者在网络上就可以看到商品的详细讲解，方便了很多没时间去逛街的用户，并且在疫情期间，养成了用户的线上消费习惯，截至2022年6月，我国电商直播用户规模为4.69亿，较2021年12月增长533万，占网民整体的44.6%。并且出现了许多的头部带货达人，比如说李佳琦，薇娅，罗永浩，带动了很多人的消费欲望，在各个大促节日更是创下了可观的数字。不少明星也纷纷加入带货行业，朱梓骁，舒畅，戚薇，辰亦儒，凭借明星效应，也进一步促进了直播行业的发展。就目前来看，电商直播的现状还是非常不错的。招商证卷统计直播电商行业市场规模在2023年预计达到49133亿元，如图</w:t>
      </w:r>
      <w:r>
        <w:rPr>
          <w:rFonts w:ascii="宋体" w:hAnsi="宋体" w:cs="宋体" w:hint="eastAsia"/>
          <w:i w:val="0"/>
          <w:iCs w:val="0"/>
          <w:caps w:val="0"/>
          <w:color w:val="000000"/>
          <w:spacing w:val="0"/>
          <w:sz w:val="24"/>
          <w:szCs w:val="24"/>
          <w:shd w:val="clear" w:color="auto" w:fill="FFFFFF"/>
          <w:lang w:val="en-US" w:eastAsia="zh-CN"/>
        </w:rPr>
        <w:t>2.1</w:t>
      </w:r>
      <w:r>
        <w:rPr>
          <w:rFonts w:ascii="宋体" w:eastAsia="宋体" w:hAnsi="宋体" w:cs="宋体" w:hint="eastAsia"/>
          <w:i w:val="0"/>
          <w:iCs w:val="0"/>
          <w:caps w:val="0"/>
          <w:color w:val="000000"/>
          <w:spacing w:val="0"/>
          <w:sz w:val="24"/>
          <w:szCs w:val="24"/>
          <w:shd w:val="clear" w:color="auto" w:fill="FFFFFF"/>
          <w:lang w:val="en-US" w:eastAsia="zh-CN"/>
        </w:rPr>
        <w:t>所示。</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i w:val="0"/>
          <w:iCs w:val="0"/>
          <w:caps w:val="0"/>
          <w:color w:val="000000"/>
          <w:spacing w:val="0"/>
          <w:sz w:val="24"/>
          <w:shd w:val="clear" w:color="auto" w:fill="FFFFFF"/>
        </w:rPr>
      </w:pPr>
      <w:r>
        <w:rPr>
          <w:rFonts w:ascii="宋体" w:eastAsia="宋体" w:hAnsi="宋体" w:cs="宋体" w:hint="eastAsia"/>
          <w:i w:val="0"/>
          <w:iCs w:val="0"/>
          <w:caps w:val="0"/>
          <w:color w:val="000000"/>
          <w:spacing w:val="0"/>
          <w:sz w:val="24"/>
          <w:szCs w:val="24"/>
          <w:shd w:val="clear" w:color="auto" w:fill="FFFFFF"/>
          <w:lang w:val="en-US" w:eastAsia="zh-CN"/>
        </w:rPr>
        <w:drawing>
          <wp:inline distT="0" distB="0" distL="114300" distR="114300">
            <wp:extent cx="4188460" cy="2638425"/>
            <wp:effectExtent l="0" t="0" r="2540" b="9525"/>
            <wp:docPr id="19" name="图片 19" descr="数据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数据1"/>
                    <pic:cNvPicPr>
                      <a:picLocks noChangeAspect="1"/>
                    </pic:cNvPicPr>
                  </pic:nvPicPr>
                  <pic:blipFill>
                    <a:blip xmlns:r="http://schemas.openxmlformats.org/officeDocument/2006/relationships" r:embed="rId4"/>
                    <a:stretch>
                      <a:fillRect/>
                    </a:stretch>
                  </pic:blipFill>
                  <pic:spPr>
                    <a:xfrm>
                      <a:off x="0" y="0"/>
                      <a:ext cx="4188460" cy="2638425"/>
                    </a:xfrm>
                    <a:prstGeom prst="rect">
                      <a:avLst/>
                    </a:prstGeom>
                    <a:noFill/>
                    <a:ln>
                      <a:noFill/>
                    </a:ln>
                  </pic:spPr>
                </pic:pic>
              </a:graphicData>
            </a:graphic>
          </wp:inline>
        </w:drawing>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i w:val="0"/>
          <w:iCs w:val="0"/>
          <w:caps w:val="0"/>
          <w:color w:val="000000"/>
          <w:spacing w:val="0"/>
          <w:sz w:val="24"/>
          <w:shd w:val="clear" w:color="auto" w:fill="FFFFFF"/>
        </w:rPr>
      </w:pPr>
      <w:r>
        <w:rPr>
          <w:rFonts w:ascii="宋体" w:eastAsia="宋体" w:hAnsi="宋体" w:cs="宋体" w:hint="eastAsia"/>
          <w:i w:val="0"/>
          <w:iCs w:val="0"/>
          <w:caps w:val="0"/>
          <w:color w:val="000000"/>
          <w:spacing w:val="0"/>
          <w:sz w:val="24"/>
          <w:szCs w:val="24"/>
          <w:shd w:val="clear" w:color="auto" w:fill="FFFFFF"/>
          <w:lang w:val="en-US" w:eastAsia="zh-CN"/>
        </w:rPr>
        <w:t>图</w:t>
      </w:r>
      <w:r>
        <w:rPr>
          <w:rFonts w:ascii="宋体" w:hAnsi="宋体" w:cs="宋体" w:hint="eastAsia"/>
          <w:i w:val="0"/>
          <w:iCs w:val="0"/>
          <w:caps w:val="0"/>
          <w:color w:val="000000"/>
          <w:spacing w:val="0"/>
          <w:sz w:val="24"/>
          <w:szCs w:val="24"/>
          <w:shd w:val="clear" w:color="auto" w:fill="FFFFFF"/>
          <w:lang w:val="en-US" w:eastAsia="zh-CN"/>
        </w:rPr>
        <w:t xml:space="preserve">2.1 </w:t>
      </w:r>
      <w:r>
        <w:rPr>
          <w:rFonts w:ascii="宋体" w:eastAsia="宋体" w:hAnsi="宋体" w:cs="宋体" w:hint="eastAsia"/>
          <w:i w:val="0"/>
          <w:iCs w:val="0"/>
          <w:caps w:val="0"/>
          <w:color w:val="000000"/>
          <w:spacing w:val="0"/>
          <w:sz w:val="24"/>
          <w:szCs w:val="24"/>
          <w:shd w:val="clear" w:color="auto" w:fill="FFFFFF"/>
          <w:lang w:val="en-US" w:eastAsia="zh-CN"/>
        </w:rPr>
        <w:t>2018-2023电商直播市场规模数据及预测</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i w:val="0"/>
          <w:iCs w:val="0"/>
          <w:caps w:val="0"/>
          <w:color w:val="000000"/>
          <w:spacing w:val="0"/>
          <w:sz w:val="24"/>
          <w:shd w:val="clear" w:color="auto" w:fill="FFFFFF"/>
        </w:rPr>
      </w:pPr>
      <w:r>
        <w:rPr>
          <w:rFonts w:ascii="宋体" w:eastAsia="宋体" w:hAnsi="宋体" w:cs="宋体" w:hint="eastAsia"/>
          <w:i w:val="0"/>
          <w:iCs w:val="0"/>
          <w:caps w:val="0"/>
          <w:color w:val="000000"/>
          <w:spacing w:val="0"/>
          <w:sz w:val="24"/>
          <w:szCs w:val="24"/>
          <w:shd w:val="clear" w:color="auto" w:fill="FFFFFF"/>
          <w:lang w:val="en-US" w:eastAsia="zh-CN"/>
        </w:rPr>
        <w:t>数据来源：招商证卷</w:t>
      </w:r>
      <w:bookmarkStart w:id="2" w:name="_Toc26063"/>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1"/>
        <w:rPr>
          <w:rFonts w:ascii="宋体" w:hAnsi="宋体" w:cs="宋体" w:hint="eastAsia"/>
          <w:b/>
          <w:bCs/>
          <w:i w:val="0"/>
          <w:iCs w:val="0"/>
          <w:caps w:val="0"/>
          <w:color w:val="000000"/>
          <w:spacing w:val="0"/>
          <w:sz w:val="24"/>
          <w:shd w:val="clear" w:color="auto" w:fill="FFFFFF"/>
        </w:rPr>
      </w:pPr>
      <w:r>
        <w:rPr>
          <w:rFonts w:ascii="宋体" w:eastAsia="宋体" w:hAnsi="宋体" w:cs="宋体" w:hint="eastAsia"/>
          <w:b/>
          <w:bCs/>
          <w:i w:val="0"/>
          <w:iCs w:val="0"/>
          <w:caps w:val="0"/>
          <w:color w:val="000000"/>
          <w:spacing w:val="0"/>
          <w:sz w:val="24"/>
          <w:szCs w:val="24"/>
          <w:shd w:val="clear" w:color="auto" w:fill="FFFFFF"/>
          <w:lang w:val="en-US" w:eastAsia="zh-CN"/>
        </w:rPr>
        <w:t>2.2服装类产品电商直播现状分析</w:t>
      </w:r>
      <w:bookmarkEnd w:id="2"/>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i w:val="0"/>
          <w:iCs w:val="0"/>
          <w:caps w:val="0"/>
          <w:color w:val="000000"/>
          <w:spacing w:val="0"/>
          <w:sz w:val="24"/>
          <w:shd w:val="clear" w:color="auto" w:fill="FFFFFF"/>
        </w:rPr>
      </w:pPr>
      <w:r>
        <w:rPr>
          <w:rFonts w:ascii="宋体" w:eastAsia="宋体" w:hAnsi="宋体" w:cs="宋体" w:hint="eastAsia"/>
          <w:i w:val="0"/>
          <w:iCs w:val="0"/>
          <w:caps w:val="0"/>
          <w:color w:val="000000"/>
          <w:spacing w:val="0"/>
          <w:sz w:val="24"/>
          <w:szCs w:val="24"/>
          <w:shd w:val="clear" w:color="auto" w:fill="FFFFFF"/>
          <w:lang w:val="en-US" w:eastAsia="zh-CN"/>
        </w:rPr>
        <w:t>中国是服装生产和消费大国，服装消费是电商市场的重要组成部分，2019年，服装电商的市场规模达到10133.7亿元，同时，据中国消费者协会数据显示，在直播电商的购物品类中，购买服装的消费者数量最多，占比为63.6%。直播用户数量的逐渐增长以及服装直播市场规模的扩大为服装品牌进行直播营销奠定了基础。互动感强、实时性高的直播电商模式成为各大服装品牌着力发展的方向。对品牌来说，通过各种直播平台进行营销活动能够在促进产品销量的同时提升品牌影响力和知名度，对于消费者来说，在直播间内可以更为全面地了解到服装的各类信息，加之各种低价折扣活动的优惠，使其能够以较为优惠的价格买到心仪的服装产品。随着直播行业深入发展，直播电商模式几乎成为各大服装品牌营销的标配，一定程度上推动了服装产业的转型升级。</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1"/>
        <w:rPr>
          <w:rFonts w:ascii="宋体" w:hAnsi="宋体" w:cs="宋体" w:hint="eastAsia"/>
          <w:b/>
          <w:bCs/>
          <w:color w:val="171A1D"/>
          <w:sz w:val="24"/>
          <w:shd w:val="clear" w:color="auto" w:fill="FFFFFF"/>
        </w:rPr>
      </w:pPr>
      <w:r>
        <w:rPr>
          <w:rFonts w:ascii="宋体" w:eastAsia="宋体" w:hAnsi="宋体" w:cs="宋体" w:hint="eastAsia"/>
          <w:b/>
          <w:bCs/>
          <w:color w:val="171A1D"/>
          <w:sz w:val="24"/>
          <w:szCs w:val="24"/>
          <w:shd w:val="clear" w:color="auto" w:fill="FFFFFF"/>
          <w:lang w:val="en-US" w:eastAsia="zh-CN"/>
        </w:rPr>
        <w:t>2.3影响消费者购买意愿存在的问题</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2"/>
        <w:rPr>
          <w:rFonts w:ascii="宋体" w:hAnsi="宋体" w:cs="宋体" w:hint="eastAsia"/>
          <w:b/>
          <w:bCs/>
          <w:color w:val="171A1D"/>
          <w:sz w:val="24"/>
          <w:shd w:val="clear" w:color="auto" w:fill="FFFFFF"/>
        </w:rPr>
      </w:pPr>
      <w:r>
        <w:rPr>
          <w:rFonts w:ascii="宋体" w:eastAsia="宋体" w:hAnsi="宋体" w:cs="宋体" w:hint="eastAsia"/>
          <w:b/>
          <w:bCs/>
          <w:color w:val="171A1D"/>
          <w:sz w:val="24"/>
          <w:szCs w:val="24"/>
          <w:shd w:val="clear" w:color="auto" w:fill="FFFFFF"/>
          <w:lang w:val="en-US" w:eastAsia="zh-CN"/>
        </w:rPr>
        <w:t>2.3.1服装产品信息不足</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i w:val="0"/>
          <w:iCs w:val="0"/>
          <w:caps w:val="0"/>
          <w:color w:val="000000"/>
          <w:spacing w:val="0"/>
          <w:sz w:val="24"/>
          <w:shd w:val="clear" w:color="auto" w:fill="FFFFFF"/>
        </w:rPr>
      </w:pPr>
      <w:r>
        <w:rPr>
          <w:rFonts w:ascii="宋体" w:eastAsia="宋体" w:hAnsi="宋体" w:cs="宋体" w:hint="eastAsia"/>
          <w:i w:val="0"/>
          <w:iCs w:val="0"/>
          <w:caps w:val="0"/>
          <w:color w:val="000000"/>
          <w:spacing w:val="0"/>
          <w:sz w:val="24"/>
          <w:szCs w:val="24"/>
          <w:shd w:val="clear" w:color="auto" w:fill="FFFFFF"/>
          <w:lang w:val="en-US" w:eastAsia="zh-CN"/>
        </w:rPr>
        <w:t>当主播在介绍服装产品时往往注重介绍服装的款式和面料，以及服装搭配的一些内容，消费者无法了解更多关于产品的具体信息，所以在购买时有所顾虑，减少了产品的成交量。消费者在</w:t>
      </w:r>
      <w:r>
        <w:rPr>
          <w:rFonts w:ascii="宋体" w:eastAsia="宋体" w:hAnsi="宋体" w:cs="宋体" w:hint="eastAsia"/>
          <w:i w:val="0"/>
          <w:iCs w:val="0"/>
          <w:caps w:val="0"/>
          <w:color w:val="000000"/>
          <w:spacing w:val="0"/>
          <w:sz w:val="24"/>
          <w:szCs w:val="24"/>
          <w:shd w:val="clear" w:color="auto" w:fill="FFFFFF"/>
        </w:rPr>
        <w:t>购买</w:t>
      </w:r>
      <w:r>
        <w:rPr>
          <w:rFonts w:ascii="宋体" w:eastAsia="宋体" w:hAnsi="宋体" w:cs="宋体" w:hint="eastAsia"/>
          <w:i w:val="0"/>
          <w:iCs w:val="0"/>
          <w:caps w:val="0"/>
          <w:color w:val="000000"/>
          <w:spacing w:val="0"/>
          <w:sz w:val="24"/>
          <w:szCs w:val="24"/>
          <w:shd w:val="clear" w:color="auto" w:fill="FFFFFF"/>
          <w:lang w:val="en-US" w:eastAsia="zh-CN"/>
        </w:rPr>
        <w:t>服装时，</w:t>
      </w:r>
      <w:r>
        <w:rPr>
          <w:rFonts w:ascii="宋体" w:eastAsia="宋体" w:hAnsi="宋体" w:cs="宋体" w:hint="eastAsia"/>
          <w:i w:val="0"/>
          <w:iCs w:val="0"/>
          <w:caps w:val="0"/>
          <w:color w:val="000000"/>
          <w:spacing w:val="0"/>
          <w:sz w:val="24"/>
          <w:szCs w:val="24"/>
          <w:shd w:val="clear" w:color="auto" w:fill="FFFFFF"/>
        </w:rPr>
        <w:t>不同</w:t>
      </w:r>
      <w:r>
        <w:rPr>
          <w:rFonts w:ascii="宋体" w:eastAsia="宋体" w:hAnsi="宋体" w:cs="宋体" w:hint="eastAsia"/>
          <w:i w:val="0"/>
          <w:iCs w:val="0"/>
          <w:caps w:val="0"/>
          <w:color w:val="000000"/>
          <w:spacing w:val="0"/>
          <w:sz w:val="24"/>
          <w:szCs w:val="24"/>
          <w:shd w:val="clear" w:color="auto" w:fill="FFFFFF"/>
          <w:lang w:val="en-US" w:eastAsia="zh-CN"/>
        </w:rPr>
        <w:t>服装</w:t>
      </w:r>
      <w:r>
        <w:rPr>
          <w:rFonts w:ascii="宋体" w:eastAsia="宋体" w:hAnsi="宋体" w:cs="宋体" w:hint="eastAsia"/>
          <w:i w:val="0"/>
          <w:iCs w:val="0"/>
          <w:caps w:val="0"/>
          <w:color w:val="000000"/>
          <w:spacing w:val="0"/>
          <w:sz w:val="24"/>
          <w:szCs w:val="24"/>
          <w:shd w:val="clear" w:color="auto" w:fill="FFFFFF"/>
        </w:rPr>
        <w:t>的信息就会不同，一般常见的</w:t>
      </w:r>
      <w:r>
        <w:rPr>
          <w:rFonts w:ascii="宋体" w:eastAsia="宋体" w:hAnsi="宋体" w:cs="宋体" w:hint="eastAsia"/>
          <w:i w:val="0"/>
          <w:iCs w:val="0"/>
          <w:caps w:val="0"/>
          <w:color w:val="000000"/>
          <w:spacing w:val="0"/>
          <w:sz w:val="24"/>
          <w:szCs w:val="24"/>
          <w:shd w:val="clear" w:color="auto" w:fill="FFFFFF"/>
          <w:lang w:val="en-US" w:eastAsia="zh-CN"/>
        </w:rPr>
        <w:t>信息</w:t>
      </w:r>
      <w:r>
        <w:rPr>
          <w:rFonts w:ascii="宋体" w:eastAsia="宋体" w:hAnsi="宋体" w:cs="宋体" w:hint="eastAsia"/>
          <w:i w:val="0"/>
          <w:iCs w:val="0"/>
          <w:caps w:val="0"/>
          <w:color w:val="000000"/>
          <w:spacing w:val="0"/>
          <w:sz w:val="24"/>
          <w:szCs w:val="24"/>
          <w:shd w:val="clear" w:color="auto" w:fill="FFFFFF"/>
        </w:rPr>
        <w:t>都有布标、缎标、织标等。不论是什么样材质的</w:t>
      </w:r>
      <w:r>
        <w:rPr>
          <w:rFonts w:ascii="宋体" w:eastAsia="宋体" w:hAnsi="宋体" w:cs="宋体" w:hint="eastAsia"/>
          <w:i w:val="0"/>
          <w:iCs w:val="0"/>
          <w:caps w:val="0"/>
          <w:color w:val="000000"/>
          <w:spacing w:val="0"/>
          <w:sz w:val="24"/>
          <w:szCs w:val="24"/>
          <w:shd w:val="clear" w:color="auto" w:fill="FFFFFF"/>
          <w:lang w:val="en-US" w:eastAsia="zh-CN"/>
        </w:rPr>
        <w:t>服装</w:t>
      </w:r>
      <w:r>
        <w:rPr>
          <w:rFonts w:ascii="宋体" w:eastAsia="宋体" w:hAnsi="宋体" w:cs="宋体" w:hint="eastAsia"/>
          <w:i w:val="0"/>
          <w:iCs w:val="0"/>
          <w:caps w:val="0"/>
          <w:color w:val="000000"/>
          <w:spacing w:val="0"/>
          <w:sz w:val="24"/>
          <w:szCs w:val="24"/>
          <w:shd w:val="clear" w:color="auto" w:fill="FFFFFF"/>
        </w:rPr>
        <w:t>要想了解所选衣服的质量、面料、洗涤保养方法，</w:t>
      </w:r>
      <w:r>
        <w:rPr>
          <w:rFonts w:ascii="宋体" w:eastAsia="宋体" w:hAnsi="宋体" w:cs="宋体" w:hint="eastAsia"/>
          <w:i w:val="0"/>
          <w:iCs w:val="0"/>
          <w:caps w:val="0"/>
          <w:color w:val="000000"/>
          <w:spacing w:val="0"/>
          <w:sz w:val="24"/>
          <w:szCs w:val="24"/>
          <w:shd w:val="clear" w:color="auto" w:fill="FFFFFF"/>
          <w:lang w:val="en-US" w:eastAsia="zh-CN"/>
        </w:rPr>
        <w:t>都需要主播进行详细的介绍，在商品猪儿也要进行介绍。服装</w:t>
      </w:r>
      <w:r>
        <w:rPr>
          <w:rFonts w:ascii="宋体" w:eastAsia="宋体" w:hAnsi="宋体" w:cs="宋体" w:hint="eastAsia"/>
          <w:i w:val="0"/>
          <w:iCs w:val="0"/>
          <w:caps w:val="0"/>
          <w:color w:val="000000"/>
          <w:spacing w:val="0"/>
          <w:sz w:val="24"/>
          <w:szCs w:val="24"/>
          <w:shd w:val="clear" w:color="auto" w:fill="FFFFFF"/>
        </w:rPr>
        <w:t>的款式颜色固然重要，但面料和安全性也是重中之重，这关乎到健康问题尤其是婴幼儿服饰。</w:t>
      </w:r>
      <w:r>
        <w:rPr>
          <w:rFonts w:ascii="宋体" w:eastAsia="宋体" w:hAnsi="宋体" w:cs="宋体" w:hint="eastAsia"/>
          <w:i w:val="0"/>
          <w:iCs w:val="0"/>
          <w:caps w:val="0"/>
          <w:color w:val="000000"/>
          <w:spacing w:val="0"/>
          <w:sz w:val="24"/>
          <w:szCs w:val="24"/>
          <w:shd w:val="clear" w:color="auto" w:fill="FFFFFF"/>
          <w:lang w:val="en-US" w:eastAsia="zh-CN"/>
        </w:rPr>
        <w:t>所以服装产品信息不足，会影响到消费者的购买欲望。</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2"/>
        <w:rPr>
          <w:rFonts w:ascii="宋体" w:hAnsi="宋体" w:cs="宋体" w:hint="eastAsia"/>
          <w:b/>
          <w:bCs/>
          <w:color w:val="171A1D"/>
          <w:sz w:val="24"/>
          <w:shd w:val="clear" w:color="auto" w:fill="FFFFFF"/>
        </w:rPr>
      </w:pPr>
      <w:r>
        <w:rPr>
          <w:rFonts w:ascii="宋体" w:eastAsia="宋体" w:hAnsi="宋体" w:cs="宋体" w:hint="eastAsia"/>
          <w:b/>
          <w:bCs/>
          <w:color w:val="171A1D"/>
          <w:sz w:val="24"/>
          <w:szCs w:val="24"/>
          <w:shd w:val="clear" w:color="auto" w:fill="FFFFFF"/>
          <w:lang w:val="en-US" w:eastAsia="zh-CN"/>
        </w:rPr>
        <w:t>2.3.2营销方式不足</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sz w:val="24"/>
        </w:rPr>
      </w:pPr>
      <w:r>
        <w:rPr>
          <w:rFonts w:ascii="宋体" w:eastAsia="宋体" w:hAnsi="宋体" w:cs="宋体" w:hint="eastAsia"/>
          <w:sz w:val="24"/>
          <w:szCs w:val="24"/>
          <w:lang w:val="en-US" w:eastAsia="zh-CN"/>
        </w:rPr>
        <w:t>1、</w:t>
      </w:r>
      <w:r>
        <w:rPr>
          <w:rFonts w:ascii="宋体" w:eastAsia="宋体" w:hAnsi="宋体" w:cs="宋体" w:hint="eastAsia"/>
          <w:sz w:val="24"/>
          <w:szCs w:val="24"/>
        </w:rPr>
        <w:t>直播内容重复，刺激手段单一直播在时间方面的局限性，一场直播有2个小时之久，往往存在直播內容重复，刺激手段单</w:t>
      </w:r>
      <w:r>
        <w:rPr>
          <w:rFonts w:ascii="宋体" w:eastAsia="宋体" w:hAnsi="宋体" w:cs="宋体" w:hint="eastAsia"/>
          <w:sz w:val="24"/>
          <w:szCs w:val="24"/>
          <w:lang w:val="en-US" w:eastAsia="zh-CN"/>
        </w:rPr>
        <w:t>一。</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sz w:val="24"/>
        </w:rPr>
        <w:sectPr>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sz w:val="24"/>
          <w:szCs w:val="24"/>
          <w:lang w:val="en-US" w:eastAsia="zh-CN"/>
        </w:rPr>
        <w:t>2、</w:t>
      </w:r>
      <w:r>
        <w:rPr>
          <w:rFonts w:ascii="宋体" w:eastAsia="宋体" w:hAnsi="宋体" w:cs="宋体" w:hint="eastAsia"/>
          <w:sz w:val="24"/>
          <w:szCs w:val="24"/>
        </w:rPr>
        <w:t>直播音频、视频效果差</w:t>
      </w:r>
      <w:r>
        <w:rPr>
          <w:rFonts w:ascii="宋体" w:eastAsia="宋体" w:hAnsi="宋体" w:cs="宋体" w:hint="eastAsia"/>
          <w:sz w:val="24"/>
          <w:szCs w:val="24"/>
          <w:lang w:eastAsia="zh-CN"/>
        </w:rPr>
        <w:t>。</w:t>
      </w:r>
      <w:r>
        <w:rPr>
          <w:rFonts w:ascii="宋体" w:eastAsia="宋体" w:hAnsi="宋体" w:cs="宋体" w:hint="eastAsia"/>
          <w:sz w:val="24"/>
          <w:szCs w:val="24"/>
        </w:rPr>
        <w:t>电商直播相较于电视直播销售来说非常大的一个优势就是门槛低。这不仅仅体验在对于主播的要求不高，还体现在对设备的要求上，基本上只需要拥有手机或电脑和网络就可以进行。然而，这也带来了一定的弊端。比如：视频影像模湖不清；声音刺耳、杂音过多。甚至，网络不稳定的时候还会出现直播断断续续的情况。这极大的影响了用户的观看体验。</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sz w:val="24"/>
          <w:highlight w:val="none"/>
        </w:rPr>
      </w:pPr>
      <w:r>
        <w:rPr>
          <w:rFonts w:ascii="宋体" w:eastAsia="宋体" w:hAnsi="宋体" w:cs="宋体" w:hint="eastAsia"/>
          <w:sz w:val="24"/>
          <w:szCs w:val="24"/>
          <w:lang w:val="en-US" w:eastAsia="zh-CN"/>
        </w:rPr>
        <w:t>3、</w:t>
      </w:r>
      <w:r>
        <w:rPr>
          <w:rFonts w:ascii="宋体" w:eastAsia="宋体" w:hAnsi="宋体" w:cs="宋体" w:hint="eastAsia"/>
          <w:sz w:val="24"/>
          <w:szCs w:val="24"/>
        </w:rPr>
        <w:t>平台分层严重</w:t>
      </w:r>
      <w:r>
        <w:rPr>
          <w:rFonts w:ascii="宋体" w:eastAsia="宋体" w:hAnsi="宋体" w:cs="宋体" w:hint="eastAsia"/>
          <w:sz w:val="24"/>
          <w:szCs w:val="24"/>
          <w:lang w:eastAsia="zh-CN"/>
        </w:rPr>
        <w:t>。</w:t>
      </w:r>
      <w:r>
        <w:rPr>
          <w:rFonts w:ascii="宋体" w:eastAsia="宋体" w:hAnsi="宋体" w:cs="宋体" w:hint="eastAsia"/>
          <w:sz w:val="24"/>
          <w:szCs w:val="24"/>
        </w:rPr>
        <w:t>对很多大卖家已经很早都单独邀约或者大卖家通过自己的渠道，已经知道了他们的角色，他们自己做达人和达人合作，很多已经很快的建立了自己的新媒体团队，并且在直播上也已经在签约女主播，快速布局，然后大量组织人员，开始寻找做的好的达人团队合作，而平台上的小卖家就比较遭殃了，想要分享这部分的流星，人力物力都达不到，只能自己做，那效果就可想而知了，如此就会造成平台上的层级分化越来越严重。4、存在不良直播内容</w:t>
      </w:r>
      <w:r>
        <w:rPr>
          <w:rFonts w:ascii="宋体" w:eastAsia="宋体" w:hAnsi="宋体" w:cs="宋体" w:hint="eastAsia"/>
          <w:sz w:val="24"/>
          <w:szCs w:val="24"/>
          <w:lang w:eastAsia="zh-CN"/>
        </w:rPr>
        <w:t>。</w:t>
      </w:r>
      <w:r>
        <w:rPr>
          <w:rFonts w:ascii="宋体" w:eastAsia="宋体" w:hAnsi="宋体" w:cs="宋体" w:hint="eastAsia"/>
          <w:sz w:val="24"/>
          <w:szCs w:val="24"/>
          <w:lang w:val="en-US" w:eastAsia="zh-CN"/>
        </w:rPr>
        <w:t>虽然</w:t>
      </w:r>
      <w:r>
        <w:rPr>
          <w:rFonts w:ascii="宋体" w:eastAsia="宋体" w:hAnsi="宋体" w:cs="宋体" w:hint="eastAsia"/>
          <w:sz w:val="24"/>
          <w:szCs w:val="24"/>
        </w:rPr>
        <w:t>有些类目是明令禁止不能进行直播的，但是当卖家操作淘宝直播的时候，由于参与直播的卖家非常多，所以就造成了其内容混杂的局面，难免会有一些不良直播內容参与其</w:t>
      </w:r>
      <w:r>
        <w:rPr>
          <w:rFonts w:ascii="宋体" w:eastAsia="宋体" w:hAnsi="宋体" w:cs="宋体" w:hint="eastAsia"/>
          <w:sz w:val="24"/>
          <w:szCs w:val="24"/>
          <w:highlight w:val="none"/>
        </w:rPr>
        <w:t>中。</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b/>
          <w:bCs/>
          <w:color w:val="171A1D"/>
          <w:sz w:val="24"/>
          <w:highlight w:val="none"/>
          <w:shd w:val="clear" w:color="auto" w:fill="FFFFFF"/>
        </w:rPr>
      </w:pPr>
      <w:r>
        <w:rPr>
          <w:rFonts w:ascii="宋体" w:eastAsia="宋体" w:hAnsi="宋体" w:cs="宋体" w:hint="eastAsia"/>
          <w:b/>
          <w:bCs/>
          <w:color w:val="171A1D"/>
          <w:sz w:val="24"/>
          <w:szCs w:val="24"/>
          <w:highlight w:val="none"/>
          <w:shd w:val="clear" w:color="auto" w:fill="FFFFFF"/>
          <w:lang w:val="en-US" w:eastAsia="zh-CN"/>
        </w:rPr>
        <w:t>2.3.3直播间互动交流少</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val="0"/>
        <w:overflowPunct/>
        <w:topLinePunct w:val="0"/>
        <w:autoSpaceDE/>
        <w:autoSpaceDN/>
        <w:bidi w:val="0"/>
        <w:adjustRightInd/>
        <w:snapToGrid/>
        <w:spacing w:before="0" w:beforeAutospacing="0" w:after="0" w:afterAutospacing="0"/>
        <w:ind w:left="0" w:firstLine="480" w:firstLineChars="200"/>
        <w:jc w:val="both"/>
        <w:textAlignment w:val="auto"/>
        <w:rPr>
          <w:rFonts w:ascii="宋体" w:eastAsia="宋体" w:hAnsi="宋体" w:cs="宋体" w:hint="eastAsia"/>
          <w:b/>
          <w:bCs/>
          <w:color w:val="171A1D"/>
          <w:szCs w:val="24"/>
          <w:highlight w:val="yellow"/>
          <w:shd w:val="clear" w:color="auto" w:fill="FFFFFF"/>
        </w:rPr>
      </w:pPr>
      <w:r>
        <w:rPr>
          <w:rFonts w:ascii="宋体" w:eastAsia="宋体" w:hAnsi="宋体" w:cs="宋体" w:hint="default"/>
          <w:kern w:val="2"/>
          <w:sz w:val="24"/>
          <w:szCs w:val="24"/>
          <w:highlight w:val="none"/>
          <w:lang w:val="en-US" w:eastAsia="zh-CN" w:bidi="ar-SA"/>
        </w:rPr>
        <w:t>对于</w:t>
      </w:r>
      <w:r>
        <w:rPr>
          <w:rFonts w:ascii="宋体" w:hAnsi="宋体" w:cs="宋体" w:hint="eastAsia"/>
          <w:kern w:val="2"/>
          <w:sz w:val="24"/>
          <w:szCs w:val="24"/>
          <w:highlight w:val="none"/>
          <w:lang w:val="en-US" w:eastAsia="zh-CN" w:bidi="ar-SA"/>
        </w:rPr>
        <w:t>主播</w:t>
      </w:r>
      <w:r>
        <w:rPr>
          <w:rFonts w:ascii="宋体" w:eastAsia="宋体" w:hAnsi="宋体" w:cs="宋体" w:hint="default"/>
          <w:kern w:val="2"/>
          <w:sz w:val="24"/>
          <w:szCs w:val="24"/>
          <w:highlight w:val="none"/>
          <w:lang w:val="en-US" w:eastAsia="zh-CN" w:bidi="ar-SA"/>
        </w:rPr>
        <w:t>来说，冷场是很</w:t>
      </w:r>
      <w:r>
        <w:rPr>
          <w:rFonts w:ascii="宋体" w:hAnsi="宋体" w:cs="宋体" w:hint="eastAsia"/>
          <w:kern w:val="2"/>
          <w:sz w:val="24"/>
          <w:szCs w:val="24"/>
          <w:highlight w:val="none"/>
          <w:lang w:val="en-US" w:eastAsia="zh-CN" w:bidi="ar-SA"/>
        </w:rPr>
        <w:t>尴尬</w:t>
      </w:r>
      <w:r>
        <w:rPr>
          <w:rFonts w:ascii="宋体" w:eastAsia="宋体" w:hAnsi="宋体" w:cs="宋体" w:hint="default"/>
          <w:kern w:val="2"/>
          <w:sz w:val="24"/>
          <w:szCs w:val="24"/>
          <w:highlight w:val="none"/>
          <w:lang w:val="en-US" w:eastAsia="zh-CN" w:bidi="ar-SA"/>
        </w:rPr>
        <w:t>的，毕竟做直播的时候粉丝相对来说是比较</w:t>
      </w:r>
      <w:r>
        <w:rPr>
          <w:rFonts w:ascii="宋体" w:hAnsi="宋体" w:cs="宋体" w:hint="eastAsia"/>
          <w:kern w:val="2"/>
          <w:sz w:val="24"/>
          <w:szCs w:val="24"/>
          <w:highlight w:val="none"/>
          <w:lang w:val="en-US" w:eastAsia="zh-CN" w:bidi="ar-SA"/>
        </w:rPr>
        <w:t>挑剔</w:t>
      </w:r>
      <w:r>
        <w:rPr>
          <w:rFonts w:ascii="宋体" w:eastAsia="宋体" w:hAnsi="宋体" w:cs="宋体" w:hint="default"/>
          <w:kern w:val="2"/>
          <w:sz w:val="24"/>
          <w:szCs w:val="24"/>
          <w:highlight w:val="none"/>
          <w:lang w:val="en-US" w:eastAsia="zh-CN" w:bidi="ar-SA"/>
        </w:rPr>
        <w:t>的，而且也比较缺少直播的一些经营，所以冷场是</w:t>
      </w:r>
      <w:r>
        <w:rPr>
          <w:rFonts w:ascii="宋体" w:hAnsi="宋体" w:cs="宋体" w:hint="eastAsia"/>
          <w:kern w:val="2"/>
          <w:sz w:val="24"/>
          <w:szCs w:val="24"/>
          <w:highlight w:val="none"/>
          <w:lang w:val="en-US" w:eastAsia="zh-CN" w:bidi="ar-SA"/>
        </w:rPr>
        <w:t>主播</w:t>
      </w:r>
      <w:r>
        <w:rPr>
          <w:rFonts w:ascii="宋体" w:eastAsia="宋体" w:hAnsi="宋体" w:cs="宋体" w:hint="default"/>
          <w:kern w:val="2"/>
          <w:sz w:val="24"/>
          <w:szCs w:val="24"/>
          <w:highlight w:val="none"/>
          <w:lang w:val="en-US" w:eastAsia="zh-CN" w:bidi="ar-SA"/>
        </w:rPr>
        <w:t>最应该注意的了，</w:t>
      </w:r>
      <w:r>
        <w:rPr>
          <w:rFonts w:ascii="宋体" w:hAnsi="宋体" w:cs="宋体" w:hint="eastAsia"/>
          <w:kern w:val="2"/>
          <w:sz w:val="24"/>
          <w:szCs w:val="24"/>
          <w:highlight w:val="none"/>
          <w:lang w:val="en-US" w:eastAsia="zh-CN" w:bidi="ar-SA"/>
        </w:rPr>
        <w:t>很多主播与粉丝互动较少，更多的是宣传</w:t>
      </w:r>
      <w:r>
        <w:rPr>
          <w:rFonts w:ascii="宋体" w:hAnsi="宋体" w:cs="宋体" w:hint="eastAsia"/>
          <w:kern w:val="2"/>
          <w:sz w:val="24"/>
          <w:szCs w:val="24"/>
          <w:lang w:val="en-US" w:eastAsia="zh-CN" w:bidi="ar-SA"/>
        </w:rPr>
        <w:t>产品，</w:t>
      </w:r>
      <w:r>
        <w:rPr>
          <w:rFonts w:ascii="宋体" w:eastAsia="宋体" w:hAnsi="宋体" w:cs="宋体" w:hint="default"/>
          <w:kern w:val="2"/>
          <w:sz w:val="24"/>
          <w:szCs w:val="24"/>
          <w:lang w:val="en-US" w:eastAsia="zh-CN" w:bidi="ar-SA"/>
        </w:rPr>
        <w:t>冷场的时候就应该跟粉丝聊一些话题，跟一些比较熟悉的用户给一些问候之类的</w:t>
      </w:r>
      <w:r>
        <w:rPr>
          <w:rFonts w:ascii="宋体" w:hAnsi="宋体" w:cs="宋体" w:hint="eastAsia"/>
          <w:kern w:val="2"/>
          <w:sz w:val="24"/>
          <w:szCs w:val="24"/>
          <w:lang w:val="en-US" w:eastAsia="zh-CN" w:bidi="ar-SA"/>
        </w:rPr>
        <w:t>；</w:t>
      </w:r>
      <w:r>
        <w:rPr>
          <w:rFonts w:ascii="宋体" w:eastAsia="宋体" w:hAnsi="宋体" w:cs="宋体" w:hint="default"/>
          <w:kern w:val="2"/>
          <w:sz w:val="24"/>
          <w:szCs w:val="24"/>
          <w:lang w:val="en-US" w:eastAsia="zh-CN" w:bidi="ar-SA"/>
        </w:rPr>
        <w:t>或者问一下他们喜欢听什么歌曲，给他们唱唱歌，聊一些家常，聊家常想必都会聊的吧，而且还可以找一些自己的亲朋好友之类的亲戚同事，朋友，恩，让他们凑凑热闹;刷一点小礼物啊什么的，带一带直播间的节奏感，要不然直播间没什么人气也不太好，而且还留不住人，要多说一些贴近生活方面的话题，以及最近比较热门的话题，毕竟热门的话题大家相对都会有关注的，每个人说一句自己的观点，怎么也不可能冷场的对吧</w:t>
      </w:r>
      <w:r>
        <w:rPr>
          <w:rFonts w:ascii="宋体" w:hAnsi="宋体" w:cs="宋体" w:hint="eastAsia"/>
          <w:kern w:val="2"/>
          <w:sz w:val="24"/>
          <w:szCs w:val="24"/>
          <w:lang w:val="en-US" w:eastAsia="zh-CN" w:bidi="ar-SA"/>
        </w:rPr>
        <w:t>，而目前多数主播去少的就是这个能力。</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b/>
          <w:bCs/>
          <w:color w:val="171A1D"/>
          <w:sz w:val="24"/>
          <w:shd w:val="clear" w:color="auto" w:fill="FFFFFF"/>
        </w:rPr>
      </w:pPr>
      <w:r>
        <w:rPr>
          <w:rFonts w:ascii="宋体" w:eastAsia="宋体" w:hAnsi="宋体" w:cs="宋体" w:hint="eastAsia"/>
          <w:b/>
          <w:bCs/>
          <w:color w:val="171A1D"/>
          <w:sz w:val="24"/>
          <w:szCs w:val="24"/>
          <w:shd w:val="clear" w:color="auto" w:fill="FFFFFF"/>
          <w:lang w:val="en-US" w:eastAsia="zh-CN"/>
        </w:rPr>
        <w:t>2.3.3售后服务不足</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i w:val="0"/>
          <w:iCs w:val="0"/>
          <w:caps w:val="0"/>
          <w:color w:val="222222"/>
          <w:spacing w:val="0"/>
          <w:sz w:val="24"/>
          <w:shd w:val="clear" w:color="auto" w:fill="FFFFFF"/>
        </w:rPr>
      </w:pPr>
      <w:r>
        <w:rPr>
          <w:rFonts w:ascii="宋体" w:eastAsia="宋体" w:hAnsi="宋体" w:cs="宋体" w:hint="eastAsia"/>
          <w:i w:val="0"/>
          <w:iCs w:val="0"/>
          <w:caps w:val="0"/>
          <w:color w:val="222222"/>
          <w:spacing w:val="0"/>
          <w:sz w:val="24"/>
          <w:szCs w:val="24"/>
          <w:shd w:val="clear" w:color="auto" w:fill="FFFFFF"/>
        </w:rPr>
        <w:t>直播带货方式的迅猛发展，对提升消费体验、拉动经济发展起到了积极的推动作用，但夸大宣传、私下交易、假冒伪劣、售后服务保障难等问题也成为阻碍其发展的新隐患。</w:t>
      </w:r>
      <w:r>
        <w:rPr>
          <w:rFonts w:ascii="宋体" w:eastAsia="宋体" w:hAnsi="宋体" w:cs="宋体" w:hint="eastAsia"/>
          <w:i w:val="0"/>
          <w:iCs w:val="0"/>
          <w:caps w:val="0"/>
          <w:color w:val="222222"/>
          <w:spacing w:val="0"/>
          <w:sz w:val="24"/>
          <w:szCs w:val="24"/>
          <w:shd w:val="clear" w:color="auto" w:fill="FFFFFF"/>
          <w:lang w:val="en-US" w:eastAsia="zh-CN"/>
        </w:rPr>
        <w:t>没有良好的售后服务，使消费者对直播平台的信任度降低，减少消费者重复购买的几率，从而没有回头客，阻碍服装电商直播的发展。</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0"/>
        <w:rPr>
          <w:rFonts w:ascii="宋体" w:hAnsi="宋体" w:cs="宋体" w:hint="eastAsia"/>
          <w:b/>
          <w:bCs/>
          <w:color w:val="171A1D"/>
          <w:sz w:val="24"/>
          <w:shd w:val="clear" w:color="auto" w:fill="FFFFFF"/>
        </w:rPr>
      </w:pPr>
      <w:r>
        <w:rPr>
          <w:rFonts w:ascii="宋体" w:eastAsia="宋体" w:hAnsi="宋体" w:cs="宋体" w:hint="eastAsia"/>
          <w:b/>
          <w:bCs/>
          <w:color w:val="171A1D"/>
          <w:sz w:val="24"/>
          <w:szCs w:val="24"/>
          <w:shd w:val="clear" w:color="auto" w:fill="FFFFFF"/>
          <w:lang w:val="en-US" w:eastAsia="zh-CN"/>
        </w:rPr>
        <w:t>第3章服装类电商直播对消费者购买意愿影响因素的研究</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1"/>
        <w:rPr>
          <w:rFonts w:ascii="宋体" w:hAnsi="宋体" w:cs="宋体" w:hint="eastAsia"/>
          <w:b/>
          <w:bCs/>
          <w:color w:val="171A1D"/>
          <w:sz w:val="24"/>
          <w:shd w:val="clear" w:color="auto" w:fill="FFFFFF"/>
        </w:rPr>
      </w:pPr>
      <w:r>
        <w:rPr>
          <w:rFonts w:ascii="宋体" w:eastAsia="宋体" w:hAnsi="宋体" w:cs="宋体" w:hint="eastAsia"/>
          <w:b/>
          <w:bCs/>
          <w:color w:val="171A1D"/>
          <w:sz w:val="24"/>
          <w:szCs w:val="24"/>
          <w:shd w:val="clear" w:color="auto" w:fill="FFFFFF"/>
          <w:lang w:val="en-US" w:eastAsia="zh-CN"/>
        </w:rPr>
        <w:t>3.1问卷设计</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2"/>
        <w:rPr>
          <w:rFonts w:ascii="宋体" w:hAnsi="宋体" w:cs="宋体" w:hint="eastAsia"/>
          <w:b/>
          <w:bCs/>
          <w:color w:val="171A1D"/>
          <w:sz w:val="24"/>
          <w:shd w:val="clear" w:color="auto" w:fill="FFFFFF"/>
        </w:rPr>
      </w:pPr>
      <w:r>
        <w:rPr>
          <w:rFonts w:ascii="宋体" w:eastAsia="宋体" w:hAnsi="宋体" w:cs="宋体" w:hint="eastAsia"/>
          <w:b/>
          <w:bCs/>
          <w:color w:val="171A1D"/>
          <w:sz w:val="24"/>
          <w:szCs w:val="24"/>
          <w:shd w:val="clear" w:color="auto" w:fill="FFFFFF"/>
          <w:lang w:val="en-US" w:eastAsia="zh-CN"/>
        </w:rPr>
        <w:t>3.1.1问卷结构设计</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b w:val="0"/>
          <w:bCs w:val="0"/>
          <w:color w:val="171A1D"/>
          <w:sz w:val="24"/>
          <w:shd w:val="clear" w:color="auto" w:fill="FFFFFF"/>
        </w:rPr>
        <w:sectPr>
          <w:type w:val="nextPage"/>
          <w:pgSz w:w="11906" w:h="16838"/>
          <w:pgMar w:top="1440" w:right="1800" w:bottom="1440" w:left="1800" w:header="851" w:footer="992" w:gutter="0"/>
          <w:pgNumType w:start="5"/>
          <w:cols w:num="1" w:space="425"/>
          <w:titlePg w:val="0"/>
          <w:docGrid w:type="lines" w:linePitch="312" w:charSpace="0"/>
        </w:sectPr>
      </w:pP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问卷结构主要分为基础信息、矩阵量表和消费者特征信息三个板块，矩阵量表部分为上节构建的量表题，量表题项采用Likert五点量表，要求受试对各个题项进行评价，每个题项分别对应“非常不同意、较不同意、一般、较同意和非常同意五种程度。这一部分具体包括质量价值三个题项、价格价值四个题项、信息价值三个题项、社交价值三个题项、情感价值五个题项、个人形象价值四个题项和购买意愿三个题项。基础信息板块和消费者特征信息板块均为非量表题，用于了解消费者的基本情况和使用习惯特征与偏好，掌握不同平台的消费者画像。基本信息涉及性别、年龄、学历、职业和收入等；消费者特征信息题项用于深入了解样本特征情况，包括单选和多选若干题项。两大板块的题项均位于问卷后部分，以避免受试长时间填写问卷出现厌倦从而降低数据质量。为方便样本数据的筛选和数据质量，问卷还设置了筛选题和甄别题。筛选题项置于问卷前部分，“Q2您是否通过直播（任意平台）购买过服装商品？”和“Q5更常用的一个平台是？”来保证样本群体有过直播电商购买服装的经验且便于后续分类不同平台的直播电商消费者群体。若消费者Q2选择“否”，即无购买服装商品经历，系统设置逻辑跳题至提交问卷；为保证问卷数据的可靠性，问卷中设置一道指定选项题目“Q28网红直播带货、商家直播等各类型直播间，哪一类更常见？无论如何请选择商家直播”作为甄别题，未选择“商家直播”选项表明受试者未仔细阅读问卷，将视为无效问卷。</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2"/>
        <w:rPr>
          <w:rFonts w:ascii="宋体" w:hAnsi="宋体" w:cs="宋体" w:hint="eastAsia"/>
          <w:b/>
          <w:bCs/>
          <w:color w:val="171A1D"/>
          <w:sz w:val="24"/>
          <w:shd w:val="clear" w:color="auto" w:fill="FFFFFF"/>
        </w:rPr>
      </w:pPr>
      <w:r>
        <w:rPr>
          <w:rFonts w:ascii="宋体" w:eastAsia="宋体" w:hAnsi="宋体" w:cs="宋体" w:hint="eastAsia"/>
          <w:b/>
          <w:bCs/>
          <w:color w:val="171A1D"/>
          <w:sz w:val="24"/>
          <w:szCs w:val="24"/>
          <w:shd w:val="clear" w:color="auto" w:fill="FFFFFF"/>
          <w:lang w:val="en-US" w:eastAsia="zh-CN"/>
        </w:rPr>
        <w:t>3.1.2小规模访谈</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为确保问卷内容和结构上具备合理性和科学性，本研究因此邀请了10名具有直播购买服装经历的消费者，5名服装专业研究生和4名服装电商从业人士通过小规模访谈形式针对已形成的问卷进行探讨以指出可能存在的问题，访谈提纲的具体内容见表3.</w:t>
      </w:r>
      <w:r>
        <w:rPr>
          <w:rFonts w:ascii="宋体" w:hAnsi="宋体" w:cs="宋体" w:hint="eastAsia"/>
          <w:b w:val="0"/>
          <w:bCs w:val="0"/>
          <w:color w:val="171A1D"/>
          <w:sz w:val="24"/>
          <w:szCs w:val="24"/>
          <w:shd w:val="clear" w:color="auto" w:fill="FFFFFF"/>
          <w:lang w:val="en-US" w:eastAsia="zh-CN"/>
        </w:rPr>
        <w:t>1</w:t>
      </w:r>
      <w:r>
        <w:rPr>
          <w:rFonts w:ascii="宋体" w:eastAsia="宋体" w:hAnsi="宋体" w:cs="宋体" w:hint="eastAsia"/>
          <w:b w:val="0"/>
          <w:bCs w:val="0"/>
          <w:color w:val="171A1D"/>
          <w:sz w:val="24"/>
          <w:szCs w:val="24"/>
          <w:shd w:val="clear" w:color="auto" w:fill="FFFFFF"/>
          <w:lang w:val="en-US" w:eastAsia="zh-CN"/>
        </w:rPr>
        <w:t>。</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表3.</w:t>
      </w:r>
      <w:r>
        <w:rPr>
          <w:rFonts w:ascii="宋体" w:hAnsi="宋体" w:cs="宋体" w:hint="eastAsia"/>
          <w:b w:val="0"/>
          <w:bCs w:val="0"/>
          <w:color w:val="171A1D"/>
          <w:sz w:val="24"/>
          <w:szCs w:val="24"/>
          <w:shd w:val="clear" w:color="auto" w:fill="FFFFFF"/>
          <w:lang w:val="en-US" w:eastAsia="zh-CN"/>
        </w:rPr>
        <w:t>1</w:t>
      </w:r>
      <w:r>
        <w:rPr>
          <w:rFonts w:ascii="宋体" w:eastAsia="宋体" w:hAnsi="宋体" w:cs="宋体" w:hint="eastAsia"/>
          <w:b w:val="0"/>
          <w:bCs w:val="0"/>
          <w:color w:val="171A1D"/>
          <w:sz w:val="24"/>
          <w:szCs w:val="24"/>
          <w:shd w:val="clear" w:color="auto" w:fill="FFFFFF"/>
          <w:lang w:val="en-US" w:eastAsia="zh-CN"/>
        </w:rPr>
        <w:t>访谈提纲的内容</w:t>
      </w:r>
    </w:p>
    <w:tbl>
      <w:tblPr>
        <w:tblStyle w:val="TableNormal00"/>
        <w:tblW w:w="6190" w:type="dxa"/>
        <w:jc w:val="center"/>
        <w:tblBorders>
          <w:top w:val="nil"/>
          <w:left w:val="nil"/>
          <w:bottom w:val="nil"/>
          <w:right w:val="nil"/>
          <w:insideH w:val="nil"/>
          <w:insideV w:val="nil"/>
        </w:tblBorders>
        <w:tblLayout w:type="fixed"/>
        <w:tblCellMar>
          <w:top w:w="0" w:type="dxa"/>
          <w:left w:w="0" w:type="dxa"/>
          <w:bottom w:w="0" w:type="dxa"/>
          <w:right w:w="0" w:type="dxa"/>
        </w:tblCellMar>
      </w:tblPr>
      <w:tblGrid>
        <w:gridCol w:w="1275"/>
        <w:gridCol w:w="4915"/>
      </w:tblGrid>
      <w:tr>
        <w:tblPrEx>
          <w:tblW w:w="6190" w:type="dxa"/>
          <w:jc w:val="center"/>
          <w:tblBorders>
            <w:top w:val="nil"/>
            <w:left w:val="nil"/>
            <w:bottom w:val="nil"/>
            <w:right w:val="nil"/>
            <w:insideH w:val="nil"/>
            <w:insideV w:val="nil"/>
          </w:tblBorders>
          <w:tblLayout w:type="fixed"/>
          <w:tblCellMar>
            <w:top w:w="0" w:type="dxa"/>
            <w:left w:w="0" w:type="dxa"/>
            <w:bottom w:w="0" w:type="dxa"/>
            <w:right w:w="0" w:type="dxa"/>
          </w:tblCellMar>
        </w:tblPrEx>
        <w:trPr>
          <w:trHeight w:val="404"/>
          <w:jc w:val="center"/>
        </w:trPr>
        <w:tc>
          <w:tcPr>
            <w:tcW w:w="1275" w:type="dxa"/>
            <w:tcBorders>
              <w:top w:val="single" w:sz="4" w:space="0" w:color="000000"/>
              <w:bottom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编号</w:t>
            </w:r>
          </w:p>
        </w:tc>
        <w:tc>
          <w:tcPr>
            <w:tcW w:w="4915" w:type="dxa"/>
            <w:tcBorders>
              <w:top w:val="single" w:sz="4" w:space="0" w:color="000000"/>
              <w:bottom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提纲</w:t>
            </w:r>
          </w:p>
        </w:tc>
      </w:tr>
      <w:tr>
        <w:tblPrEx>
          <w:tblW w:w="6190" w:type="dxa"/>
          <w:jc w:val="center"/>
          <w:tblLayout w:type="fixed"/>
          <w:tblCellMar>
            <w:top w:w="0" w:type="dxa"/>
            <w:left w:w="0" w:type="dxa"/>
            <w:bottom w:w="0" w:type="dxa"/>
            <w:right w:w="0" w:type="dxa"/>
          </w:tblCellMar>
        </w:tblPrEx>
        <w:trPr>
          <w:trHeight w:val="355"/>
          <w:jc w:val="center"/>
        </w:trPr>
        <w:tc>
          <w:tcPr>
            <w:tcW w:w="1275" w:type="dxa"/>
            <w:tcBorders>
              <w:top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1</w:t>
            </w:r>
          </w:p>
        </w:tc>
        <w:tc>
          <w:tcPr>
            <w:tcW w:w="4915" w:type="dxa"/>
            <w:tcBorders>
              <w:top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问卷结构的合理性</w:t>
            </w:r>
          </w:p>
        </w:tc>
      </w:tr>
      <w:tr>
        <w:tblPrEx>
          <w:tblW w:w="6190" w:type="dxa"/>
          <w:jc w:val="center"/>
          <w:tblLayout w:type="fixed"/>
          <w:tblCellMar>
            <w:top w:w="0" w:type="dxa"/>
            <w:left w:w="0" w:type="dxa"/>
            <w:bottom w:w="0" w:type="dxa"/>
            <w:right w:w="0" w:type="dxa"/>
          </w:tblCellMar>
        </w:tblPrEx>
        <w:trPr>
          <w:trHeight w:val="369"/>
          <w:jc w:val="center"/>
        </w:trPr>
        <w:tc>
          <w:tcPr>
            <w:tcW w:w="1275"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2</w:t>
            </w:r>
          </w:p>
        </w:tc>
        <w:tc>
          <w:tcPr>
            <w:tcW w:w="4915"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测量目标与研究主题的一致性</w:t>
            </w:r>
          </w:p>
        </w:tc>
      </w:tr>
      <w:tr>
        <w:tblPrEx>
          <w:tblW w:w="6190" w:type="dxa"/>
          <w:jc w:val="center"/>
          <w:tblLayout w:type="fixed"/>
          <w:tblCellMar>
            <w:top w:w="0" w:type="dxa"/>
            <w:left w:w="0" w:type="dxa"/>
            <w:bottom w:w="0" w:type="dxa"/>
            <w:right w:w="0" w:type="dxa"/>
          </w:tblCellMar>
        </w:tblPrEx>
        <w:trPr>
          <w:trHeight w:val="359"/>
          <w:jc w:val="center"/>
        </w:trPr>
        <w:tc>
          <w:tcPr>
            <w:tcW w:w="1275"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3</w:t>
            </w:r>
          </w:p>
        </w:tc>
        <w:tc>
          <w:tcPr>
            <w:tcW w:w="4915"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相关概念与术语的可理解性</w:t>
            </w:r>
          </w:p>
        </w:tc>
      </w:tr>
      <w:tr>
        <w:tblPrEx>
          <w:tblW w:w="6190" w:type="dxa"/>
          <w:jc w:val="center"/>
          <w:tblLayout w:type="fixed"/>
          <w:tblCellMar>
            <w:top w:w="0" w:type="dxa"/>
            <w:left w:w="0" w:type="dxa"/>
            <w:bottom w:w="0" w:type="dxa"/>
            <w:right w:w="0" w:type="dxa"/>
          </w:tblCellMar>
        </w:tblPrEx>
        <w:trPr>
          <w:trHeight w:val="354"/>
          <w:jc w:val="center"/>
        </w:trPr>
        <w:tc>
          <w:tcPr>
            <w:tcW w:w="1275"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4</w:t>
            </w:r>
          </w:p>
        </w:tc>
        <w:tc>
          <w:tcPr>
            <w:tcW w:w="4915"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测量题项表述内容的准确性</w:t>
            </w:r>
          </w:p>
        </w:tc>
      </w:tr>
      <w:tr>
        <w:tblPrEx>
          <w:tblW w:w="6190" w:type="dxa"/>
          <w:jc w:val="center"/>
          <w:tblLayout w:type="fixed"/>
          <w:tblCellMar>
            <w:top w:w="0" w:type="dxa"/>
            <w:left w:w="0" w:type="dxa"/>
            <w:bottom w:w="0" w:type="dxa"/>
            <w:right w:w="0" w:type="dxa"/>
          </w:tblCellMar>
        </w:tblPrEx>
        <w:trPr>
          <w:trHeight w:val="358"/>
          <w:jc w:val="center"/>
        </w:trPr>
        <w:tc>
          <w:tcPr>
            <w:tcW w:w="1275"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5</w:t>
            </w:r>
          </w:p>
        </w:tc>
        <w:tc>
          <w:tcPr>
            <w:tcW w:w="4915"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测量题项表达的客观公正性</w:t>
            </w:r>
          </w:p>
        </w:tc>
      </w:tr>
      <w:tr>
        <w:tblPrEx>
          <w:tblW w:w="6190" w:type="dxa"/>
          <w:jc w:val="center"/>
          <w:tblLayout w:type="fixed"/>
          <w:tblCellMar>
            <w:top w:w="0" w:type="dxa"/>
            <w:left w:w="0" w:type="dxa"/>
            <w:bottom w:w="0" w:type="dxa"/>
            <w:right w:w="0" w:type="dxa"/>
          </w:tblCellMar>
        </w:tblPrEx>
        <w:trPr>
          <w:trHeight w:val="365"/>
          <w:jc w:val="center"/>
        </w:trPr>
        <w:tc>
          <w:tcPr>
            <w:tcW w:w="1275"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6</w:t>
            </w:r>
          </w:p>
        </w:tc>
        <w:tc>
          <w:tcPr>
            <w:tcW w:w="4915"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测量题项备选答案的完整性</w:t>
            </w:r>
          </w:p>
        </w:tc>
      </w:tr>
      <w:tr>
        <w:tblPrEx>
          <w:tblW w:w="6190" w:type="dxa"/>
          <w:jc w:val="center"/>
          <w:tblLayout w:type="fixed"/>
          <w:tblCellMar>
            <w:top w:w="0" w:type="dxa"/>
            <w:left w:w="0" w:type="dxa"/>
            <w:bottom w:w="0" w:type="dxa"/>
            <w:right w:w="0" w:type="dxa"/>
          </w:tblCellMar>
        </w:tblPrEx>
        <w:trPr>
          <w:trHeight w:val="374"/>
          <w:jc w:val="center"/>
        </w:trPr>
        <w:tc>
          <w:tcPr>
            <w:tcW w:w="1275"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7</w:t>
            </w:r>
          </w:p>
        </w:tc>
        <w:tc>
          <w:tcPr>
            <w:tcW w:w="4915"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测量题项备选答案之间的互斥性</w:t>
            </w:r>
          </w:p>
        </w:tc>
      </w:tr>
      <w:tr>
        <w:tblPrEx>
          <w:tblW w:w="6190" w:type="dxa"/>
          <w:jc w:val="center"/>
          <w:tblLayout w:type="fixed"/>
          <w:tblCellMar>
            <w:top w:w="0" w:type="dxa"/>
            <w:left w:w="0" w:type="dxa"/>
            <w:bottom w:w="0" w:type="dxa"/>
            <w:right w:w="0" w:type="dxa"/>
          </w:tblCellMar>
        </w:tblPrEx>
        <w:trPr>
          <w:trHeight w:val="362"/>
          <w:jc w:val="center"/>
        </w:trPr>
        <w:tc>
          <w:tcPr>
            <w:tcW w:w="1275" w:type="dxa"/>
            <w:tcBorders>
              <w:bottom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8</w:t>
            </w:r>
          </w:p>
        </w:tc>
        <w:tc>
          <w:tcPr>
            <w:tcW w:w="4915" w:type="dxa"/>
            <w:tcBorders>
              <w:bottom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题目编排顺序的合理性</w:t>
            </w:r>
          </w:p>
        </w:tc>
      </w:tr>
    </w:tbl>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1"/>
        <w:rPr>
          <w:rFonts w:ascii="宋体" w:hAnsi="宋体" w:cs="宋体" w:hint="eastAsia"/>
          <w:b/>
          <w:bCs/>
          <w:color w:val="171A1D"/>
          <w:sz w:val="24"/>
          <w:shd w:val="clear" w:color="auto" w:fill="FFFFFF"/>
        </w:rPr>
      </w:pPr>
      <w:r>
        <w:rPr>
          <w:rFonts w:ascii="宋体" w:eastAsia="宋体" w:hAnsi="宋体" w:cs="宋体" w:hint="eastAsia"/>
          <w:b/>
          <w:bCs/>
          <w:color w:val="171A1D"/>
          <w:sz w:val="24"/>
          <w:szCs w:val="24"/>
          <w:shd w:val="clear" w:color="auto" w:fill="FFFFFF"/>
          <w:lang w:val="en-US" w:eastAsia="zh-CN"/>
        </w:rPr>
        <w:t>3.2问卷发放和收集情况</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2"/>
        <w:rPr>
          <w:rFonts w:ascii="宋体" w:hAnsi="宋体" w:cs="宋体" w:hint="eastAsia"/>
          <w:b/>
          <w:bCs/>
          <w:color w:val="171A1D"/>
          <w:sz w:val="24"/>
          <w:shd w:val="clear" w:color="auto" w:fill="FFFFFF"/>
        </w:rPr>
      </w:pPr>
      <w:r>
        <w:rPr>
          <w:rFonts w:ascii="宋体" w:eastAsia="宋体" w:hAnsi="宋体" w:cs="宋体" w:hint="eastAsia"/>
          <w:b/>
          <w:bCs/>
          <w:color w:val="171A1D"/>
          <w:sz w:val="24"/>
          <w:szCs w:val="24"/>
          <w:shd w:val="clear" w:color="auto" w:fill="FFFFFF"/>
          <w:lang w:val="en-US" w:eastAsia="zh-CN"/>
        </w:rPr>
        <w:t>3.2.1数据获取渠道</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正式调查通过线上结合线下两种方式同时发布问卷，问卷发放时间段为2022年5月12日到6月8日，共计28天的数据回收时间，线上线下问卷均采取红包或小礼品有偿形式。具体形式是：线上通过微信和QQ两种主要的社交媒体分享问卷的链接，邀请身边的同学、朋友以及家人，并通过他们的好友或朋友圈将问卷进行扩散，以获得更多的问卷样本。线下主要通过发放纸质问卷邀请志愿者参与调研，同时通过被试招募群、张贴被试招募公告等形式广泛寻找志愿者。</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2"/>
        <w:rPr>
          <w:rFonts w:ascii="宋体" w:hAnsi="宋体" w:cs="宋体" w:hint="eastAsia"/>
          <w:b/>
          <w:bCs/>
          <w:color w:val="171A1D"/>
          <w:sz w:val="24"/>
          <w:shd w:val="clear" w:color="auto" w:fill="FFFFFF"/>
        </w:rPr>
      </w:pPr>
      <w:r>
        <w:rPr>
          <w:rFonts w:ascii="宋体" w:eastAsia="宋体" w:hAnsi="宋体" w:cs="宋体" w:hint="eastAsia"/>
          <w:b/>
          <w:bCs/>
          <w:color w:val="171A1D"/>
          <w:sz w:val="24"/>
          <w:szCs w:val="24"/>
          <w:shd w:val="clear" w:color="auto" w:fill="FFFFFF"/>
          <w:lang w:val="en-US" w:eastAsia="zh-CN"/>
        </w:rPr>
        <w:t>3.2.2消费者数据收集情况描述</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正式调查最后获取到样本912份，去除非研究对象、时间过短、未通过甄别题等无效问卷后为714份，有效率为78.3%。其中，受试者存在使用多个平台的经历，消费者常用的平台也可能会变动，因此问卷要求受试者根据“近期常用的某一平台的购物经历”回答问卷，同时根据筛选题项“Q5更常用的一个平台是”分类不同平台样本，统计收集到淘宝平台样本425份，抖音平台166份，分别占比59.5%和23.3%，相比抖音平台，淘宝的用户群体更大，这一数据结果也与实际行业报告一致。</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1"/>
        <w:rPr>
          <w:rFonts w:ascii="宋体" w:hAnsi="宋体" w:cs="宋体" w:hint="eastAsia"/>
          <w:b/>
          <w:bCs/>
          <w:color w:val="171A1D"/>
          <w:sz w:val="24"/>
          <w:shd w:val="clear" w:color="auto" w:fill="FFFFFF"/>
        </w:rPr>
      </w:pPr>
      <w:r>
        <w:rPr>
          <w:rFonts w:ascii="宋体" w:eastAsia="宋体" w:hAnsi="宋体" w:cs="宋体" w:hint="eastAsia"/>
          <w:b/>
          <w:bCs/>
          <w:color w:val="171A1D"/>
          <w:sz w:val="24"/>
          <w:szCs w:val="24"/>
          <w:shd w:val="clear" w:color="auto" w:fill="FFFFFF"/>
          <w:lang w:val="en-US" w:eastAsia="zh-CN"/>
        </w:rPr>
        <w:t>3.3直播电商服装消费者购买意愿的影响因素研究</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2"/>
        <w:rPr>
          <w:rFonts w:ascii="宋体" w:hAnsi="宋体" w:cs="宋体" w:hint="eastAsia"/>
          <w:b/>
          <w:bCs/>
          <w:color w:val="171A1D"/>
          <w:sz w:val="24"/>
          <w:shd w:val="clear" w:color="auto" w:fill="FFFFFF"/>
        </w:rPr>
      </w:pPr>
      <w:r>
        <w:rPr>
          <w:rFonts w:ascii="宋体" w:eastAsia="宋体" w:hAnsi="宋体" w:cs="宋体" w:hint="eastAsia"/>
          <w:b/>
          <w:bCs/>
          <w:color w:val="171A1D"/>
          <w:sz w:val="24"/>
          <w:szCs w:val="24"/>
          <w:shd w:val="clear" w:color="auto" w:fill="FFFFFF"/>
          <w:lang w:val="en-US" w:eastAsia="zh-CN"/>
        </w:rPr>
        <w:t>3.3.1消费者使用平台情况</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3"/>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（1）使用平台情况统计</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b w:val="0"/>
          <w:bCs w:val="0"/>
          <w:color w:val="171A1D"/>
          <w:sz w:val="24"/>
          <w:shd w:val="clear" w:color="auto" w:fill="FFFFFF"/>
        </w:rPr>
        <w:sectPr>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cs="宋体" w:hint="eastAsia"/>
          <w:b w:val="0"/>
          <w:bCs w:val="0"/>
          <w:color w:val="171A1D"/>
          <w:sz w:val="24"/>
          <w:szCs w:val="24"/>
          <w:shd w:val="clear" w:color="auto" w:fill="FFFFFF"/>
          <w:lang w:val="en-US" w:eastAsia="zh-CN"/>
        </w:rPr>
        <w:t>消费者使用的直播电商平台，发现使用淘宝和抖音电商直播平台的消费者用户比例最高，分别达到91.3%和77.8%，其次分别是京东、拼多多、快手、小红书、唯品会等平台，见图</w:t>
      </w:r>
      <w:r>
        <w:rPr>
          <w:rFonts w:ascii="宋体" w:hAnsi="宋体" w:cs="宋体" w:hint="eastAsia"/>
          <w:b w:val="0"/>
          <w:bCs w:val="0"/>
          <w:color w:val="171A1D"/>
          <w:sz w:val="24"/>
          <w:szCs w:val="24"/>
          <w:shd w:val="clear" w:color="auto" w:fill="FFFFFF"/>
          <w:lang w:val="en-US" w:eastAsia="zh-CN"/>
        </w:rPr>
        <w:t>3</w:t>
      </w:r>
      <w:r>
        <w:rPr>
          <w:rFonts w:ascii="宋体" w:eastAsia="宋体" w:hAnsi="宋体" w:cs="宋体" w:hint="eastAsia"/>
          <w:b w:val="0"/>
          <w:bCs w:val="0"/>
          <w:color w:val="171A1D"/>
          <w:sz w:val="24"/>
          <w:szCs w:val="24"/>
          <w:shd w:val="clear" w:color="auto" w:fill="FFFFFF"/>
          <w:lang w:val="en-US" w:eastAsia="zh-CN"/>
        </w:rPr>
        <w:t>.1。由此可见，淘宝与抖音平台的普及度更高。整体比较电商和内容两类平台，电商平台的直播消费者群体数量优势较大。</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rPr>
        <w:drawing>
          <wp:inline distT="0" distB="0" distL="114300" distR="114300">
            <wp:extent cx="4014470" cy="3099435"/>
            <wp:effectExtent l="0" t="0" r="5080" b="57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4014470" cy="3099435"/>
                    </a:xfrm>
                    <a:prstGeom prst="rect">
                      <a:avLst/>
                    </a:prstGeom>
                    <a:noFill/>
                    <a:ln>
                      <a:noFill/>
                    </a:ln>
                  </pic:spPr>
                </pic:pic>
              </a:graphicData>
            </a:graphic>
          </wp:inline>
        </w:drawing>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图</w:t>
      </w:r>
      <w:r>
        <w:rPr>
          <w:rFonts w:ascii="宋体" w:hAnsi="宋体" w:cs="宋体" w:hint="eastAsia"/>
          <w:sz w:val="24"/>
          <w:szCs w:val="24"/>
          <w:lang w:val="en-US" w:eastAsia="zh-CN"/>
        </w:rPr>
        <w:t>3</w:t>
      </w:r>
      <w:r>
        <w:rPr>
          <w:rFonts w:ascii="宋体" w:eastAsia="宋体" w:hAnsi="宋体" w:cs="宋体" w:hint="eastAsia"/>
          <w:sz w:val="24"/>
          <w:szCs w:val="24"/>
          <w:lang w:val="en-US" w:eastAsia="zh-CN"/>
        </w:rPr>
        <w:t>.1消费者使用的直播电商平台情况</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3"/>
        <w:rPr>
          <w:rFonts w:ascii="宋体" w:hAnsi="宋体" w:cs="宋体" w:hint="eastAsia"/>
          <w:sz w:val="24"/>
        </w:rPr>
      </w:pPr>
      <w:r>
        <w:rPr>
          <w:rFonts w:ascii="宋体" w:eastAsia="宋体" w:hAnsi="宋体" w:cs="宋体" w:hint="eastAsia"/>
          <w:sz w:val="24"/>
          <w:szCs w:val="24"/>
          <w:lang w:val="en-US" w:eastAsia="zh-CN"/>
        </w:rPr>
        <w:t>（2）主要使用的平台分析</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sz w:val="24"/>
        </w:rPr>
      </w:pPr>
      <w:r>
        <w:rPr>
          <w:rFonts w:ascii="宋体" w:eastAsia="宋体" w:hAnsi="宋体" w:cs="宋体" w:hint="eastAsia"/>
          <w:sz w:val="24"/>
          <w:szCs w:val="24"/>
          <w:lang w:val="en-US" w:eastAsia="zh-CN"/>
        </w:rPr>
        <w:t>消费者使用直播电商平台的数量的情况发现，超过一半的受试者主要使用一个且偶尔使用其他平台，39.6%的人同时使用多个平台，表明绝大多数受试者有使用多个直播电商平台的经历。进一步分析消费者主要使用的直播电商平台，发现59.5%的受试者主要使用的平台是淘宝电商平台，23.3%的选择的是抖音内容平台。可见，淘宝平台的服装直播消费者群体数量大大领先于抖音及其他平台。其次，受试者主要使用的平台选择依次是京东、拼多多、快手、唯品会，排名与消费者使用的直播平台较为一致，见图</w:t>
      </w:r>
      <w:r>
        <w:rPr>
          <w:rFonts w:ascii="宋体" w:hAnsi="宋体" w:cs="宋体" w:hint="eastAsia"/>
          <w:sz w:val="24"/>
          <w:szCs w:val="24"/>
          <w:lang w:val="en-US" w:eastAsia="zh-CN"/>
        </w:rPr>
        <w:t>3</w:t>
      </w:r>
      <w:r>
        <w:rPr>
          <w:rFonts w:ascii="宋体" w:eastAsia="宋体" w:hAnsi="宋体" w:cs="宋体" w:hint="eastAsia"/>
          <w:sz w:val="24"/>
          <w:szCs w:val="24"/>
          <w:lang w:val="en-US" w:eastAsia="zh-CN"/>
        </w:rPr>
        <w:t>.2和</w:t>
      </w:r>
      <w:r>
        <w:rPr>
          <w:rFonts w:ascii="宋体" w:hAnsi="宋体" w:cs="宋体" w:hint="eastAsia"/>
          <w:sz w:val="24"/>
          <w:szCs w:val="24"/>
          <w:lang w:val="en-US" w:eastAsia="zh-CN"/>
        </w:rPr>
        <w:t>3</w:t>
      </w:r>
      <w:r>
        <w:rPr>
          <w:rFonts w:ascii="宋体" w:eastAsia="宋体" w:hAnsi="宋体" w:cs="宋体" w:hint="eastAsia"/>
          <w:sz w:val="24"/>
          <w:szCs w:val="24"/>
          <w:lang w:val="en-US" w:eastAsia="zh-CN"/>
        </w:rPr>
        <w:t>.3。</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rPr>
        <w:drawing>
          <wp:inline distT="0" distB="0" distL="114300" distR="114300">
            <wp:extent cx="3519805" cy="2492375"/>
            <wp:effectExtent l="0" t="0" r="4445" b="31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6"/>
                    <a:stretch>
                      <a:fillRect/>
                    </a:stretch>
                  </pic:blipFill>
                  <pic:spPr>
                    <a:xfrm>
                      <a:off x="0" y="0"/>
                      <a:ext cx="3519805" cy="2492375"/>
                    </a:xfrm>
                    <a:prstGeom prst="rect">
                      <a:avLst/>
                    </a:prstGeom>
                    <a:noFill/>
                    <a:ln>
                      <a:noFill/>
                    </a:ln>
                  </pic:spPr>
                </pic:pic>
              </a:graphicData>
            </a:graphic>
          </wp:inline>
        </w:drawing>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sectPr>
          <w:type w:val="nextPage"/>
          <w:pgSz w:w="11906" w:h="16838"/>
          <w:pgMar w:top="1440" w:right="1800" w:bottom="1440" w:left="1800" w:header="851" w:footer="992" w:gutter="0"/>
          <w:pgNumType w:start="7"/>
          <w:cols w:num="1" w:space="425"/>
          <w:titlePg w:val="0"/>
          <w:docGrid w:type="lines" w:linePitch="312" w:charSpace="0"/>
        </w:sectPr>
      </w:pPr>
      <w:r>
        <w:rPr>
          <w:rFonts w:ascii="宋体" w:eastAsia="宋体" w:hAnsi="宋体" w:cs="宋体" w:hint="eastAsia"/>
          <w:sz w:val="24"/>
          <w:szCs w:val="24"/>
          <w:lang w:val="en-US" w:eastAsia="zh-CN"/>
        </w:rPr>
        <w:t>图</w:t>
      </w:r>
      <w:r>
        <w:rPr>
          <w:rFonts w:ascii="宋体" w:hAnsi="宋体" w:cs="宋体" w:hint="eastAsia"/>
          <w:sz w:val="24"/>
          <w:szCs w:val="24"/>
          <w:lang w:val="en-US" w:eastAsia="zh-CN"/>
        </w:rPr>
        <w:t>3</w:t>
      </w:r>
      <w:r>
        <w:rPr>
          <w:rFonts w:ascii="宋体" w:eastAsia="宋体" w:hAnsi="宋体" w:cs="宋体" w:hint="eastAsia"/>
          <w:sz w:val="24"/>
          <w:szCs w:val="24"/>
          <w:lang w:val="en-US" w:eastAsia="zh-CN"/>
        </w:rPr>
        <w:t>.2消费者使用直播电商平台的数量的情况</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rPr>
        <w:drawing>
          <wp:inline distT="0" distB="0" distL="114300" distR="114300">
            <wp:extent cx="3449320" cy="2514600"/>
            <wp:effectExtent l="0" t="0" r="1778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7"/>
                    <a:stretch>
                      <a:fillRect/>
                    </a:stretch>
                  </pic:blipFill>
                  <pic:spPr>
                    <a:xfrm>
                      <a:off x="0" y="0"/>
                      <a:ext cx="3449320" cy="2514600"/>
                    </a:xfrm>
                    <a:prstGeom prst="rect">
                      <a:avLst/>
                    </a:prstGeom>
                    <a:noFill/>
                    <a:ln>
                      <a:noFill/>
                    </a:ln>
                  </pic:spPr>
                </pic:pic>
              </a:graphicData>
            </a:graphic>
          </wp:inline>
        </w:drawing>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图</w:t>
      </w:r>
      <w:r>
        <w:rPr>
          <w:rFonts w:ascii="宋体" w:hAnsi="宋体" w:cs="宋体" w:hint="eastAsia"/>
          <w:sz w:val="24"/>
          <w:szCs w:val="24"/>
          <w:lang w:val="en-US" w:eastAsia="zh-CN"/>
        </w:rPr>
        <w:t>3</w:t>
      </w:r>
      <w:r>
        <w:rPr>
          <w:rFonts w:ascii="宋体" w:eastAsia="宋体" w:hAnsi="宋体" w:cs="宋体" w:hint="eastAsia"/>
          <w:sz w:val="24"/>
          <w:szCs w:val="24"/>
          <w:lang w:val="en-US" w:eastAsia="zh-CN"/>
        </w:rPr>
        <w:t>.3消费者主要使用的直播电商平台通过分析</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sz w:val="24"/>
        </w:rPr>
      </w:pPr>
      <w:r>
        <w:rPr>
          <w:rFonts w:ascii="宋体" w:eastAsia="宋体" w:hAnsi="宋体" w:cs="宋体" w:hint="eastAsia"/>
          <w:sz w:val="24"/>
          <w:szCs w:val="24"/>
          <w:lang w:val="en-US" w:eastAsia="zh-CN"/>
        </w:rPr>
        <w:t>消费者使用平台的情况，可以发现目前各类直播电商平台相比，淘宝电商和抖音内容平台的普及率更高，也是大多数消费者主要使用的平台，两者消费群体基础相对较好，这也是本文选择淘宝和抖音两个直播电商平台作为分析对象的原因。</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2"/>
        <w:rPr>
          <w:rFonts w:ascii="宋体" w:hAnsi="宋体" w:cs="宋体" w:hint="eastAsia"/>
          <w:b/>
          <w:bCs/>
          <w:color w:val="171A1D"/>
          <w:sz w:val="24"/>
          <w:shd w:val="clear" w:color="auto" w:fill="FFFFFF"/>
        </w:rPr>
      </w:pPr>
      <w:r>
        <w:rPr>
          <w:rFonts w:ascii="宋体" w:eastAsia="宋体" w:hAnsi="宋体" w:cs="宋体" w:hint="eastAsia"/>
          <w:b/>
          <w:bCs/>
          <w:color w:val="171A1D"/>
          <w:sz w:val="24"/>
          <w:szCs w:val="24"/>
          <w:shd w:val="clear" w:color="auto" w:fill="FFFFFF"/>
          <w:lang w:val="en-US" w:eastAsia="zh-CN"/>
        </w:rPr>
        <w:t>3.3.2平台消费者个体属性与经济属性</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3"/>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（1）消费者个体属性根据数据分析</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消费者的个体属性，分为性别、年龄段、学历和职业四类数据。从性别数据来看，淘宝平台的女性消费者比例较高，达到70.4%，女性与男性比超过2：1。相比之下，抖音平台男女比例差异小且男性占比略低于女性；从年龄段数据来看，两平台服装直播消费者年龄主要集中在18-24和25-35岁两个年龄段，占比之和分别为92.1%和92.1%。从学历来看，两平台的消费者大多集中在本科学历，分别为75.6%和78.1%；从职业的数据来看，两平台相对占比最高的主要是企业员工和在校学生两个群体，具体比例：淘宝平台为71.1%和19.7%、抖音76.2%和10.3%。两个直播电商平台消费者个体属性描述性分析结果见表</w:t>
      </w:r>
      <w:r>
        <w:rPr>
          <w:rFonts w:ascii="宋体" w:hAnsi="宋体" w:cs="宋体" w:hint="eastAsia"/>
          <w:b w:val="0"/>
          <w:bCs w:val="0"/>
          <w:color w:val="171A1D"/>
          <w:sz w:val="24"/>
          <w:szCs w:val="24"/>
          <w:shd w:val="clear" w:color="auto" w:fill="FFFFFF"/>
          <w:lang w:val="en-US" w:eastAsia="zh-CN"/>
        </w:rPr>
        <w:t>3.3</w:t>
      </w:r>
      <w:r>
        <w:rPr>
          <w:rFonts w:ascii="宋体" w:eastAsia="宋体" w:hAnsi="宋体" w:cs="宋体" w:hint="eastAsia"/>
          <w:b w:val="0"/>
          <w:bCs w:val="0"/>
          <w:color w:val="171A1D"/>
          <w:sz w:val="24"/>
          <w:szCs w:val="24"/>
          <w:shd w:val="clear" w:color="auto" w:fill="FFFFFF"/>
          <w:lang w:val="en-US" w:eastAsia="zh-CN"/>
        </w:rPr>
        <w:t>。</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b w:val="0"/>
          <w:bCs w:val="0"/>
          <w:color w:val="171A1D"/>
          <w:sz w:val="24"/>
          <w:szCs w:val="24"/>
          <w:shd w:val="clear" w:color="auto" w:fill="FFFFFF"/>
          <w:lang w:val="en-US" w:eastAsia="zh-CN"/>
        </w:rPr>
        <w:t>表</w:t>
      </w:r>
      <w:r>
        <w:rPr>
          <w:rFonts w:ascii="宋体" w:hAnsi="宋体" w:cs="宋体" w:hint="eastAsia"/>
          <w:b w:val="0"/>
          <w:bCs w:val="0"/>
          <w:color w:val="171A1D"/>
          <w:sz w:val="24"/>
          <w:szCs w:val="24"/>
          <w:shd w:val="clear" w:color="auto" w:fill="FFFFFF"/>
          <w:lang w:val="en-US" w:eastAsia="zh-CN"/>
        </w:rPr>
        <w:t>3.2</w:t>
      </w:r>
      <w:r>
        <w:rPr>
          <w:rFonts w:ascii="宋体" w:eastAsia="宋体" w:hAnsi="宋体" w:cs="宋体" w:hint="eastAsia"/>
          <w:b w:val="0"/>
          <w:bCs w:val="0"/>
          <w:color w:val="171A1D"/>
          <w:sz w:val="24"/>
          <w:szCs w:val="24"/>
          <w:shd w:val="clear" w:color="auto" w:fill="FFFFFF"/>
          <w:lang w:val="en-US" w:eastAsia="zh-CN"/>
        </w:rPr>
        <w:t>个体属性描述性统计</w:t>
      </w:r>
    </w:p>
    <w:tbl>
      <w:tblPr>
        <w:tblStyle w:val="TableNormal01"/>
        <w:tblW w:w="773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459"/>
        <w:gridCol w:w="2119"/>
        <w:gridCol w:w="1539"/>
        <w:gridCol w:w="1616"/>
      </w:tblGrid>
      <w:tr>
        <w:tblPrEx>
          <w:tblW w:w="773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31"/>
          <w:jc w:val="center"/>
        </w:trPr>
        <w:tc>
          <w:tcPr>
            <w:tcW w:w="2459" w:type="dxa"/>
            <w:vMerge w:val="restart"/>
            <w:tcBorders>
              <w:left w:val="nil"/>
              <w:right w:val="nil"/>
            </w:tcBorders>
            <w:vAlign w:val="center"/>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变量名称</w:t>
            </w:r>
          </w:p>
        </w:tc>
        <w:tc>
          <w:tcPr>
            <w:tcW w:w="2119" w:type="dxa"/>
            <w:vMerge w:val="restart"/>
            <w:tcBorders>
              <w:left w:val="nil"/>
              <w:right w:val="nil"/>
            </w:tcBorders>
            <w:vAlign w:val="center"/>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变量值</w:t>
            </w:r>
          </w:p>
        </w:tc>
        <w:tc>
          <w:tcPr>
            <w:tcW w:w="1539" w:type="dxa"/>
            <w:tcBorders>
              <w:left w:val="nil"/>
              <w:right w:val="nil"/>
            </w:tcBorders>
            <w:vAlign w:val="center"/>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淘宝/%</w:t>
            </w:r>
          </w:p>
        </w:tc>
        <w:tc>
          <w:tcPr>
            <w:tcW w:w="1616" w:type="dxa"/>
            <w:tcBorders>
              <w:left w:val="nil"/>
              <w:right w:val="nil"/>
            </w:tcBorders>
            <w:vAlign w:val="center"/>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default"/>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抖音/%</w:t>
            </w:r>
          </w:p>
        </w:tc>
      </w:tr>
      <w:tr>
        <w:tblPrEx>
          <w:tblW w:w="7733" w:type="dxa"/>
          <w:jc w:val="center"/>
          <w:tblLayout w:type="fixed"/>
          <w:tblCellMar>
            <w:top w:w="0" w:type="dxa"/>
            <w:left w:w="0" w:type="dxa"/>
            <w:bottom w:w="0" w:type="dxa"/>
            <w:right w:w="0" w:type="dxa"/>
          </w:tblCellMar>
        </w:tblPrEx>
        <w:trPr>
          <w:trHeight w:val="287"/>
          <w:jc w:val="center"/>
        </w:trPr>
        <w:tc>
          <w:tcPr>
            <w:tcW w:w="2459" w:type="dxa"/>
            <w:vMerge/>
            <w:tcBorders>
              <w:left w:val="nil"/>
              <w:right w:val="nil"/>
            </w:tcBorders>
            <w:vAlign w:val="center"/>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p>
        </w:tc>
        <w:tc>
          <w:tcPr>
            <w:tcW w:w="2119" w:type="dxa"/>
            <w:vMerge/>
            <w:tcBorders>
              <w:left w:val="nil"/>
              <w:right w:val="nil"/>
            </w:tcBorders>
            <w:vAlign w:val="center"/>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p>
        </w:tc>
        <w:tc>
          <w:tcPr>
            <w:tcW w:w="1539" w:type="dxa"/>
            <w:tcBorders>
              <w:left w:val="nil"/>
              <w:right w:val="nil"/>
            </w:tcBorders>
            <w:vAlign w:val="center"/>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n=425</w:t>
            </w:r>
          </w:p>
        </w:tc>
        <w:tc>
          <w:tcPr>
            <w:tcW w:w="1616" w:type="dxa"/>
            <w:tcBorders>
              <w:left w:val="nil"/>
              <w:right w:val="nil"/>
            </w:tcBorders>
            <w:vAlign w:val="center"/>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n=166</w:t>
            </w:r>
          </w:p>
        </w:tc>
      </w:tr>
      <w:tr>
        <w:tblPrEx>
          <w:tblW w:w="7733" w:type="dxa"/>
          <w:jc w:val="center"/>
          <w:tblLayout w:type="fixed"/>
          <w:tblCellMar>
            <w:top w:w="0" w:type="dxa"/>
            <w:left w:w="0" w:type="dxa"/>
            <w:bottom w:w="0" w:type="dxa"/>
            <w:right w:w="0" w:type="dxa"/>
          </w:tblCellMar>
        </w:tblPrEx>
        <w:trPr>
          <w:trHeight w:val="382"/>
          <w:jc w:val="center"/>
        </w:trPr>
        <w:tc>
          <w:tcPr>
            <w:tcW w:w="2459" w:type="dxa"/>
            <w:vMerge w:val="restart"/>
            <w:tcBorders>
              <w:left w:val="nil"/>
              <w:right w:val="nil"/>
            </w:tcBorders>
            <w:vAlign w:val="center"/>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default"/>
                <w:b w:val="0"/>
                <w:bCs w:val="0"/>
                <w:color w:val="171A1D"/>
                <w:sz w:val="24"/>
                <w:shd w:val="clear" w:color="auto" w:fill="FFFFFF"/>
              </w:rPr>
            </w:pPr>
            <w:r>
              <w:rPr>
                <w:rFonts w:ascii="宋体" w:hAnsi="宋体" w:cs="宋体" w:hint="eastAsia"/>
                <w:b w:val="0"/>
                <w:bCs w:val="0"/>
                <w:color w:val="171A1D"/>
                <w:sz w:val="24"/>
                <w:szCs w:val="24"/>
                <w:shd w:val="clear" w:color="auto" w:fill="FFFFFF"/>
                <w:lang w:val="en-US" w:eastAsia="zh-CN"/>
              </w:rPr>
              <w:t>性别</w:t>
            </w:r>
          </w:p>
        </w:tc>
        <w:tc>
          <w:tcPr>
            <w:tcW w:w="2119" w:type="dxa"/>
            <w:tcBorders>
              <w:left w:val="nil"/>
              <w:right w:val="nil"/>
            </w:tcBorders>
            <w:vAlign w:val="center"/>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男</w:t>
            </w:r>
          </w:p>
        </w:tc>
        <w:tc>
          <w:tcPr>
            <w:tcW w:w="1539" w:type="dxa"/>
            <w:tcBorders>
              <w:left w:val="nil"/>
              <w:right w:val="nil"/>
            </w:tcBorders>
            <w:vAlign w:val="center"/>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29.6%</w:t>
            </w:r>
          </w:p>
        </w:tc>
        <w:tc>
          <w:tcPr>
            <w:tcW w:w="1616" w:type="dxa"/>
            <w:tcBorders>
              <w:left w:val="nil"/>
              <w:right w:val="nil"/>
            </w:tcBorders>
            <w:vAlign w:val="center"/>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49.2%</w:t>
            </w:r>
          </w:p>
        </w:tc>
      </w:tr>
      <w:tr>
        <w:tblPrEx>
          <w:tblW w:w="7733" w:type="dxa"/>
          <w:jc w:val="center"/>
          <w:tblLayout w:type="fixed"/>
          <w:tblCellMar>
            <w:top w:w="0" w:type="dxa"/>
            <w:left w:w="0" w:type="dxa"/>
            <w:bottom w:w="0" w:type="dxa"/>
            <w:right w:w="0" w:type="dxa"/>
          </w:tblCellMar>
        </w:tblPrEx>
        <w:trPr>
          <w:trHeight w:val="382"/>
          <w:jc w:val="center"/>
        </w:trPr>
        <w:tc>
          <w:tcPr>
            <w:tcW w:w="2459" w:type="dxa"/>
            <w:vMerge/>
            <w:tcBorders>
              <w:left w:val="nil"/>
              <w:right w:val="nil"/>
            </w:tcBorders>
            <w:vAlign w:val="center"/>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p>
        </w:tc>
        <w:tc>
          <w:tcPr>
            <w:tcW w:w="2119" w:type="dxa"/>
            <w:tcBorders>
              <w:left w:val="nil"/>
              <w:right w:val="nil"/>
            </w:tcBorders>
            <w:vAlign w:val="center"/>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女</w:t>
            </w:r>
          </w:p>
        </w:tc>
        <w:tc>
          <w:tcPr>
            <w:tcW w:w="1539" w:type="dxa"/>
            <w:tcBorders>
              <w:left w:val="nil"/>
              <w:right w:val="nil"/>
            </w:tcBorders>
            <w:vAlign w:val="center"/>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70.4%</w:t>
            </w:r>
          </w:p>
        </w:tc>
        <w:tc>
          <w:tcPr>
            <w:tcW w:w="1616" w:type="dxa"/>
            <w:tcBorders>
              <w:left w:val="nil"/>
              <w:right w:val="nil"/>
            </w:tcBorders>
            <w:vAlign w:val="center"/>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50.8%</w:t>
            </w:r>
          </w:p>
        </w:tc>
      </w:tr>
    </w:tbl>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表</w:t>
      </w:r>
      <w:r>
        <w:rPr>
          <w:rFonts w:ascii="宋体" w:hAnsi="宋体" w:cs="宋体" w:hint="eastAsia"/>
          <w:sz w:val="24"/>
          <w:szCs w:val="24"/>
          <w:lang w:val="en-US" w:eastAsia="zh-CN"/>
        </w:rPr>
        <w:t>3.3</w:t>
      </w:r>
      <w:r>
        <w:rPr>
          <w:rFonts w:ascii="宋体" w:eastAsia="宋体" w:hAnsi="宋体" w:cs="宋体" w:hint="eastAsia"/>
          <w:sz w:val="24"/>
          <w:szCs w:val="24"/>
          <w:lang w:val="en-US" w:eastAsia="zh-CN"/>
        </w:rPr>
        <w:t>续个体属性描述性统计</w:t>
      </w:r>
    </w:p>
    <w:tbl>
      <w:tblPr>
        <w:tblStyle w:val="TableNormal01"/>
        <w:tblW w:w="7750" w:type="dxa"/>
        <w:jc w:val="center"/>
        <w:tblBorders>
          <w:top w:val="nil"/>
          <w:left w:val="nil"/>
          <w:bottom w:val="nil"/>
          <w:right w:val="nil"/>
          <w:insideH w:val="nil"/>
          <w:insideV w:val="nil"/>
        </w:tblBorders>
        <w:tblLayout w:type="fixed"/>
        <w:tblCellMar>
          <w:top w:w="0" w:type="dxa"/>
          <w:left w:w="0" w:type="dxa"/>
          <w:bottom w:w="0" w:type="dxa"/>
          <w:right w:w="0" w:type="dxa"/>
        </w:tblCellMar>
      </w:tblPr>
      <w:tblGrid>
        <w:gridCol w:w="1485"/>
        <w:gridCol w:w="2018"/>
        <w:gridCol w:w="1950"/>
        <w:gridCol w:w="2297"/>
      </w:tblGrid>
      <w:tr>
        <w:tblPrEx>
          <w:tblW w:w="7750" w:type="dxa"/>
          <w:jc w:val="center"/>
          <w:tblBorders>
            <w:top w:val="nil"/>
            <w:left w:val="nil"/>
            <w:bottom w:val="nil"/>
            <w:right w:val="nil"/>
            <w:insideH w:val="nil"/>
            <w:insideV w:val="nil"/>
          </w:tblBorders>
          <w:tblLayout w:type="fixed"/>
          <w:tblCellMar>
            <w:top w:w="0" w:type="dxa"/>
            <w:left w:w="0" w:type="dxa"/>
            <w:bottom w:w="0" w:type="dxa"/>
            <w:right w:w="0" w:type="dxa"/>
          </w:tblCellMar>
        </w:tblPrEx>
        <w:trPr>
          <w:trHeight w:val="494"/>
          <w:jc w:val="center"/>
        </w:trPr>
        <w:tc>
          <w:tcPr>
            <w:tcW w:w="1485" w:type="dxa"/>
            <w:tcBorders>
              <w:top w:val="single" w:sz="4" w:space="0" w:color="000000"/>
              <w:bottom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变量名称</w:t>
            </w:r>
          </w:p>
        </w:tc>
        <w:tc>
          <w:tcPr>
            <w:tcW w:w="2018" w:type="dxa"/>
            <w:tcBorders>
              <w:top w:val="single" w:sz="4" w:space="0" w:color="000000"/>
              <w:bottom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变量值</w:t>
            </w:r>
          </w:p>
        </w:tc>
        <w:tc>
          <w:tcPr>
            <w:tcW w:w="1950" w:type="dxa"/>
            <w:tcBorders>
              <w:top w:val="single" w:sz="4" w:space="0" w:color="000000"/>
              <w:bottom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淘宝/%</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n=425</w:t>
            </w:r>
          </w:p>
        </w:tc>
        <w:tc>
          <w:tcPr>
            <w:tcW w:w="2297" w:type="dxa"/>
            <w:tcBorders>
              <w:top w:val="single" w:sz="4" w:space="0" w:color="000000"/>
              <w:bottom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抖音/%</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n=166</w:t>
            </w:r>
          </w:p>
        </w:tc>
      </w:tr>
      <w:tr>
        <w:tblPrEx>
          <w:tblW w:w="7750" w:type="dxa"/>
          <w:jc w:val="center"/>
          <w:tblLayout w:type="fixed"/>
          <w:tblCellMar>
            <w:top w:w="0" w:type="dxa"/>
            <w:left w:w="0" w:type="dxa"/>
            <w:bottom w:w="0" w:type="dxa"/>
            <w:right w:w="0" w:type="dxa"/>
          </w:tblCellMar>
        </w:tblPrEx>
        <w:trPr>
          <w:trHeight w:val="250"/>
          <w:jc w:val="center"/>
        </w:trPr>
        <w:tc>
          <w:tcPr>
            <w:tcW w:w="1485" w:type="dxa"/>
            <w:vMerge w:val="restart"/>
            <w:tcBorders>
              <w:top w:val="single" w:sz="4" w:space="0" w:color="000000"/>
              <w:bottom w:val="nil"/>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年龄</w:t>
            </w:r>
          </w:p>
        </w:tc>
        <w:tc>
          <w:tcPr>
            <w:tcW w:w="2018" w:type="dxa"/>
            <w:tcBorders>
              <w:top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18岁以下</w:t>
            </w:r>
          </w:p>
        </w:tc>
        <w:tc>
          <w:tcPr>
            <w:tcW w:w="1950" w:type="dxa"/>
            <w:tcBorders>
              <w:top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0.7%</w:t>
            </w:r>
          </w:p>
        </w:tc>
        <w:tc>
          <w:tcPr>
            <w:tcW w:w="2297" w:type="dxa"/>
            <w:tcBorders>
              <w:top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0.0%</w:t>
            </w:r>
          </w:p>
        </w:tc>
      </w:tr>
      <w:tr>
        <w:tblPrEx>
          <w:tblW w:w="7750" w:type="dxa"/>
          <w:jc w:val="center"/>
          <w:tblLayout w:type="fixed"/>
          <w:tblCellMar>
            <w:top w:w="0" w:type="dxa"/>
            <w:left w:w="0" w:type="dxa"/>
            <w:bottom w:w="0" w:type="dxa"/>
            <w:right w:w="0" w:type="dxa"/>
          </w:tblCellMar>
        </w:tblPrEx>
        <w:trPr>
          <w:trHeight w:val="366"/>
          <w:jc w:val="center"/>
        </w:trPr>
        <w:tc>
          <w:tcPr>
            <w:tcW w:w="1485" w:type="dxa"/>
            <w:vMerge/>
            <w:tcBorders>
              <w:top w:val="nil"/>
              <w:bottom w:val="nil"/>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p>
        </w:tc>
        <w:tc>
          <w:tcPr>
            <w:tcW w:w="2018"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18-24岁</w:t>
            </w:r>
          </w:p>
        </w:tc>
        <w:tc>
          <w:tcPr>
            <w:tcW w:w="1950"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31.3%</w:t>
            </w:r>
          </w:p>
        </w:tc>
        <w:tc>
          <w:tcPr>
            <w:tcW w:w="2297"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31.0%</w:t>
            </w:r>
          </w:p>
        </w:tc>
      </w:tr>
      <w:tr>
        <w:tblPrEx>
          <w:tblW w:w="7750" w:type="dxa"/>
          <w:jc w:val="center"/>
          <w:tblLayout w:type="fixed"/>
          <w:tblCellMar>
            <w:top w:w="0" w:type="dxa"/>
            <w:left w:w="0" w:type="dxa"/>
            <w:bottom w:w="0" w:type="dxa"/>
            <w:right w:w="0" w:type="dxa"/>
          </w:tblCellMar>
        </w:tblPrEx>
        <w:trPr>
          <w:trHeight w:val="269"/>
          <w:jc w:val="center"/>
        </w:trPr>
        <w:tc>
          <w:tcPr>
            <w:tcW w:w="1485" w:type="dxa"/>
            <w:vMerge/>
            <w:tcBorders>
              <w:top w:val="nil"/>
              <w:bottom w:val="nil"/>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p>
        </w:tc>
        <w:tc>
          <w:tcPr>
            <w:tcW w:w="2018"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25-35岁</w:t>
            </w:r>
          </w:p>
        </w:tc>
        <w:tc>
          <w:tcPr>
            <w:tcW w:w="1950"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61.6%</w:t>
            </w:r>
          </w:p>
        </w:tc>
        <w:tc>
          <w:tcPr>
            <w:tcW w:w="2297"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61.1%</w:t>
            </w:r>
          </w:p>
        </w:tc>
      </w:tr>
      <w:tr>
        <w:tblPrEx>
          <w:tblW w:w="7750" w:type="dxa"/>
          <w:jc w:val="center"/>
          <w:tblLayout w:type="fixed"/>
          <w:tblCellMar>
            <w:top w:w="0" w:type="dxa"/>
            <w:left w:w="0" w:type="dxa"/>
            <w:bottom w:w="0" w:type="dxa"/>
            <w:right w:w="0" w:type="dxa"/>
          </w:tblCellMar>
        </w:tblPrEx>
        <w:trPr>
          <w:trHeight w:val="235"/>
          <w:jc w:val="center"/>
        </w:trPr>
        <w:tc>
          <w:tcPr>
            <w:tcW w:w="1485" w:type="dxa"/>
            <w:vMerge/>
            <w:tcBorders>
              <w:top w:val="nil"/>
              <w:bottom w:val="nil"/>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p>
        </w:tc>
        <w:tc>
          <w:tcPr>
            <w:tcW w:w="2018"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36-45岁</w:t>
            </w:r>
          </w:p>
        </w:tc>
        <w:tc>
          <w:tcPr>
            <w:tcW w:w="1950"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5.6%</w:t>
            </w:r>
          </w:p>
        </w:tc>
        <w:tc>
          <w:tcPr>
            <w:tcW w:w="2297"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6.4%</w:t>
            </w:r>
          </w:p>
        </w:tc>
      </w:tr>
      <w:tr>
        <w:tblPrEx>
          <w:tblW w:w="7750" w:type="dxa"/>
          <w:jc w:val="center"/>
          <w:tblLayout w:type="fixed"/>
          <w:tblCellMar>
            <w:top w:w="0" w:type="dxa"/>
            <w:left w:w="0" w:type="dxa"/>
            <w:bottom w:w="0" w:type="dxa"/>
            <w:right w:w="0" w:type="dxa"/>
          </w:tblCellMar>
        </w:tblPrEx>
        <w:trPr>
          <w:trHeight w:val="240"/>
          <w:jc w:val="center"/>
        </w:trPr>
        <w:tc>
          <w:tcPr>
            <w:tcW w:w="1485" w:type="dxa"/>
            <w:vMerge/>
            <w:tcBorders>
              <w:top w:val="nil"/>
              <w:bottom w:val="nil"/>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p>
        </w:tc>
        <w:tc>
          <w:tcPr>
            <w:tcW w:w="2018"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46-60岁</w:t>
            </w:r>
          </w:p>
        </w:tc>
        <w:tc>
          <w:tcPr>
            <w:tcW w:w="1950"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0.7%</w:t>
            </w:r>
          </w:p>
        </w:tc>
        <w:tc>
          <w:tcPr>
            <w:tcW w:w="2297"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1.6%</w:t>
            </w:r>
          </w:p>
        </w:tc>
      </w:tr>
      <w:tr>
        <w:tblPrEx>
          <w:tblW w:w="7750" w:type="dxa"/>
          <w:jc w:val="center"/>
          <w:tblLayout w:type="fixed"/>
          <w:tblCellMar>
            <w:top w:w="0" w:type="dxa"/>
            <w:left w:w="0" w:type="dxa"/>
            <w:bottom w:w="0" w:type="dxa"/>
            <w:right w:w="0" w:type="dxa"/>
          </w:tblCellMar>
        </w:tblPrEx>
        <w:trPr>
          <w:trHeight w:val="239"/>
          <w:jc w:val="center"/>
        </w:trPr>
        <w:tc>
          <w:tcPr>
            <w:tcW w:w="1485" w:type="dxa"/>
            <w:vMerge/>
            <w:tcBorders>
              <w:top w:val="nil"/>
              <w:bottom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p>
        </w:tc>
        <w:tc>
          <w:tcPr>
            <w:tcW w:w="2018" w:type="dxa"/>
            <w:tcBorders>
              <w:bottom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60岁以上</w:t>
            </w:r>
          </w:p>
        </w:tc>
        <w:tc>
          <w:tcPr>
            <w:tcW w:w="1950" w:type="dxa"/>
            <w:tcBorders>
              <w:bottom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0.0%</w:t>
            </w:r>
          </w:p>
        </w:tc>
        <w:tc>
          <w:tcPr>
            <w:tcW w:w="2297" w:type="dxa"/>
            <w:tcBorders>
              <w:bottom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0.0%</w:t>
            </w:r>
          </w:p>
        </w:tc>
      </w:tr>
    </w:tbl>
    <w:p>
      <w:pPr>
        <w:sectPr>
          <w:type w:val="nextPage"/>
          <w:pgSz w:w="11906" w:h="16838"/>
          <w:pgMar w:top="1440" w:right="1800" w:bottom="1440" w:left="1800" w:header="851" w:footer="992" w:gutter="0"/>
          <w:pgNumType w:start="8"/>
          <w:cols w:num="1" w:space="425"/>
          <w:titlePg w:val="0"/>
          <w:docGrid w:type="lines" w:linePitch="312" w:charSpace="0"/>
        </w:sectPr>
      </w:pPr>
    </w:p>
    <w:tbl>
      <w:tblPr>
        <w:tblStyle w:val="TableNormal02"/>
        <w:tblW w:w="7750" w:type="dxa"/>
        <w:jc w:val="center"/>
        <w:tblBorders>
          <w:top w:val="nil"/>
          <w:left w:val="nil"/>
          <w:bottom w:val="nil"/>
          <w:right w:val="nil"/>
          <w:insideH w:val="nil"/>
          <w:insideV w:val="nil"/>
        </w:tblBorders>
        <w:tblLayout w:type="fixed"/>
        <w:tblCellMar>
          <w:top w:w="0" w:type="dxa"/>
          <w:left w:w="0" w:type="dxa"/>
          <w:bottom w:w="0" w:type="dxa"/>
          <w:right w:w="0" w:type="dxa"/>
        </w:tblCellMar>
      </w:tblPr>
      <w:tblGrid>
        <w:gridCol w:w="1485"/>
        <w:gridCol w:w="2018"/>
        <w:gridCol w:w="1950"/>
        <w:gridCol w:w="2297"/>
      </w:tblGrid>
      <w:tr>
        <w:tblPrEx>
          <w:tblW w:w="7750" w:type="dxa"/>
          <w:jc w:val="center"/>
          <w:tblBorders>
            <w:top w:val="nil"/>
            <w:left w:val="nil"/>
            <w:bottom w:val="nil"/>
            <w:right w:val="nil"/>
            <w:insideH w:val="nil"/>
            <w:insideV w:val="nil"/>
          </w:tblBorders>
          <w:tblLayout w:type="fixed"/>
          <w:tblCellMar>
            <w:top w:w="0" w:type="dxa"/>
            <w:left w:w="0" w:type="dxa"/>
            <w:bottom w:w="0" w:type="dxa"/>
            <w:right w:w="0" w:type="dxa"/>
          </w:tblCellMar>
        </w:tblPrEx>
        <w:trPr>
          <w:trHeight w:val="254"/>
          <w:jc w:val="center"/>
        </w:trPr>
        <w:tc>
          <w:tcPr>
            <w:tcW w:w="1485" w:type="dxa"/>
            <w:vMerge w:val="restart"/>
            <w:tcBorders>
              <w:top w:val="single" w:sz="4" w:space="0" w:color="000000"/>
              <w:bottom w:val="nil"/>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学历</w:t>
            </w:r>
          </w:p>
        </w:tc>
        <w:tc>
          <w:tcPr>
            <w:tcW w:w="2018" w:type="dxa"/>
            <w:tcBorders>
              <w:top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高中及以下</w:t>
            </w:r>
          </w:p>
        </w:tc>
        <w:tc>
          <w:tcPr>
            <w:tcW w:w="1950" w:type="dxa"/>
            <w:tcBorders>
              <w:top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3.1%</w:t>
            </w:r>
          </w:p>
        </w:tc>
        <w:tc>
          <w:tcPr>
            <w:tcW w:w="2297" w:type="dxa"/>
            <w:tcBorders>
              <w:top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2.4%</w:t>
            </w:r>
          </w:p>
        </w:tc>
      </w:tr>
      <w:tr>
        <w:tblPrEx>
          <w:tblW w:w="7750" w:type="dxa"/>
          <w:jc w:val="center"/>
          <w:tblLayout w:type="fixed"/>
          <w:tblCellMar>
            <w:top w:w="0" w:type="dxa"/>
            <w:left w:w="0" w:type="dxa"/>
            <w:bottom w:w="0" w:type="dxa"/>
            <w:right w:w="0" w:type="dxa"/>
          </w:tblCellMar>
        </w:tblPrEx>
        <w:trPr>
          <w:trHeight w:val="259"/>
          <w:jc w:val="center"/>
        </w:trPr>
        <w:tc>
          <w:tcPr>
            <w:tcW w:w="1485" w:type="dxa"/>
            <w:vMerge/>
            <w:tcBorders>
              <w:top w:val="nil"/>
              <w:bottom w:val="nil"/>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p>
        </w:tc>
        <w:tc>
          <w:tcPr>
            <w:tcW w:w="2018"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大专</w:t>
            </w:r>
          </w:p>
        </w:tc>
        <w:tc>
          <w:tcPr>
            <w:tcW w:w="1950"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11.5%</w:t>
            </w:r>
          </w:p>
        </w:tc>
        <w:tc>
          <w:tcPr>
            <w:tcW w:w="2297"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10.3%</w:t>
            </w:r>
          </w:p>
        </w:tc>
      </w:tr>
      <w:tr>
        <w:tblPrEx>
          <w:tblW w:w="7750" w:type="dxa"/>
          <w:jc w:val="center"/>
          <w:tblLayout w:type="fixed"/>
          <w:tblCellMar>
            <w:top w:w="0" w:type="dxa"/>
            <w:left w:w="0" w:type="dxa"/>
            <w:bottom w:w="0" w:type="dxa"/>
            <w:right w:w="0" w:type="dxa"/>
          </w:tblCellMar>
        </w:tblPrEx>
        <w:trPr>
          <w:trHeight w:val="256"/>
          <w:jc w:val="center"/>
        </w:trPr>
        <w:tc>
          <w:tcPr>
            <w:tcW w:w="1485" w:type="dxa"/>
            <w:vMerge/>
            <w:tcBorders>
              <w:top w:val="nil"/>
              <w:bottom w:val="nil"/>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p>
        </w:tc>
        <w:tc>
          <w:tcPr>
            <w:tcW w:w="2018"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大学本科</w:t>
            </w:r>
          </w:p>
        </w:tc>
        <w:tc>
          <w:tcPr>
            <w:tcW w:w="1950"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75.6%</w:t>
            </w:r>
          </w:p>
        </w:tc>
        <w:tc>
          <w:tcPr>
            <w:tcW w:w="2297"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78.1%</w:t>
            </w:r>
          </w:p>
        </w:tc>
      </w:tr>
      <w:tr>
        <w:tblPrEx>
          <w:tblW w:w="7750" w:type="dxa"/>
          <w:jc w:val="center"/>
          <w:tblLayout w:type="fixed"/>
          <w:tblCellMar>
            <w:top w:w="0" w:type="dxa"/>
            <w:left w:w="0" w:type="dxa"/>
            <w:bottom w:w="0" w:type="dxa"/>
            <w:right w:w="0" w:type="dxa"/>
          </w:tblCellMar>
        </w:tblPrEx>
        <w:trPr>
          <w:trHeight w:val="250"/>
          <w:jc w:val="center"/>
        </w:trPr>
        <w:tc>
          <w:tcPr>
            <w:tcW w:w="1485" w:type="dxa"/>
            <w:vMerge/>
            <w:tcBorders>
              <w:top w:val="nil"/>
              <w:bottom w:val="nil"/>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p>
        </w:tc>
        <w:tc>
          <w:tcPr>
            <w:tcW w:w="2018"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硕士</w:t>
            </w:r>
          </w:p>
        </w:tc>
        <w:tc>
          <w:tcPr>
            <w:tcW w:w="1950"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6.9%</w:t>
            </w:r>
          </w:p>
        </w:tc>
        <w:tc>
          <w:tcPr>
            <w:tcW w:w="2297"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7.7%</w:t>
            </w:r>
          </w:p>
        </w:tc>
      </w:tr>
      <w:tr>
        <w:tblPrEx>
          <w:tblW w:w="7750" w:type="dxa"/>
          <w:jc w:val="center"/>
          <w:tblLayout w:type="fixed"/>
          <w:tblCellMar>
            <w:top w:w="0" w:type="dxa"/>
            <w:left w:w="0" w:type="dxa"/>
            <w:bottom w:w="0" w:type="dxa"/>
            <w:right w:w="0" w:type="dxa"/>
          </w:tblCellMar>
        </w:tblPrEx>
        <w:trPr>
          <w:trHeight w:val="239"/>
          <w:jc w:val="center"/>
        </w:trPr>
        <w:tc>
          <w:tcPr>
            <w:tcW w:w="1485" w:type="dxa"/>
            <w:vMerge/>
            <w:tcBorders>
              <w:top w:val="nil"/>
              <w:bottom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p>
        </w:tc>
        <w:tc>
          <w:tcPr>
            <w:tcW w:w="2018" w:type="dxa"/>
            <w:tcBorders>
              <w:bottom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硕士以上</w:t>
            </w:r>
          </w:p>
        </w:tc>
        <w:tc>
          <w:tcPr>
            <w:tcW w:w="1950" w:type="dxa"/>
            <w:tcBorders>
              <w:bottom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3.1%</w:t>
            </w:r>
          </w:p>
        </w:tc>
        <w:tc>
          <w:tcPr>
            <w:tcW w:w="2297" w:type="dxa"/>
            <w:tcBorders>
              <w:bottom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1.5%</w:t>
            </w:r>
          </w:p>
        </w:tc>
      </w:tr>
      <w:tr>
        <w:tblPrEx>
          <w:tblW w:w="7750" w:type="dxa"/>
          <w:jc w:val="center"/>
          <w:tblLayout w:type="fixed"/>
          <w:tblCellMar>
            <w:top w:w="0" w:type="dxa"/>
            <w:left w:w="0" w:type="dxa"/>
            <w:bottom w:w="0" w:type="dxa"/>
            <w:right w:w="0" w:type="dxa"/>
          </w:tblCellMar>
        </w:tblPrEx>
        <w:trPr>
          <w:trHeight w:val="254"/>
          <w:jc w:val="center"/>
        </w:trPr>
        <w:tc>
          <w:tcPr>
            <w:tcW w:w="1485" w:type="dxa"/>
            <w:vMerge w:val="restart"/>
            <w:tcBorders>
              <w:top w:val="single" w:sz="4" w:space="0" w:color="000000"/>
              <w:bottom w:val="nil"/>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职业</w:t>
            </w:r>
          </w:p>
        </w:tc>
        <w:tc>
          <w:tcPr>
            <w:tcW w:w="2018" w:type="dxa"/>
            <w:tcBorders>
              <w:top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企业员工</w:t>
            </w:r>
          </w:p>
        </w:tc>
        <w:tc>
          <w:tcPr>
            <w:tcW w:w="1950" w:type="dxa"/>
            <w:tcBorders>
              <w:top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71.1%</w:t>
            </w:r>
          </w:p>
        </w:tc>
        <w:tc>
          <w:tcPr>
            <w:tcW w:w="2297" w:type="dxa"/>
            <w:tcBorders>
              <w:top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76.2%</w:t>
            </w:r>
          </w:p>
        </w:tc>
      </w:tr>
      <w:tr>
        <w:tblPrEx>
          <w:tblW w:w="7750" w:type="dxa"/>
          <w:jc w:val="center"/>
          <w:tblLayout w:type="fixed"/>
          <w:tblCellMar>
            <w:top w:w="0" w:type="dxa"/>
            <w:left w:w="0" w:type="dxa"/>
            <w:bottom w:w="0" w:type="dxa"/>
            <w:right w:w="0" w:type="dxa"/>
          </w:tblCellMar>
        </w:tblPrEx>
        <w:trPr>
          <w:trHeight w:val="255"/>
          <w:jc w:val="center"/>
        </w:trPr>
        <w:tc>
          <w:tcPr>
            <w:tcW w:w="1485" w:type="dxa"/>
            <w:vMerge/>
            <w:tcBorders>
              <w:top w:val="nil"/>
              <w:bottom w:val="nil"/>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p>
        </w:tc>
        <w:tc>
          <w:tcPr>
            <w:tcW w:w="2018"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政府工作人员</w:t>
            </w:r>
          </w:p>
        </w:tc>
        <w:tc>
          <w:tcPr>
            <w:tcW w:w="1950"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2.8%</w:t>
            </w:r>
          </w:p>
        </w:tc>
        <w:tc>
          <w:tcPr>
            <w:tcW w:w="2297"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2.4%</w:t>
            </w:r>
          </w:p>
        </w:tc>
      </w:tr>
      <w:tr>
        <w:tblPrEx>
          <w:tblW w:w="7750" w:type="dxa"/>
          <w:jc w:val="center"/>
          <w:tblLayout w:type="fixed"/>
          <w:tblCellMar>
            <w:top w:w="0" w:type="dxa"/>
            <w:left w:w="0" w:type="dxa"/>
            <w:bottom w:w="0" w:type="dxa"/>
            <w:right w:w="0" w:type="dxa"/>
          </w:tblCellMar>
        </w:tblPrEx>
        <w:trPr>
          <w:trHeight w:val="269"/>
          <w:jc w:val="center"/>
        </w:trPr>
        <w:tc>
          <w:tcPr>
            <w:tcW w:w="1485" w:type="dxa"/>
            <w:vMerge/>
            <w:tcBorders>
              <w:top w:val="nil"/>
              <w:bottom w:val="nil"/>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p>
        </w:tc>
        <w:tc>
          <w:tcPr>
            <w:tcW w:w="2018"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在校学生</w:t>
            </w:r>
          </w:p>
        </w:tc>
        <w:tc>
          <w:tcPr>
            <w:tcW w:w="1950"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19.7%</w:t>
            </w:r>
          </w:p>
        </w:tc>
        <w:tc>
          <w:tcPr>
            <w:tcW w:w="2297"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10.3%</w:t>
            </w:r>
          </w:p>
        </w:tc>
      </w:tr>
      <w:tr>
        <w:tblPrEx>
          <w:tblW w:w="7750" w:type="dxa"/>
          <w:jc w:val="center"/>
          <w:tblLayout w:type="fixed"/>
          <w:tblCellMar>
            <w:top w:w="0" w:type="dxa"/>
            <w:left w:w="0" w:type="dxa"/>
            <w:bottom w:w="0" w:type="dxa"/>
            <w:right w:w="0" w:type="dxa"/>
          </w:tblCellMar>
        </w:tblPrEx>
        <w:trPr>
          <w:trHeight w:val="265"/>
          <w:jc w:val="center"/>
        </w:trPr>
        <w:tc>
          <w:tcPr>
            <w:tcW w:w="1485" w:type="dxa"/>
            <w:vMerge/>
            <w:tcBorders>
              <w:top w:val="nil"/>
              <w:bottom w:val="nil"/>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p>
        </w:tc>
        <w:tc>
          <w:tcPr>
            <w:tcW w:w="2018"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个体经营者</w:t>
            </w:r>
          </w:p>
        </w:tc>
        <w:tc>
          <w:tcPr>
            <w:tcW w:w="1950"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3.5%</w:t>
            </w:r>
          </w:p>
        </w:tc>
        <w:tc>
          <w:tcPr>
            <w:tcW w:w="2297"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8.7%</w:t>
            </w:r>
          </w:p>
        </w:tc>
      </w:tr>
      <w:tr>
        <w:tblPrEx>
          <w:tblW w:w="7750" w:type="dxa"/>
          <w:jc w:val="center"/>
          <w:tblLayout w:type="fixed"/>
          <w:tblCellMar>
            <w:top w:w="0" w:type="dxa"/>
            <w:left w:w="0" w:type="dxa"/>
            <w:bottom w:w="0" w:type="dxa"/>
            <w:right w:w="0" w:type="dxa"/>
          </w:tblCellMar>
        </w:tblPrEx>
        <w:trPr>
          <w:trHeight w:val="239"/>
          <w:jc w:val="center"/>
        </w:trPr>
        <w:tc>
          <w:tcPr>
            <w:tcW w:w="1485" w:type="dxa"/>
            <w:vMerge/>
            <w:tcBorders>
              <w:top w:val="nil"/>
              <w:bottom w:val="nil"/>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p>
        </w:tc>
        <w:tc>
          <w:tcPr>
            <w:tcW w:w="2018"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自由职业者</w:t>
            </w:r>
          </w:p>
        </w:tc>
        <w:tc>
          <w:tcPr>
            <w:tcW w:w="1950"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0.7%</w:t>
            </w:r>
          </w:p>
        </w:tc>
        <w:tc>
          <w:tcPr>
            <w:tcW w:w="2297"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0.8%</w:t>
            </w:r>
          </w:p>
        </w:tc>
      </w:tr>
      <w:tr>
        <w:tblPrEx>
          <w:tblW w:w="7750" w:type="dxa"/>
          <w:jc w:val="center"/>
          <w:tblLayout w:type="fixed"/>
          <w:tblCellMar>
            <w:top w:w="0" w:type="dxa"/>
            <w:left w:w="0" w:type="dxa"/>
            <w:bottom w:w="0" w:type="dxa"/>
            <w:right w:w="0" w:type="dxa"/>
          </w:tblCellMar>
        </w:tblPrEx>
        <w:trPr>
          <w:trHeight w:val="240"/>
          <w:jc w:val="center"/>
        </w:trPr>
        <w:tc>
          <w:tcPr>
            <w:tcW w:w="1485" w:type="dxa"/>
            <w:vMerge/>
            <w:tcBorders>
              <w:top w:val="nil"/>
              <w:bottom w:val="nil"/>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p>
        </w:tc>
        <w:tc>
          <w:tcPr>
            <w:tcW w:w="2018"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务农人员</w:t>
            </w:r>
          </w:p>
        </w:tc>
        <w:tc>
          <w:tcPr>
            <w:tcW w:w="1950"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0.0%</w:t>
            </w:r>
          </w:p>
        </w:tc>
        <w:tc>
          <w:tcPr>
            <w:tcW w:w="2297"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0.0%</w:t>
            </w:r>
          </w:p>
        </w:tc>
      </w:tr>
      <w:tr>
        <w:tblPrEx>
          <w:tblW w:w="7750" w:type="dxa"/>
          <w:jc w:val="center"/>
          <w:tblLayout w:type="fixed"/>
          <w:tblCellMar>
            <w:top w:w="0" w:type="dxa"/>
            <w:left w:w="0" w:type="dxa"/>
            <w:bottom w:w="0" w:type="dxa"/>
            <w:right w:w="0" w:type="dxa"/>
          </w:tblCellMar>
        </w:tblPrEx>
        <w:trPr>
          <w:trHeight w:val="244"/>
          <w:jc w:val="center"/>
        </w:trPr>
        <w:tc>
          <w:tcPr>
            <w:tcW w:w="1485" w:type="dxa"/>
            <w:vMerge/>
            <w:tcBorders>
              <w:top w:val="nil"/>
              <w:bottom w:val="nil"/>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p>
        </w:tc>
        <w:tc>
          <w:tcPr>
            <w:tcW w:w="2018"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暂无职</w:t>
            </w:r>
          </w:p>
        </w:tc>
        <w:tc>
          <w:tcPr>
            <w:tcW w:w="1950"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1.1%</w:t>
            </w:r>
          </w:p>
        </w:tc>
        <w:tc>
          <w:tcPr>
            <w:tcW w:w="2297"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1.6%</w:t>
            </w:r>
          </w:p>
        </w:tc>
      </w:tr>
      <w:tr>
        <w:tblPrEx>
          <w:tblW w:w="7750" w:type="dxa"/>
          <w:jc w:val="center"/>
          <w:tblLayout w:type="fixed"/>
          <w:tblCellMar>
            <w:top w:w="0" w:type="dxa"/>
            <w:left w:w="0" w:type="dxa"/>
            <w:bottom w:w="0" w:type="dxa"/>
            <w:right w:w="0" w:type="dxa"/>
          </w:tblCellMar>
        </w:tblPrEx>
        <w:trPr>
          <w:trHeight w:val="265"/>
          <w:jc w:val="center"/>
        </w:trPr>
        <w:tc>
          <w:tcPr>
            <w:tcW w:w="1485" w:type="dxa"/>
            <w:vMerge/>
            <w:tcBorders>
              <w:top w:val="nil"/>
              <w:bottom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p>
        </w:tc>
        <w:tc>
          <w:tcPr>
            <w:tcW w:w="2018" w:type="dxa"/>
            <w:tcBorders>
              <w:bottom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其他</w:t>
            </w:r>
          </w:p>
        </w:tc>
        <w:tc>
          <w:tcPr>
            <w:tcW w:w="1950" w:type="dxa"/>
            <w:tcBorders>
              <w:bottom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1.1%</w:t>
            </w:r>
          </w:p>
        </w:tc>
        <w:tc>
          <w:tcPr>
            <w:tcW w:w="2297" w:type="dxa"/>
            <w:tcBorders>
              <w:bottom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b w:val="0"/>
                <w:bCs w:val="0"/>
                <w:color w:val="171A1D"/>
                <w:sz w:val="24"/>
                <w:shd w:val="clear" w:color="auto" w:fill="FFFFFF"/>
              </w:rPr>
            </w:pPr>
            <w:r>
              <w:rPr>
                <w:rFonts w:ascii="宋体" w:eastAsia="宋体" w:hAnsi="宋体" w:cs="宋体" w:hint="eastAsia"/>
                <w:b w:val="0"/>
                <w:bCs w:val="0"/>
                <w:color w:val="171A1D"/>
                <w:sz w:val="24"/>
                <w:szCs w:val="24"/>
                <w:shd w:val="clear" w:color="auto" w:fill="FFFFFF"/>
                <w:lang w:val="en-US" w:eastAsia="zh-CN"/>
              </w:rPr>
              <w:t>0.0%</w:t>
            </w:r>
          </w:p>
        </w:tc>
      </w:tr>
    </w:tbl>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3"/>
        <w:rPr>
          <w:rFonts w:ascii="宋体" w:hAnsi="宋体" w:cs="宋体" w:hint="eastAsia"/>
          <w:sz w:val="24"/>
        </w:rPr>
      </w:pPr>
      <w:r>
        <w:rPr>
          <w:rFonts w:ascii="宋体" w:eastAsia="宋体" w:hAnsi="宋体" w:cs="宋体" w:hint="eastAsia"/>
          <w:sz w:val="24"/>
          <w:szCs w:val="24"/>
          <w:lang w:val="en-US" w:eastAsia="zh-CN"/>
        </w:rPr>
        <w:t>（2）消费者经济属性</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sz w:val="24"/>
        </w:rPr>
      </w:pPr>
      <w:r>
        <w:rPr>
          <w:rFonts w:ascii="宋体" w:eastAsia="宋体" w:hAnsi="宋体" w:cs="宋体" w:hint="eastAsia"/>
          <w:sz w:val="24"/>
          <w:szCs w:val="24"/>
          <w:lang w:val="en-US" w:eastAsia="zh-CN"/>
        </w:rPr>
        <w:t>消费者的经济属性可以从收入和所在地区两方面分别进行分析。就收入来看，两平台的服装消费者收入分布较为均匀，大多集中在5000-8000和8000-10000元两个月收入阶段，这两类群体占比具体为：淘宝平台32.8%和19.9%，抖音平台为23.1%和33.3%。就所在地区分析，新一线城市或二线城市的消费群体均占到调查总数一般的一般比例，具体分别为：淘宝50.4%，抖音58.3%。表明直播电商消费者群体整体收入中等，经济较强的城市人口占比较高，具体数据见表</w:t>
      </w:r>
      <w:r>
        <w:rPr>
          <w:rFonts w:ascii="宋体" w:hAnsi="宋体" w:cs="宋体" w:hint="eastAsia"/>
          <w:sz w:val="24"/>
          <w:szCs w:val="24"/>
          <w:lang w:val="en-US" w:eastAsia="zh-CN"/>
        </w:rPr>
        <w:t>3.4</w:t>
      </w:r>
      <w:r>
        <w:rPr>
          <w:rFonts w:ascii="宋体" w:eastAsia="宋体" w:hAnsi="宋体" w:cs="宋体" w:hint="eastAsia"/>
          <w:sz w:val="24"/>
          <w:szCs w:val="24"/>
          <w:lang w:val="en-US" w:eastAsia="zh-CN"/>
        </w:rPr>
        <w:t>。</w:t>
      </w: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表</w:t>
      </w:r>
      <w:r>
        <w:rPr>
          <w:rFonts w:ascii="宋体" w:hAnsi="宋体" w:cs="宋体" w:hint="eastAsia"/>
          <w:sz w:val="24"/>
          <w:szCs w:val="24"/>
          <w:lang w:val="en-US" w:eastAsia="zh-CN"/>
        </w:rPr>
        <w:t>3.4</w:t>
      </w:r>
      <w:r>
        <w:rPr>
          <w:rFonts w:ascii="宋体" w:eastAsia="宋体" w:hAnsi="宋体" w:cs="宋体" w:hint="eastAsia"/>
          <w:sz w:val="24"/>
          <w:szCs w:val="24"/>
          <w:lang w:val="en-US" w:eastAsia="zh-CN"/>
        </w:rPr>
        <w:t>经济属性描述性统计</w:t>
      </w:r>
    </w:p>
    <w:tbl>
      <w:tblPr>
        <w:tblStyle w:val="TableNormal02"/>
        <w:tblW w:w="8077" w:type="dxa"/>
        <w:jc w:val="center"/>
        <w:tblBorders>
          <w:top w:val="nil"/>
          <w:left w:val="nil"/>
          <w:bottom w:val="nil"/>
          <w:right w:val="nil"/>
          <w:insideH w:val="nil"/>
          <w:insideV w:val="nil"/>
        </w:tblBorders>
        <w:tblLayout w:type="fixed"/>
        <w:tblCellMar>
          <w:top w:w="0" w:type="dxa"/>
          <w:left w:w="0" w:type="dxa"/>
          <w:bottom w:w="0" w:type="dxa"/>
          <w:right w:w="0" w:type="dxa"/>
        </w:tblCellMar>
      </w:tblPr>
      <w:tblGrid>
        <w:gridCol w:w="1444"/>
        <w:gridCol w:w="2830"/>
        <w:gridCol w:w="1820"/>
        <w:gridCol w:w="1983"/>
      </w:tblGrid>
      <w:tr>
        <w:tblPrEx>
          <w:tblW w:w="8077" w:type="dxa"/>
          <w:jc w:val="center"/>
          <w:tblBorders>
            <w:top w:val="nil"/>
            <w:left w:val="nil"/>
            <w:bottom w:val="nil"/>
            <w:right w:val="nil"/>
            <w:insideH w:val="nil"/>
            <w:insideV w:val="nil"/>
          </w:tblBorders>
          <w:tblLayout w:type="fixed"/>
          <w:tblCellMar>
            <w:top w:w="0" w:type="dxa"/>
            <w:left w:w="0" w:type="dxa"/>
            <w:bottom w:w="0" w:type="dxa"/>
            <w:right w:w="0" w:type="dxa"/>
          </w:tblCellMar>
        </w:tblPrEx>
        <w:trPr>
          <w:trHeight w:val="274"/>
          <w:jc w:val="center"/>
        </w:trPr>
        <w:tc>
          <w:tcPr>
            <w:tcW w:w="1444" w:type="dxa"/>
            <w:vMerge w:val="restart"/>
            <w:tcBorders>
              <w:top w:val="single" w:sz="4" w:space="0" w:color="000000"/>
              <w:bottom w:val="nil"/>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变量名称</w:t>
            </w:r>
          </w:p>
        </w:tc>
        <w:tc>
          <w:tcPr>
            <w:tcW w:w="2830" w:type="dxa"/>
            <w:vMerge w:val="restart"/>
            <w:tcBorders>
              <w:top w:val="single" w:sz="4" w:space="0" w:color="000000"/>
              <w:bottom w:val="nil"/>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变量值</w:t>
            </w:r>
          </w:p>
        </w:tc>
        <w:tc>
          <w:tcPr>
            <w:tcW w:w="1820" w:type="dxa"/>
            <w:tcBorders>
              <w:top w:val="single" w:sz="4" w:space="0" w:color="000000"/>
              <w:bottom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淘宝</w:t>
            </w:r>
          </w:p>
        </w:tc>
        <w:tc>
          <w:tcPr>
            <w:tcW w:w="1983" w:type="dxa"/>
            <w:tcBorders>
              <w:top w:val="single" w:sz="4" w:space="0" w:color="000000"/>
              <w:bottom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抖音</w:t>
            </w:r>
          </w:p>
        </w:tc>
      </w:tr>
      <w:tr>
        <w:tblPrEx>
          <w:tblW w:w="8077" w:type="dxa"/>
          <w:jc w:val="center"/>
          <w:tblLayout w:type="fixed"/>
          <w:tblCellMar>
            <w:top w:w="0" w:type="dxa"/>
            <w:left w:w="0" w:type="dxa"/>
            <w:bottom w:w="0" w:type="dxa"/>
            <w:right w:w="0" w:type="dxa"/>
          </w:tblCellMar>
        </w:tblPrEx>
        <w:trPr>
          <w:trHeight w:val="229"/>
          <w:jc w:val="center"/>
        </w:trPr>
        <w:tc>
          <w:tcPr>
            <w:tcW w:w="1444" w:type="dxa"/>
            <w:vMerge/>
            <w:tcBorders>
              <w:top w:val="nil"/>
              <w:bottom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p>
        </w:tc>
        <w:tc>
          <w:tcPr>
            <w:tcW w:w="2830" w:type="dxa"/>
            <w:vMerge/>
            <w:tcBorders>
              <w:top w:val="nil"/>
              <w:bottom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p>
        </w:tc>
        <w:tc>
          <w:tcPr>
            <w:tcW w:w="1820" w:type="dxa"/>
            <w:tcBorders>
              <w:top w:val="single" w:sz="4" w:space="0" w:color="000000"/>
              <w:bottom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n=425</w:t>
            </w:r>
          </w:p>
        </w:tc>
        <w:tc>
          <w:tcPr>
            <w:tcW w:w="1983" w:type="dxa"/>
            <w:tcBorders>
              <w:top w:val="single" w:sz="4" w:space="0" w:color="000000"/>
              <w:bottom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n=166</w:t>
            </w:r>
          </w:p>
        </w:tc>
      </w:tr>
      <w:tr>
        <w:tblPrEx>
          <w:tblW w:w="8077" w:type="dxa"/>
          <w:jc w:val="center"/>
          <w:tblLayout w:type="fixed"/>
          <w:tblCellMar>
            <w:top w:w="0" w:type="dxa"/>
            <w:left w:w="0" w:type="dxa"/>
            <w:bottom w:w="0" w:type="dxa"/>
            <w:right w:w="0" w:type="dxa"/>
          </w:tblCellMar>
        </w:tblPrEx>
        <w:trPr>
          <w:trHeight w:val="257"/>
          <w:jc w:val="center"/>
        </w:trPr>
        <w:tc>
          <w:tcPr>
            <w:tcW w:w="1444" w:type="dxa"/>
            <w:vMerge w:val="restart"/>
            <w:tcBorders>
              <w:top w:val="single" w:sz="4" w:space="0" w:color="000000"/>
              <w:bottom w:val="nil"/>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月收入</w:t>
            </w:r>
          </w:p>
        </w:tc>
        <w:tc>
          <w:tcPr>
            <w:tcW w:w="2830" w:type="dxa"/>
            <w:tcBorders>
              <w:top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2000元以下</w:t>
            </w:r>
          </w:p>
        </w:tc>
        <w:tc>
          <w:tcPr>
            <w:tcW w:w="1820" w:type="dxa"/>
            <w:tcBorders>
              <w:top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16.8%</w:t>
            </w:r>
          </w:p>
        </w:tc>
        <w:tc>
          <w:tcPr>
            <w:tcW w:w="1983" w:type="dxa"/>
            <w:tcBorders>
              <w:top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4.8%</w:t>
            </w:r>
          </w:p>
        </w:tc>
      </w:tr>
      <w:tr>
        <w:tblPrEx>
          <w:tblW w:w="8077" w:type="dxa"/>
          <w:jc w:val="center"/>
          <w:tblLayout w:type="fixed"/>
          <w:tblCellMar>
            <w:top w:w="0" w:type="dxa"/>
            <w:left w:w="0" w:type="dxa"/>
            <w:bottom w:w="0" w:type="dxa"/>
            <w:right w:w="0" w:type="dxa"/>
          </w:tblCellMar>
        </w:tblPrEx>
        <w:trPr>
          <w:trHeight w:val="264"/>
          <w:jc w:val="center"/>
        </w:trPr>
        <w:tc>
          <w:tcPr>
            <w:tcW w:w="1444" w:type="dxa"/>
            <w:vMerge/>
            <w:tcBorders>
              <w:top w:val="nil"/>
              <w:bottom w:val="nil"/>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p>
        </w:tc>
        <w:tc>
          <w:tcPr>
            <w:tcW w:w="2830"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2000-5000元</w:t>
            </w:r>
          </w:p>
        </w:tc>
        <w:tc>
          <w:tcPr>
            <w:tcW w:w="1820"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13.0%</w:t>
            </w:r>
          </w:p>
        </w:tc>
        <w:tc>
          <w:tcPr>
            <w:tcW w:w="1983"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20.5%</w:t>
            </w:r>
          </w:p>
        </w:tc>
      </w:tr>
      <w:tr>
        <w:tblPrEx>
          <w:tblW w:w="8077" w:type="dxa"/>
          <w:jc w:val="center"/>
          <w:tblLayout w:type="fixed"/>
          <w:tblCellMar>
            <w:top w:w="0" w:type="dxa"/>
            <w:left w:w="0" w:type="dxa"/>
            <w:bottom w:w="0" w:type="dxa"/>
            <w:right w:w="0" w:type="dxa"/>
          </w:tblCellMar>
        </w:tblPrEx>
        <w:trPr>
          <w:trHeight w:val="264"/>
          <w:jc w:val="center"/>
        </w:trPr>
        <w:tc>
          <w:tcPr>
            <w:tcW w:w="1444" w:type="dxa"/>
            <w:vMerge/>
            <w:tcBorders>
              <w:top w:val="nil"/>
              <w:bottom w:val="nil"/>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p>
        </w:tc>
        <w:tc>
          <w:tcPr>
            <w:tcW w:w="2830"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5000-8000元</w:t>
            </w:r>
          </w:p>
        </w:tc>
        <w:tc>
          <w:tcPr>
            <w:tcW w:w="1820"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32.8%</w:t>
            </w:r>
          </w:p>
        </w:tc>
        <w:tc>
          <w:tcPr>
            <w:tcW w:w="1983"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23.1%</w:t>
            </w:r>
          </w:p>
        </w:tc>
      </w:tr>
      <w:tr>
        <w:tblPrEx>
          <w:tblW w:w="8077" w:type="dxa"/>
          <w:jc w:val="center"/>
          <w:tblLayout w:type="fixed"/>
          <w:tblCellMar>
            <w:top w:w="0" w:type="dxa"/>
            <w:left w:w="0" w:type="dxa"/>
            <w:bottom w:w="0" w:type="dxa"/>
            <w:right w:w="0" w:type="dxa"/>
          </w:tblCellMar>
        </w:tblPrEx>
        <w:trPr>
          <w:trHeight w:val="242"/>
          <w:jc w:val="center"/>
        </w:trPr>
        <w:tc>
          <w:tcPr>
            <w:tcW w:w="1444" w:type="dxa"/>
            <w:vMerge/>
            <w:tcBorders>
              <w:top w:val="nil"/>
              <w:bottom w:val="nil"/>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p>
        </w:tc>
        <w:tc>
          <w:tcPr>
            <w:tcW w:w="2830"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8000-10000元</w:t>
            </w:r>
          </w:p>
        </w:tc>
        <w:tc>
          <w:tcPr>
            <w:tcW w:w="1820"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19.9%</w:t>
            </w:r>
          </w:p>
        </w:tc>
        <w:tc>
          <w:tcPr>
            <w:tcW w:w="1983"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33.3%</w:t>
            </w:r>
          </w:p>
        </w:tc>
      </w:tr>
      <w:tr>
        <w:tblPrEx>
          <w:tblW w:w="8077" w:type="dxa"/>
          <w:jc w:val="center"/>
          <w:tblLayout w:type="fixed"/>
          <w:tblCellMar>
            <w:top w:w="0" w:type="dxa"/>
            <w:left w:w="0" w:type="dxa"/>
            <w:bottom w:w="0" w:type="dxa"/>
            <w:right w:w="0" w:type="dxa"/>
          </w:tblCellMar>
        </w:tblPrEx>
        <w:trPr>
          <w:trHeight w:val="238"/>
          <w:jc w:val="center"/>
        </w:trPr>
        <w:tc>
          <w:tcPr>
            <w:tcW w:w="1444" w:type="dxa"/>
            <w:vMerge/>
            <w:tcBorders>
              <w:top w:val="nil"/>
              <w:bottom w:val="nil"/>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p>
        </w:tc>
        <w:tc>
          <w:tcPr>
            <w:tcW w:w="2830"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10000元以上</w:t>
            </w:r>
          </w:p>
        </w:tc>
        <w:tc>
          <w:tcPr>
            <w:tcW w:w="1820"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16.8%</w:t>
            </w:r>
          </w:p>
        </w:tc>
        <w:tc>
          <w:tcPr>
            <w:tcW w:w="1983"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18.0%</w:t>
            </w:r>
          </w:p>
        </w:tc>
      </w:tr>
      <w:tr>
        <w:tblPrEx>
          <w:tblW w:w="8077" w:type="dxa"/>
          <w:jc w:val="center"/>
          <w:tblLayout w:type="fixed"/>
          <w:tblCellMar>
            <w:top w:w="0" w:type="dxa"/>
            <w:left w:w="0" w:type="dxa"/>
            <w:bottom w:w="0" w:type="dxa"/>
            <w:right w:w="0" w:type="dxa"/>
          </w:tblCellMar>
        </w:tblPrEx>
        <w:trPr>
          <w:trHeight w:val="239"/>
          <w:jc w:val="center"/>
        </w:trPr>
        <w:tc>
          <w:tcPr>
            <w:tcW w:w="1444" w:type="dxa"/>
            <w:vMerge/>
            <w:tcBorders>
              <w:top w:val="nil"/>
              <w:bottom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p>
        </w:tc>
        <w:tc>
          <w:tcPr>
            <w:tcW w:w="2830" w:type="dxa"/>
            <w:tcBorders>
              <w:bottom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暂无收入</w:t>
            </w:r>
          </w:p>
        </w:tc>
        <w:tc>
          <w:tcPr>
            <w:tcW w:w="1820" w:type="dxa"/>
            <w:tcBorders>
              <w:bottom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0.8%</w:t>
            </w:r>
          </w:p>
        </w:tc>
        <w:tc>
          <w:tcPr>
            <w:tcW w:w="1983" w:type="dxa"/>
            <w:tcBorders>
              <w:bottom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0.3%</w:t>
            </w:r>
          </w:p>
        </w:tc>
      </w:tr>
      <w:tr>
        <w:tblPrEx>
          <w:tblW w:w="8077" w:type="dxa"/>
          <w:jc w:val="center"/>
          <w:tblLayout w:type="fixed"/>
          <w:tblCellMar>
            <w:top w:w="0" w:type="dxa"/>
            <w:left w:w="0" w:type="dxa"/>
            <w:bottom w:w="0" w:type="dxa"/>
            <w:right w:w="0" w:type="dxa"/>
          </w:tblCellMar>
        </w:tblPrEx>
        <w:trPr>
          <w:trHeight w:val="259"/>
          <w:jc w:val="center"/>
        </w:trPr>
        <w:tc>
          <w:tcPr>
            <w:tcW w:w="1444" w:type="dxa"/>
            <w:vMerge w:val="restart"/>
            <w:tcBorders>
              <w:top w:val="single" w:sz="4" w:space="0" w:color="000000"/>
              <w:bottom w:val="nil"/>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所在地区</w:t>
            </w:r>
          </w:p>
        </w:tc>
        <w:tc>
          <w:tcPr>
            <w:tcW w:w="2830" w:type="dxa"/>
            <w:tcBorders>
              <w:top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一线城市</w:t>
            </w:r>
          </w:p>
        </w:tc>
        <w:tc>
          <w:tcPr>
            <w:tcW w:w="1820" w:type="dxa"/>
            <w:tcBorders>
              <w:top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22.1%</w:t>
            </w:r>
          </w:p>
        </w:tc>
        <w:tc>
          <w:tcPr>
            <w:tcW w:w="1983" w:type="dxa"/>
            <w:tcBorders>
              <w:top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15.4%</w:t>
            </w:r>
          </w:p>
        </w:tc>
      </w:tr>
      <w:tr>
        <w:tblPrEx>
          <w:tblW w:w="8077" w:type="dxa"/>
          <w:jc w:val="center"/>
          <w:tblLayout w:type="fixed"/>
          <w:tblCellMar>
            <w:top w:w="0" w:type="dxa"/>
            <w:left w:w="0" w:type="dxa"/>
            <w:bottom w:w="0" w:type="dxa"/>
            <w:right w:w="0" w:type="dxa"/>
          </w:tblCellMar>
        </w:tblPrEx>
        <w:trPr>
          <w:trHeight w:val="264"/>
          <w:jc w:val="center"/>
        </w:trPr>
        <w:tc>
          <w:tcPr>
            <w:tcW w:w="1444" w:type="dxa"/>
            <w:vMerge/>
            <w:tcBorders>
              <w:top w:val="nil"/>
              <w:bottom w:val="nil"/>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p>
        </w:tc>
        <w:tc>
          <w:tcPr>
            <w:tcW w:w="2830"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新一线城市或二线城市</w:t>
            </w:r>
          </w:p>
        </w:tc>
        <w:tc>
          <w:tcPr>
            <w:tcW w:w="1820"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50.4%</w:t>
            </w:r>
          </w:p>
        </w:tc>
        <w:tc>
          <w:tcPr>
            <w:tcW w:w="1983"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58.3%</w:t>
            </w:r>
          </w:p>
        </w:tc>
      </w:tr>
      <w:tr>
        <w:tblPrEx>
          <w:tblW w:w="8077" w:type="dxa"/>
          <w:jc w:val="center"/>
          <w:tblLayout w:type="fixed"/>
          <w:tblCellMar>
            <w:top w:w="0" w:type="dxa"/>
            <w:left w:w="0" w:type="dxa"/>
            <w:bottom w:w="0" w:type="dxa"/>
            <w:right w:w="0" w:type="dxa"/>
          </w:tblCellMar>
        </w:tblPrEx>
        <w:trPr>
          <w:trHeight w:val="248"/>
          <w:jc w:val="center"/>
        </w:trPr>
        <w:tc>
          <w:tcPr>
            <w:tcW w:w="1444" w:type="dxa"/>
            <w:vMerge/>
            <w:tcBorders>
              <w:top w:val="nil"/>
              <w:bottom w:val="nil"/>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p>
        </w:tc>
        <w:tc>
          <w:tcPr>
            <w:tcW w:w="2830"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三四线城市</w:t>
            </w:r>
          </w:p>
        </w:tc>
        <w:tc>
          <w:tcPr>
            <w:tcW w:w="1820"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20.6%</w:t>
            </w:r>
          </w:p>
        </w:tc>
        <w:tc>
          <w:tcPr>
            <w:tcW w:w="1983" w:type="dxa"/>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23.1%</w:t>
            </w:r>
          </w:p>
        </w:tc>
      </w:tr>
      <w:tr>
        <w:tblPrEx>
          <w:tblW w:w="8077" w:type="dxa"/>
          <w:jc w:val="center"/>
          <w:tblLayout w:type="fixed"/>
          <w:tblCellMar>
            <w:top w:w="0" w:type="dxa"/>
            <w:left w:w="0" w:type="dxa"/>
            <w:bottom w:w="0" w:type="dxa"/>
            <w:right w:w="0" w:type="dxa"/>
          </w:tblCellMar>
        </w:tblPrEx>
        <w:trPr>
          <w:trHeight w:val="260"/>
          <w:jc w:val="center"/>
        </w:trPr>
        <w:tc>
          <w:tcPr>
            <w:tcW w:w="1444" w:type="dxa"/>
            <w:vMerge/>
            <w:tcBorders>
              <w:top w:val="nil"/>
              <w:bottom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p>
        </w:tc>
        <w:tc>
          <w:tcPr>
            <w:tcW w:w="2830" w:type="dxa"/>
            <w:tcBorders>
              <w:bottom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乡镇农村</w:t>
            </w:r>
          </w:p>
        </w:tc>
        <w:tc>
          <w:tcPr>
            <w:tcW w:w="1820" w:type="dxa"/>
            <w:tcBorders>
              <w:bottom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6.9%</w:t>
            </w:r>
          </w:p>
        </w:tc>
        <w:tc>
          <w:tcPr>
            <w:tcW w:w="1983" w:type="dxa"/>
            <w:tcBorders>
              <w:bottom w:val="single" w:sz="4" w:space="0" w:color="000000"/>
            </w:tcBorders>
            <w:vAlign w:val="top"/>
          </w:tcPr>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jc w:val="center"/>
              <w:textAlignment w:val="auto"/>
              <w:outlineLvl w:val="9"/>
              <w:rPr>
                <w:rFonts w:ascii="宋体" w:hAnsi="宋体" w:cs="宋体" w:hint="eastAsia"/>
                <w:sz w:val="24"/>
              </w:rPr>
            </w:pPr>
            <w:r>
              <w:rPr>
                <w:rFonts w:ascii="宋体" w:eastAsia="宋体" w:hAnsi="宋体" w:cs="宋体" w:hint="eastAsia"/>
                <w:sz w:val="24"/>
                <w:szCs w:val="24"/>
                <w:lang w:val="en-US" w:eastAsia="zh-CN"/>
              </w:rPr>
              <w:t>3.2%</w:t>
            </w:r>
          </w:p>
        </w:tc>
      </w:tr>
    </w:tbl>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sz w:val="24"/>
        </w:rPr>
      </w:pPr>
      <w:r>
        <w:rPr>
          <w:rFonts w:ascii="宋体" w:hAnsi="宋体" w:cs="宋体" w:hint="eastAsia"/>
          <w:sz w:val="24"/>
        </w:rPr>
        <w:br/>
      </w:r>
      <w:r>
        <w:rPr>
          <w:rFonts w:ascii="宋体" w:hAnsi="宋体" w:cs="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https://d.book118.com/188030025030006025</w:t>
        </w:r>
      </w:hyperlink>
    </w:p>
    <w:p>
      <w:pPr>
        <w:keepNext w:val="0"/>
        <w:keepLines w:val="0"/>
        <w:pageBreakBefore w:val="0"/>
        <w:widowControl w:val="0"/>
        <w:pBdr>
          <w:top w:val="none" w:sz="0" w:space="1" w:color="auto"/>
          <w:left w:val="none" w:sz="0" w:space="4" w:color="auto"/>
          <w:bottom w:val="none" w:sz="0" w:space="1" w:color="auto"/>
          <w:right w:val="none" w:sz="0" w:space="4" w:color="auto"/>
          <w:between w:val="none" w:sz="0" w:space="0" w:color="auto"/>
        </w:pBdr>
        <w:kinsoku/>
        <w:wordWrap/>
        <w:overflowPunct/>
        <w:topLinePunct w:val="0"/>
        <w:autoSpaceDE/>
        <w:autoSpaceDN/>
        <w:bidi w:val="0"/>
        <w:adjustRightInd/>
        <w:snapToGrid/>
        <w:spacing w:line="240" w:lineRule="auto"/>
        <w:ind w:firstLine="420" w:firstLineChars="0"/>
        <w:jc w:val="both"/>
        <w:textAlignment w:val="auto"/>
        <w:outlineLvl w:val="9"/>
        <w:rPr>
          <w:rFonts w:ascii="宋体" w:hAnsi="宋体" w:cs="宋体" w:hint="eastAsia"/>
          <w:sz w:val="24"/>
        </w:rPr>
      </w:pPr>
    </w:p>
    <w:sectPr>
      <w:type w:val="nextPage"/>
      <w:pgSz w:w="11906" w:h="16838"/>
      <w:pgMar w:top="1440" w:right="1800" w:bottom="1440" w:left="18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814CC0"/>
    <w:rsid w:val="0A193C90"/>
    <w:rsid w:val="1E6E4153"/>
    <w:rsid w:val="376143FD"/>
    <w:rsid w:val="40A42E4D"/>
    <w:rsid w:val="59A738E5"/>
    <w:rsid w:val="5F814CC0"/>
    <w:rsid w:val="62C43899"/>
    <w:rsid w:val="67C2625C"/>
    <w:rsid w:val="74763EDE"/>
  </w:rsids>
  <w:docVars>
    <w:docVar w:name="commondata" w:val="eyJoZGlkIjoiY2JjYjdhMWU3MGFmZTA4MTYzODIyZDQyYmJjNjA3Zm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PlainText">
    <w:name w:val="Plain Text"/>
    <w:basedOn w:val="Normal"/>
    <w:rPr>
      <w:rFonts w:ascii="宋体" w:hAnsi="Courier New"/>
    </w:rPr>
  </w:style>
  <w:style w:type="paragraph" w:styleId="NormalWeb">
    <w:name w:val="Normal (Web)"/>
    <w:basedOn w:val="Normal"/>
    <w:pPr>
      <w:spacing w:before="100" w:beforeAutospacing="1" w:after="100" w:afterAutospacing="1"/>
      <w:ind w:left="0" w:right="0"/>
      <w:jc w:val="left"/>
    </w:pPr>
    <w:rPr>
      <w:kern w:val="0"/>
      <w:sz w:val="24"/>
      <w:lang w:val="en-US" w:eastAsia="zh-CN" w:bidi="ar"/>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00">
    <w:name w:val="Table Normal_0_0"/>
    <w:semiHidden/>
    <w:unhideWhenUsed/>
    <w:qFormat/>
    <w:tblPr>
      <w:tblCellMar>
        <w:top w:w="0" w:type="dxa"/>
        <w:left w:w="0" w:type="dxa"/>
        <w:bottom w:w="0" w:type="dxa"/>
        <w:right w:w="0" w:type="dxa"/>
      </w:tblCellMar>
    </w:tblPr>
  </w:style>
  <w:style w:type="table" w:customStyle="1" w:styleId="TableNormal01">
    <w:name w:val="Table Normal_0_1"/>
    <w:semiHidden/>
    <w:unhideWhenUsed/>
    <w:qFormat/>
    <w:tblPr>
      <w:tblCellMar>
        <w:top w:w="0" w:type="dxa"/>
        <w:left w:w="0" w:type="dxa"/>
        <w:bottom w:w="0" w:type="dxa"/>
        <w:right w:w="0" w:type="dxa"/>
      </w:tblCellMar>
    </w:tblPr>
  </w:style>
  <w:style w:type="table" w:customStyle="1" w:styleId="TableNormal02">
    <w:name w:val="Table Normal_0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yperlink" Target="https://d.book118.com/188030025030006025"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3</TotalTime>
  <Pages>10</Pages>
  <Words>11415</Words>
  <Characters>13156</Characters>
  <Application>Microsoft Office Word</Application>
  <DocSecurity>0</DocSecurity>
  <Lines>0</Lines>
  <Paragraphs>0</Paragraphs>
  <ScaleCrop>false</ScaleCrop>
  <Company/>
  <LinksUpToDate>false</LinksUpToDate>
  <CharactersWithSpaces>13171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啦啦啦</dc:creator>
  <cp:lastModifiedBy>啦啦啦</cp:lastModifiedBy>
  <cp:revision>1</cp:revision>
  <dcterms:created xsi:type="dcterms:W3CDTF">2023-04-07T04:30:00Z</dcterms:created>
  <dcterms:modified xsi:type="dcterms:W3CDTF">2023-04-07T15:04:19Z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696E7683A8F1448084B59B3B8132044D_13</vt:lpwstr>
  </property>
  <property fmtid="{D5CDD505-2E9C-101B-9397-08002B2CF9AE}" pid="3" name="KSOProductBuildVer">
    <vt:lpwstr>2052-11.1.0.14036</vt:lpwstr>
  </property>
</Properties>
</file>