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bookmarkStart w:id="0" w:name="_GoBack"/>
      <w:bookmarkEnd w:id="0"/>
    </w:p>
    <w:p>
      <w:pPr>
        <w:rPr>
          <w:rFonts w:ascii="仿宋" w:eastAsia="仿宋" w:hAnsi="仿宋" w:cs="仿宋" w:hint="eastAsia"/>
          <w:b/>
          <w:sz w:val="40"/>
        </w:rPr>
      </w:pPr>
    </w:p>
    <w:p>
      <w:pPr>
        <w:rPr>
          <w:rFonts w:ascii="仿宋" w:eastAsia="仿宋" w:hAnsi="仿宋" w:cs="仿宋" w:hint="eastAsia"/>
          <w:b/>
          <w:sz w:val="40"/>
        </w:rPr>
      </w:pPr>
    </w:p>
    <w:p>
      <w:pPr>
        <w:spacing w:before="254" w:line="360" w:lineRule="auto"/>
        <w:ind w:left="273"/>
        <w:jc w:val="center"/>
        <w:outlineLvl w:val="0"/>
        <w:rPr>
          <w:rFonts w:ascii="微软雅黑" w:eastAsia="微软雅黑" w:hAnsi="微软雅黑" w:cs="微软雅黑"/>
          <w:b/>
          <w:bCs/>
          <w:color w:val="2D54A0"/>
          <w:spacing w:val="8"/>
          <w:sz w:val="59"/>
          <w:szCs w:val="59"/>
        </w:rPr>
      </w:pPr>
      <w:r>
        <w:rPr>
          <w:rFonts w:ascii="微软雅黑" w:eastAsia="微软雅黑" w:hAnsi="微软雅黑" w:cs="微软雅黑"/>
          <w:b/>
          <w:bCs/>
          <w:color w:val="2D54A0"/>
          <w:spacing w:val="9"/>
          <w:sz w:val="59"/>
          <w:szCs w:val="59"/>
        </w:rPr>
        <w:t>2024年频率测量仪表行业趋</w:t>
      </w:r>
      <w:r>
        <w:rPr>
          <w:rFonts w:ascii="微软雅黑" w:eastAsia="微软雅黑" w:hAnsi="微软雅黑" w:cs="微软雅黑"/>
          <w:b/>
          <w:bCs/>
          <w:color w:val="2D54A0"/>
          <w:spacing w:val="8"/>
          <w:sz w:val="59"/>
          <w:szCs w:val="59"/>
        </w:rPr>
        <w:t>势报告</w:t>
      </w: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hint="default"/>
          <w:b/>
          <w:bCs/>
          <w:color w:val="2D54A0"/>
          <w:spacing w:val="8"/>
          <w:sz w:val="44"/>
          <w:szCs w:val="44"/>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b/>
          <w:bCs/>
          <w:color w:val="2D54A0"/>
          <w:spacing w:val="8"/>
          <w:sz w:val="44"/>
          <w:szCs w:val="44"/>
          <w:lang w:val="en-US" w:eastAsia="zh-CN"/>
        </w:rPr>
        <w:t>《2024年最新评估分析》</w:t>
      </w:r>
    </w:p>
    <w:p>
      <w:pPr>
        <w:spacing w:line="360" w:lineRule="auto"/>
        <w:jc w:val="center"/>
        <w:rPr>
          <w:rFonts w:ascii="微软雅黑" w:eastAsia="微软雅黑" w:hAnsi="微软雅黑" w:cs="微软雅黑" w:hint="eastAsia"/>
          <w:b/>
          <w:bCs w:val="0"/>
          <w:color w:val="2E54A1" w:themeColor="accent1" w:themeShade="BF"/>
          <w:sz w:val="40"/>
        </w:rPr>
      </w:pPr>
      <w:r>
        <w:rPr>
          <w:rFonts w:ascii="微软雅黑" w:eastAsia="微软雅黑" w:hAnsi="微软雅黑" w:cs="微软雅黑" w:hint="eastAsia"/>
          <w:b/>
          <w:bCs w:val="0"/>
          <w:color w:val="2E54A1" w:themeColor="accent1" w:themeShade="BF"/>
          <w:sz w:val="40"/>
          <w:lang w:eastAsia="zh-CN"/>
        </w:rPr>
        <w:t>目录</w:t>
      </w:r>
    </w:p>
    <w:p>
      <w:pPr>
        <w:pStyle w:val="TOC1"/>
        <w:tabs>
          <w:tab w:val="right" w:leader="dot" w:pos="8306"/>
        </w:tabs>
      </w:pPr>
      <w:r>
        <w:fldChar w:fldCharType="begin"/>
      </w:r>
      <w:r>
        <w:instrText>TOC \h \z</w:instrText>
      </w:r>
      <w:r>
        <w:fldChar w:fldCharType="separate"/>
      </w:r>
      <w:hyperlink w:anchor="_Toc22376" w:history="1">
        <w:r>
          <w:rPr>
            <w:rFonts w:ascii="微软雅黑" w:eastAsia="微软雅黑" w:hAnsi="微软雅黑" w:cs="微软雅黑" w:hint="eastAsia"/>
            <w:color w:val="001CAC" w:themeColor="hyperlink" w:themeShade="BF"/>
            <w:lang w:eastAsia="zh-CN"/>
          </w:rPr>
          <w:t>前言</w:t>
        </w:r>
        <w:r>
          <w:tab/>
        </w:r>
        <w:r>
          <w:fldChar w:fldCharType="begin"/>
        </w:r>
        <w:r>
          <w:instrText xml:space="preserve"> PAGEREF _Toc22376 \h </w:instrText>
        </w:r>
        <w:r>
          <w:fldChar w:fldCharType="separate"/>
        </w:r>
        <w:r>
          <w:t>4</w:t>
        </w:r>
        <w:r>
          <w:fldChar w:fldCharType="end"/>
        </w:r>
      </w:hyperlink>
    </w:p>
    <w:p>
      <w:pPr>
        <w:pStyle w:val="TOC1"/>
        <w:tabs>
          <w:tab w:val="right" w:leader="dot" w:pos="8306"/>
        </w:tabs>
      </w:pPr>
      <w:hyperlink w:anchor="_Toc12147" w:history="1">
        <w:r>
          <w:rPr>
            <w:rFonts w:ascii="微软雅黑" w:eastAsia="微软雅黑" w:hAnsi="微软雅黑" w:cs="微软雅黑" w:hint="eastAsia"/>
            <w:color w:val="001CAC" w:themeColor="hyperlink" w:themeShade="BF"/>
            <w:szCs w:val="32"/>
            <w:lang w:eastAsia="zh-CN"/>
          </w:rPr>
          <w:t>一、项目技术流程</w:t>
        </w:r>
        <w:r>
          <w:tab/>
        </w:r>
        <w:r>
          <w:fldChar w:fldCharType="begin"/>
        </w:r>
        <w:r>
          <w:instrText xml:space="preserve"> PAGEREF _Toc12147 \h </w:instrText>
        </w:r>
        <w:r>
          <w:fldChar w:fldCharType="separate"/>
        </w:r>
        <w:r>
          <w:t>4</w:t>
        </w:r>
        <w:r>
          <w:fldChar w:fldCharType="end"/>
        </w:r>
      </w:hyperlink>
    </w:p>
    <w:p>
      <w:pPr>
        <w:pStyle w:val="TOC2"/>
        <w:tabs>
          <w:tab w:val="right" w:leader="dot" w:pos="8306"/>
        </w:tabs>
      </w:pPr>
      <w:hyperlink w:anchor="_Toc7969" w:history="1">
        <w:r>
          <w:rPr>
            <w:rFonts w:ascii="宋体" w:eastAsia="宋体" w:hAnsi="宋体" w:cs="宋体" w:hint="eastAsia"/>
            <w:bCs w:val="0"/>
            <w:szCs w:val="28"/>
            <w:lang w:eastAsia="zh-CN"/>
          </w:rPr>
          <w:t>(一)、技术方案选择</w:t>
        </w:r>
        <w:r>
          <w:tab/>
        </w:r>
        <w:r>
          <w:fldChar w:fldCharType="begin"/>
        </w:r>
        <w:r>
          <w:instrText xml:space="preserve"> PAGEREF _Toc7969 \h </w:instrText>
        </w:r>
        <w:r>
          <w:fldChar w:fldCharType="separate"/>
        </w:r>
        <w:r>
          <w:t>4</w:t>
        </w:r>
        <w:r>
          <w:fldChar w:fldCharType="end"/>
        </w:r>
      </w:hyperlink>
    </w:p>
    <w:p>
      <w:pPr>
        <w:pStyle w:val="TOC2"/>
        <w:tabs>
          <w:tab w:val="right" w:leader="dot" w:pos="8306"/>
        </w:tabs>
      </w:pPr>
      <w:hyperlink w:anchor="_Toc21783" w:history="1">
        <w:r>
          <w:rPr>
            <w:rFonts w:ascii="宋体" w:eastAsia="宋体" w:hAnsi="宋体" w:cs="宋体" w:hint="eastAsia"/>
            <w:bCs w:val="0"/>
            <w:szCs w:val="28"/>
            <w:lang w:eastAsia="zh-CN"/>
          </w:rPr>
          <w:t>(二)、设备选型方案</w:t>
        </w:r>
        <w:r>
          <w:tab/>
        </w:r>
        <w:r>
          <w:fldChar w:fldCharType="begin"/>
        </w:r>
        <w:r>
          <w:instrText xml:space="preserve"> PAGEREF _Toc21783 \h </w:instrText>
        </w:r>
        <w:r>
          <w:fldChar w:fldCharType="separate"/>
        </w:r>
        <w:r>
          <w:t>5</w:t>
        </w:r>
        <w:r>
          <w:fldChar w:fldCharType="end"/>
        </w:r>
      </w:hyperlink>
    </w:p>
    <w:p>
      <w:pPr>
        <w:pStyle w:val="TOC2"/>
        <w:tabs>
          <w:tab w:val="right" w:leader="dot" w:pos="8306"/>
        </w:tabs>
      </w:pPr>
      <w:hyperlink w:anchor="_Toc7911" w:history="1">
        <w:r>
          <w:rPr>
            <w:rFonts w:ascii="宋体" w:eastAsia="宋体" w:hAnsi="宋体" w:cs="宋体" w:hint="eastAsia"/>
            <w:bCs w:val="0"/>
            <w:szCs w:val="28"/>
            <w:lang w:eastAsia="zh-CN"/>
          </w:rPr>
          <w:t>(三)、技术流程与工艺设计</w:t>
        </w:r>
        <w:r>
          <w:tab/>
        </w:r>
        <w:r>
          <w:fldChar w:fldCharType="begin"/>
        </w:r>
        <w:r>
          <w:instrText xml:space="preserve"> PAGEREF _Toc7911 \h </w:instrText>
        </w:r>
        <w:r>
          <w:fldChar w:fldCharType="separate"/>
        </w:r>
        <w:r>
          <w:t>6</w:t>
        </w:r>
        <w:r>
          <w:fldChar w:fldCharType="end"/>
        </w:r>
      </w:hyperlink>
    </w:p>
    <w:p>
      <w:pPr>
        <w:pStyle w:val="TOC1"/>
        <w:tabs>
          <w:tab w:val="right" w:leader="dot" w:pos="8306"/>
        </w:tabs>
      </w:pPr>
      <w:hyperlink w:anchor="_Toc20046" w:history="1">
        <w:r>
          <w:rPr>
            <w:rFonts w:ascii="微软雅黑" w:eastAsia="微软雅黑" w:hAnsi="微软雅黑" w:cs="微软雅黑" w:hint="eastAsia"/>
            <w:color w:val="001CAC" w:themeColor="hyperlink" w:themeShade="BF"/>
            <w:szCs w:val="32"/>
            <w:lang w:eastAsia="zh-CN"/>
          </w:rPr>
          <w:t>二、安全与劳动保护</w:t>
        </w:r>
        <w:r>
          <w:tab/>
        </w:r>
        <w:r>
          <w:fldChar w:fldCharType="begin"/>
        </w:r>
        <w:r>
          <w:instrText xml:space="preserve"> PAGEREF _Toc20046 \h </w:instrText>
        </w:r>
        <w:r>
          <w:fldChar w:fldCharType="separate"/>
        </w:r>
        <w:r>
          <w:t>7</w:t>
        </w:r>
        <w:r>
          <w:fldChar w:fldCharType="end"/>
        </w:r>
      </w:hyperlink>
    </w:p>
    <w:p>
      <w:pPr>
        <w:pStyle w:val="TOC2"/>
        <w:tabs>
          <w:tab w:val="right" w:leader="dot" w:pos="8306"/>
        </w:tabs>
      </w:pPr>
      <w:hyperlink w:anchor="_Toc27078" w:history="1">
        <w:r>
          <w:rPr>
            <w:rFonts w:ascii="宋体" w:eastAsia="宋体" w:hAnsi="宋体" w:cs="宋体" w:hint="eastAsia"/>
            <w:bCs w:val="0"/>
            <w:szCs w:val="28"/>
            <w:lang w:eastAsia="zh-CN"/>
          </w:rPr>
          <w:t>(一)、设计依据与法规合规</w:t>
        </w:r>
        <w:r>
          <w:tab/>
        </w:r>
        <w:r>
          <w:fldChar w:fldCharType="begin"/>
        </w:r>
        <w:r>
          <w:instrText xml:space="preserve"> PAGEREF _Toc27078 \h </w:instrText>
        </w:r>
        <w:r>
          <w:fldChar w:fldCharType="separate"/>
        </w:r>
        <w:r>
          <w:t>7</w:t>
        </w:r>
        <w:r>
          <w:fldChar w:fldCharType="end"/>
        </w:r>
      </w:hyperlink>
    </w:p>
    <w:p>
      <w:pPr>
        <w:pStyle w:val="TOC2"/>
        <w:tabs>
          <w:tab w:val="right" w:leader="dot" w:pos="8306"/>
        </w:tabs>
      </w:pPr>
      <w:hyperlink w:anchor="_Toc17469" w:history="1">
        <w:r>
          <w:rPr>
            <w:rFonts w:ascii="宋体" w:eastAsia="宋体" w:hAnsi="宋体" w:cs="宋体" w:hint="eastAsia"/>
            <w:bCs w:val="0"/>
            <w:szCs w:val="28"/>
            <w:lang w:eastAsia="zh-CN"/>
          </w:rPr>
          <w:t>(二)、劳动安全预期效果评价</w:t>
        </w:r>
        <w:r>
          <w:tab/>
        </w:r>
        <w:r>
          <w:fldChar w:fldCharType="begin"/>
        </w:r>
        <w:r>
          <w:instrText xml:space="preserve"> PAGEREF _Toc17469 \h </w:instrText>
        </w:r>
        <w:r>
          <w:fldChar w:fldCharType="separate"/>
        </w:r>
        <w:r>
          <w:t>7</w:t>
        </w:r>
        <w:r>
          <w:fldChar w:fldCharType="end"/>
        </w:r>
      </w:hyperlink>
    </w:p>
    <w:p>
      <w:pPr>
        <w:pStyle w:val="TOC2"/>
        <w:tabs>
          <w:tab w:val="right" w:leader="dot" w:pos="8306"/>
        </w:tabs>
      </w:pPr>
      <w:hyperlink w:anchor="_Toc28775" w:history="1">
        <w:r>
          <w:rPr>
            <w:rFonts w:ascii="宋体" w:eastAsia="宋体" w:hAnsi="宋体" w:cs="宋体" w:hint="eastAsia"/>
            <w:bCs w:val="0"/>
            <w:szCs w:val="28"/>
            <w:lang w:eastAsia="zh-CN"/>
          </w:rPr>
          <w:t>(三)、主要防范措施</w:t>
        </w:r>
        <w:r>
          <w:tab/>
        </w:r>
        <w:r>
          <w:fldChar w:fldCharType="begin"/>
        </w:r>
        <w:r>
          <w:instrText xml:space="preserve"> PAGEREF _Toc28775 \h </w:instrText>
        </w:r>
        <w:r>
          <w:fldChar w:fldCharType="separate"/>
        </w:r>
        <w:r>
          <w:t>7</w:t>
        </w:r>
        <w:r>
          <w:fldChar w:fldCharType="end"/>
        </w:r>
      </w:hyperlink>
    </w:p>
    <w:p>
      <w:pPr>
        <w:pStyle w:val="TOC1"/>
        <w:tabs>
          <w:tab w:val="right" w:leader="dot" w:pos="8306"/>
        </w:tabs>
      </w:pPr>
      <w:hyperlink w:anchor="_Toc6254" w:history="1">
        <w:r>
          <w:rPr>
            <w:rFonts w:ascii="微软雅黑" w:eastAsia="微软雅黑" w:hAnsi="微软雅黑" w:cs="微软雅黑" w:hint="eastAsia"/>
            <w:color w:val="001CAC" w:themeColor="hyperlink" w:themeShade="BF"/>
            <w:szCs w:val="32"/>
            <w:lang w:eastAsia="zh-CN"/>
          </w:rPr>
          <w:t>三、频率测量仪表行业项目管理与实施</w:t>
        </w:r>
        <w:r>
          <w:tab/>
        </w:r>
        <w:r>
          <w:fldChar w:fldCharType="begin"/>
        </w:r>
        <w:r>
          <w:instrText xml:space="preserve"> PAGEREF _Toc6254 \h </w:instrText>
        </w:r>
        <w:r>
          <w:fldChar w:fldCharType="separate"/>
        </w:r>
        <w:r>
          <w:t>8</w:t>
        </w:r>
        <w:r>
          <w:fldChar w:fldCharType="end"/>
        </w:r>
      </w:hyperlink>
    </w:p>
    <w:p>
      <w:pPr>
        <w:pStyle w:val="TOC2"/>
        <w:tabs>
          <w:tab w:val="right" w:leader="dot" w:pos="8306"/>
        </w:tabs>
      </w:pPr>
      <w:hyperlink w:anchor="_Toc15671" w:history="1">
        <w:r>
          <w:rPr>
            <w:rFonts w:ascii="宋体" w:eastAsia="宋体" w:hAnsi="宋体" w:cs="宋体" w:hint="eastAsia"/>
            <w:bCs w:val="0"/>
            <w:szCs w:val="28"/>
            <w:lang w:eastAsia="zh-CN"/>
          </w:rPr>
          <w:t>(一)、项目进度安排</w:t>
        </w:r>
        <w:r>
          <w:tab/>
        </w:r>
        <w:r>
          <w:fldChar w:fldCharType="begin"/>
        </w:r>
        <w:r>
          <w:instrText xml:space="preserve"> PAGEREF _Toc15671 \h </w:instrText>
        </w:r>
        <w:r>
          <w:fldChar w:fldCharType="separate"/>
        </w:r>
        <w:r>
          <w:t>8</w:t>
        </w:r>
        <w:r>
          <w:fldChar w:fldCharType="end"/>
        </w:r>
      </w:hyperlink>
    </w:p>
    <w:p>
      <w:pPr>
        <w:pStyle w:val="TOC2"/>
        <w:tabs>
          <w:tab w:val="right" w:leader="dot" w:pos="8306"/>
        </w:tabs>
      </w:pPr>
      <w:hyperlink w:anchor="_Toc20719" w:history="1">
        <w:r>
          <w:rPr>
            <w:rFonts w:ascii="宋体" w:eastAsia="宋体" w:hAnsi="宋体" w:cs="宋体" w:hint="eastAsia"/>
            <w:bCs w:val="0"/>
            <w:szCs w:val="28"/>
            <w:lang w:eastAsia="zh-CN"/>
          </w:rPr>
          <w:t>(二)、项目实施保障措施</w:t>
        </w:r>
        <w:r>
          <w:tab/>
        </w:r>
        <w:r>
          <w:fldChar w:fldCharType="begin"/>
        </w:r>
        <w:r>
          <w:instrText xml:space="preserve"> PAGEREF _Toc20719 \h </w:instrText>
        </w:r>
        <w:r>
          <w:fldChar w:fldCharType="separate"/>
        </w:r>
        <w:r>
          <w:t>9</w:t>
        </w:r>
        <w:r>
          <w:fldChar w:fldCharType="end"/>
        </w:r>
      </w:hyperlink>
    </w:p>
    <w:p>
      <w:pPr>
        <w:pStyle w:val="TOC2"/>
        <w:tabs>
          <w:tab w:val="right" w:leader="dot" w:pos="8306"/>
        </w:tabs>
      </w:pPr>
      <w:hyperlink w:anchor="_Toc17786" w:history="1">
        <w:r>
          <w:rPr>
            <w:rFonts w:ascii="宋体" w:eastAsia="宋体" w:hAnsi="宋体" w:cs="宋体" w:hint="eastAsia"/>
            <w:bCs w:val="0"/>
            <w:szCs w:val="28"/>
            <w:lang w:eastAsia="zh-CN"/>
          </w:rPr>
          <w:t>(三)、项目风险分析与对策</w:t>
        </w:r>
        <w:r>
          <w:tab/>
        </w:r>
        <w:r>
          <w:fldChar w:fldCharType="begin"/>
        </w:r>
        <w:r>
          <w:instrText xml:space="preserve"> PAGEREF _Toc17786 \h </w:instrText>
        </w:r>
        <w:r>
          <w:fldChar w:fldCharType="separate"/>
        </w:r>
        <w:r>
          <w:t>9</w:t>
        </w:r>
        <w:r>
          <w:fldChar w:fldCharType="end"/>
        </w:r>
      </w:hyperlink>
    </w:p>
    <w:p>
      <w:pPr>
        <w:pStyle w:val="TOC1"/>
        <w:tabs>
          <w:tab w:val="right" w:leader="dot" w:pos="8306"/>
        </w:tabs>
      </w:pPr>
      <w:hyperlink w:anchor="_Toc30453" w:history="1">
        <w:r>
          <w:rPr>
            <w:rFonts w:ascii="微软雅黑" w:eastAsia="微软雅黑" w:hAnsi="微软雅黑" w:cs="微软雅黑" w:hint="eastAsia"/>
            <w:color w:val="001CAC" w:themeColor="hyperlink" w:themeShade="BF"/>
            <w:szCs w:val="32"/>
            <w:lang w:eastAsia="zh-CN"/>
          </w:rPr>
          <w:t>四、频率测量仪表行业人力资源管理策略</w:t>
        </w:r>
        <w:r>
          <w:tab/>
        </w:r>
        <w:r>
          <w:fldChar w:fldCharType="begin"/>
        </w:r>
        <w:r>
          <w:instrText xml:space="preserve"> PAGEREF _Toc30453 \h </w:instrText>
        </w:r>
        <w:r>
          <w:fldChar w:fldCharType="separate"/>
        </w:r>
        <w:r>
          <w:t>10</w:t>
        </w:r>
        <w:r>
          <w:fldChar w:fldCharType="end"/>
        </w:r>
      </w:hyperlink>
    </w:p>
    <w:p>
      <w:pPr>
        <w:pStyle w:val="TOC2"/>
        <w:tabs>
          <w:tab w:val="right" w:leader="dot" w:pos="8306"/>
        </w:tabs>
      </w:pPr>
      <w:hyperlink w:anchor="_Toc6819" w:history="1">
        <w:r>
          <w:rPr>
            <w:rFonts w:ascii="宋体" w:eastAsia="宋体" w:hAnsi="宋体" w:cs="宋体" w:hint="eastAsia"/>
            <w:bCs w:val="0"/>
            <w:szCs w:val="28"/>
            <w:lang w:eastAsia="zh-CN"/>
          </w:rPr>
          <w:t>(一)、频率测量仪表行业人力资源管理原则</w:t>
        </w:r>
        <w:r>
          <w:tab/>
        </w:r>
        <w:r>
          <w:fldChar w:fldCharType="begin"/>
        </w:r>
        <w:r>
          <w:instrText xml:space="preserve"> PAGEREF _Toc6819 \h </w:instrText>
        </w:r>
        <w:r>
          <w:fldChar w:fldCharType="separate"/>
        </w:r>
        <w:r>
          <w:t>10</w:t>
        </w:r>
        <w:r>
          <w:fldChar w:fldCharType="end"/>
        </w:r>
      </w:hyperlink>
    </w:p>
    <w:p>
      <w:pPr>
        <w:pStyle w:val="TOC2"/>
        <w:tabs>
          <w:tab w:val="right" w:leader="dot" w:pos="8306"/>
        </w:tabs>
      </w:pPr>
      <w:hyperlink w:anchor="_Toc5864" w:history="1">
        <w:r>
          <w:rPr>
            <w:rFonts w:ascii="宋体" w:eastAsia="宋体" w:hAnsi="宋体" w:cs="宋体" w:hint="eastAsia"/>
            <w:bCs w:val="0"/>
            <w:szCs w:val="28"/>
            <w:lang w:eastAsia="zh-CN"/>
          </w:rPr>
          <w:t>(二)、频率测量仪表行业劳动关系管理</w:t>
        </w:r>
        <w:r>
          <w:tab/>
        </w:r>
        <w:r>
          <w:fldChar w:fldCharType="begin"/>
        </w:r>
        <w:r>
          <w:instrText xml:space="preserve"> PAGEREF _Toc5864 \h </w:instrText>
        </w:r>
        <w:r>
          <w:fldChar w:fldCharType="separate"/>
        </w:r>
        <w:r>
          <w:t>13</w:t>
        </w:r>
        <w:r>
          <w:fldChar w:fldCharType="end"/>
        </w:r>
      </w:hyperlink>
    </w:p>
    <w:p>
      <w:pPr>
        <w:pStyle w:val="TOC2"/>
        <w:tabs>
          <w:tab w:val="right" w:leader="dot" w:pos="8306"/>
        </w:tabs>
      </w:pPr>
      <w:hyperlink w:anchor="_Toc32027" w:history="1">
        <w:r>
          <w:rPr>
            <w:rFonts w:ascii="宋体" w:eastAsia="宋体" w:hAnsi="宋体" w:cs="宋体" w:hint="eastAsia"/>
            <w:bCs w:val="0"/>
            <w:szCs w:val="28"/>
            <w:lang w:eastAsia="zh-CN"/>
          </w:rPr>
          <w:t>(三)、频率测量仪表行业人员配置方案</w:t>
        </w:r>
        <w:r>
          <w:tab/>
        </w:r>
        <w:r>
          <w:fldChar w:fldCharType="begin"/>
        </w:r>
        <w:r>
          <w:instrText xml:space="preserve"> PAGEREF _Toc32027 \h </w:instrText>
        </w:r>
        <w:r>
          <w:fldChar w:fldCharType="separate"/>
        </w:r>
        <w:r>
          <w:t>14</w:t>
        </w:r>
        <w:r>
          <w:fldChar w:fldCharType="end"/>
        </w:r>
      </w:hyperlink>
    </w:p>
    <w:p>
      <w:pPr>
        <w:pStyle w:val="TOC2"/>
        <w:tabs>
          <w:tab w:val="right" w:leader="dot" w:pos="8306"/>
        </w:tabs>
      </w:pPr>
      <w:hyperlink w:anchor="_Toc18093" w:history="1">
        <w:r>
          <w:rPr>
            <w:rFonts w:ascii="宋体" w:eastAsia="宋体" w:hAnsi="宋体" w:cs="宋体" w:hint="eastAsia"/>
            <w:bCs w:val="0"/>
            <w:szCs w:val="28"/>
            <w:lang w:eastAsia="zh-CN"/>
          </w:rPr>
          <w:t>(四)、频率测量仪表行业员工招聘方案</w:t>
        </w:r>
        <w:r>
          <w:tab/>
        </w:r>
        <w:r>
          <w:fldChar w:fldCharType="begin"/>
        </w:r>
        <w:r>
          <w:instrText xml:space="preserve"> PAGEREF _Toc18093 \h </w:instrText>
        </w:r>
        <w:r>
          <w:fldChar w:fldCharType="separate"/>
        </w:r>
        <w:r>
          <w:t>15</w:t>
        </w:r>
        <w:r>
          <w:fldChar w:fldCharType="end"/>
        </w:r>
      </w:hyperlink>
    </w:p>
    <w:p>
      <w:pPr>
        <w:pStyle w:val="TOC2"/>
        <w:tabs>
          <w:tab w:val="right" w:leader="dot" w:pos="8306"/>
        </w:tabs>
      </w:pPr>
      <w:hyperlink w:anchor="_Toc3556" w:history="1">
        <w:r>
          <w:rPr>
            <w:rFonts w:ascii="宋体" w:eastAsia="宋体" w:hAnsi="宋体" w:cs="宋体" w:hint="eastAsia"/>
            <w:bCs w:val="0"/>
            <w:szCs w:val="28"/>
            <w:lang w:eastAsia="zh-CN"/>
          </w:rPr>
          <w:t>(五)、频率测量仪表行业绩效和薪酬管理方案</w:t>
        </w:r>
        <w:r>
          <w:tab/>
        </w:r>
        <w:r>
          <w:fldChar w:fldCharType="begin"/>
        </w:r>
        <w:r>
          <w:instrText xml:space="preserve"> PAGEREF _Toc3556 \h </w:instrText>
        </w:r>
        <w:r>
          <w:fldChar w:fldCharType="separate"/>
        </w:r>
        <w:r>
          <w:t>16</w:t>
        </w:r>
        <w:r>
          <w:fldChar w:fldCharType="end"/>
        </w:r>
      </w:hyperlink>
    </w:p>
    <w:p>
      <w:pPr>
        <w:pStyle w:val="TOC2"/>
        <w:tabs>
          <w:tab w:val="right" w:leader="dot" w:pos="8306"/>
        </w:tabs>
      </w:pPr>
      <w:hyperlink w:anchor="_Toc17190" w:history="1">
        <w:r>
          <w:rPr>
            <w:rFonts w:ascii="宋体" w:eastAsia="宋体" w:hAnsi="宋体" w:cs="宋体" w:hint="eastAsia"/>
            <w:bCs w:val="0"/>
            <w:szCs w:val="28"/>
            <w:lang w:eastAsia="zh-CN"/>
          </w:rPr>
          <w:t>(六)、频率测量仪表行业员工福利管理方案</w:t>
        </w:r>
        <w:r>
          <w:tab/>
        </w:r>
        <w:r>
          <w:fldChar w:fldCharType="begin"/>
        </w:r>
        <w:r>
          <w:instrText xml:space="preserve"> PAGEREF _Toc17190 \h </w:instrText>
        </w:r>
        <w:r>
          <w:fldChar w:fldCharType="separate"/>
        </w:r>
        <w:r>
          <w:t>18</w:t>
        </w:r>
        <w:r>
          <w:fldChar w:fldCharType="end"/>
        </w:r>
      </w:hyperlink>
    </w:p>
    <w:p>
      <w:pPr>
        <w:pStyle w:val="TOC1"/>
        <w:tabs>
          <w:tab w:val="right" w:leader="dot" w:pos="8306"/>
        </w:tabs>
      </w:pPr>
      <w:hyperlink w:anchor="_Toc24221" w:history="1">
        <w:r>
          <w:rPr>
            <w:rFonts w:ascii="微软雅黑" w:eastAsia="微软雅黑" w:hAnsi="微软雅黑" w:cs="微软雅黑" w:hint="eastAsia"/>
            <w:color w:val="001CAC" w:themeColor="hyperlink" w:themeShade="BF"/>
            <w:szCs w:val="32"/>
            <w:lang w:eastAsia="zh-CN"/>
          </w:rPr>
          <w:t>五、频率测量仪表行业制度建设与执行</w:t>
        </w:r>
        <w:r>
          <w:tab/>
        </w:r>
        <w:r>
          <w:fldChar w:fldCharType="begin"/>
        </w:r>
        <w:r>
          <w:instrText xml:space="preserve"> PAGEREF _Toc24221 \h </w:instrText>
        </w:r>
        <w:r>
          <w:fldChar w:fldCharType="separate"/>
        </w:r>
        <w:r>
          <w:t>20</w:t>
        </w:r>
        <w:r>
          <w:fldChar w:fldCharType="end"/>
        </w:r>
      </w:hyperlink>
    </w:p>
    <w:p>
      <w:pPr>
        <w:pStyle w:val="TOC2"/>
        <w:tabs>
          <w:tab w:val="right" w:leader="dot" w:pos="8306"/>
        </w:tabs>
      </w:pPr>
      <w:hyperlink w:anchor="_Toc1713" w:history="1">
        <w:r>
          <w:rPr>
            <w:rFonts w:ascii="宋体" w:eastAsia="宋体" w:hAnsi="宋体" w:cs="宋体" w:hint="eastAsia"/>
            <w:bCs w:val="0"/>
            <w:szCs w:val="28"/>
            <w:lang w:eastAsia="zh-CN"/>
          </w:rPr>
          <w:t>(一)、公司制度体系规划</w:t>
        </w:r>
        <w:r>
          <w:tab/>
        </w:r>
        <w:r>
          <w:fldChar w:fldCharType="begin"/>
        </w:r>
        <w:r>
          <w:instrText xml:space="preserve"> PAGEREF _Toc1713 \h </w:instrText>
        </w:r>
        <w:r>
          <w:fldChar w:fldCharType="separate"/>
        </w:r>
        <w:r>
          <w:t>20</w:t>
        </w:r>
        <w:r>
          <w:fldChar w:fldCharType="end"/>
        </w:r>
      </w:hyperlink>
    </w:p>
    <w:p>
      <w:pPr>
        <w:pStyle w:val="TOC2"/>
        <w:tabs>
          <w:tab w:val="right" w:leader="dot" w:pos="8306"/>
        </w:tabs>
      </w:pPr>
      <w:hyperlink w:anchor="_Toc23164" w:history="1">
        <w:r>
          <w:rPr>
            <w:rFonts w:ascii="宋体" w:eastAsia="宋体" w:hAnsi="宋体" w:cs="宋体" w:hint="eastAsia"/>
            <w:bCs w:val="0"/>
            <w:szCs w:val="28"/>
            <w:lang w:eastAsia="zh-CN"/>
          </w:rPr>
          <w:t>(二)、员工手册编制与更新</w:t>
        </w:r>
        <w:r>
          <w:tab/>
        </w:r>
        <w:r>
          <w:fldChar w:fldCharType="begin"/>
        </w:r>
        <w:r>
          <w:instrText xml:space="preserve"> PAGEREF _Toc23164 \h </w:instrText>
        </w:r>
        <w:r>
          <w:fldChar w:fldCharType="separate"/>
        </w:r>
        <w:r>
          <w:t>22</w:t>
        </w:r>
        <w:r>
          <w:fldChar w:fldCharType="end"/>
        </w:r>
      </w:hyperlink>
    </w:p>
    <w:p>
      <w:pPr>
        <w:pStyle w:val="TOC2"/>
        <w:tabs>
          <w:tab w:val="right" w:leader="dot" w:pos="8306"/>
        </w:tabs>
      </w:pPr>
      <w:hyperlink w:anchor="_Toc2228" w:history="1">
        <w:r>
          <w:rPr>
            <w:rFonts w:ascii="宋体" w:eastAsia="宋体" w:hAnsi="宋体" w:cs="宋体" w:hint="eastAsia"/>
            <w:bCs w:val="0"/>
            <w:szCs w:val="28"/>
            <w:lang w:eastAsia="zh-CN"/>
          </w:rPr>
          <w:t>(三)、制度宣导与培训</w:t>
        </w:r>
        <w:r>
          <w:tab/>
        </w:r>
        <w:r>
          <w:fldChar w:fldCharType="begin"/>
        </w:r>
        <w:r>
          <w:instrText xml:space="preserve"> PAGEREF _Toc2228 \h </w:instrText>
        </w:r>
        <w:r>
          <w:fldChar w:fldCharType="separate"/>
        </w:r>
        <w:r>
          <w:t>23</w:t>
        </w:r>
        <w:r>
          <w:fldChar w:fldCharType="end"/>
        </w:r>
      </w:hyperlink>
    </w:p>
    <w:p>
      <w:pPr>
        <w:pStyle w:val="TOC2"/>
        <w:tabs>
          <w:tab w:val="right" w:leader="dot" w:pos="8306"/>
        </w:tabs>
      </w:pPr>
      <w:hyperlink w:anchor="_Toc6195" w:history="1">
        <w:r>
          <w:rPr>
            <w:rFonts w:ascii="宋体" w:eastAsia="宋体" w:hAnsi="宋体" w:cs="宋体" w:hint="eastAsia"/>
            <w:bCs w:val="0"/>
            <w:szCs w:val="28"/>
            <w:lang w:eastAsia="zh-CN"/>
          </w:rPr>
          <w:t>(四)、主要防范措施</w:t>
        </w:r>
        <w:r>
          <w:tab/>
        </w:r>
        <w:r>
          <w:fldChar w:fldCharType="begin"/>
        </w:r>
        <w:r>
          <w:instrText xml:space="preserve"> PAGEREF _Toc6195 \h </w:instrText>
        </w:r>
        <w:r>
          <w:fldChar w:fldCharType="separate"/>
        </w:r>
        <w:r>
          <w:t>24</w:t>
        </w:r>
        <w:r>
          <w:fldChar w:fldCharType="end"/>
        </w:r>
      </w:hyperlink>
    </w:p>
    <w:p>
      <w:pPr>
        <w:pStyle w:val="TOC2"/>
        <w:tabs>
          <w:tab w:val="right" w:leader="dot" w:pos="8306"/>
        </w:tabs>
      </w:pPr>
      <w:hyperlink w:anchor="_Toc5750" w:history="1">
        <w:r>
          <w:rPr>
            <w:rFonts w:ascii="宋体" w:eastAsia="宋体" w:hAnsi="宋体" w:cs="宋体" w:hint="eastAsia"/>
            <w:bCs w:val="0"/>
            <w:szCs w:val="28"/>
            <w:lang w:eastAsia="zh-CN"/>
          </w:rPr>
          <w:t>(五)、制度优化与更新</w:t>
        </w:r>
        <w:r>
          <w:tab/>
        </w:r>
        <w:r>
          <w:fldChar w:fldCharType="begin"/>
        </w:r>
        <w:r>
          <w:instrText xml:space="preserve"> PAGEREF _Toc5750 \h </w:instrText>
        </w:r>
        <w:r>
          <w:fldChar w:fldCharType="separate"/>
        </w:r>
        <w:r>
          <w:t>25</w:t>
        </w:r>
        <w:r>
          <w:fldChar w:fldCharType="end"/>
        </w:r>
      </w:hyperlink>
    </w:p>
    <w:p>
      <w:pPr>
        <w:pStyle w:val="TOC1"/>
        <w:tabs>
          <w:tab w:val="right" w:leader="dot" w:pos="8306"/>
        </w:tabs>
      </w:pPr>
      <w:hyperlink w:anchor="_Toc25561" w:history="1">
        <w:r>
          <w:rPr>
            <w:rFonts w:ascii="微软雅黑" w:eastAsia="微软雅黑" w:hAnsi="微软雅黑" w:cs="微软雅黑" w:hint="eastAsia"/>
            <w:color w:val="001CAC" w:themeColor="hyperlink" w:themeShade="BF"/>
            <w:szCs w:val="32"/>
            <w:lang w:eastAsia="zh-CN"/>
          </w:rPr>
          <w:t>六、制度建设与管理</w:t>
        </w:r>
        <w:r>
          <w:tab/>
        </w:r>
        <w:r>
          <w:fldChar w:fldCharType="begin"/>
        </w:r>
        <w:r>
          <w:instrText xml:space="preserve"> PAGEREF _Toc25561 \h </w:instrText>
        </w:r>
        <w:r>
          <w:fldChar w:fldCharType="separate"/>
        </w:r>
        <w:r>
          <w:t>25</w:t>
        </w:r>
        <w:r>
          <w:fldChar w:fldCharType="end"/>
        </w:r>
      </w:hyperlink>
    </w:p>
    <w:p>
      <w:pPr>
        <w:pStyle w:val="TOC2"/>
        <w:tabs>
          <w:tab w:val="right" w:leader="dot" w:pos="8306"/>
        </w:tabs>
      </w:pPr>
      <w:hyperlink w:anchor="_Toc30680" w:history="1">
        <w:r>
          <w:rPr>
            <w:rFonts w:ascii="宋体" w:eastAsia="宋体" w:hAnsi="宋体" w:cs="宋体" w:hint="eastAsia"/>
            <w:bCs w:val="0"/>
            <w:szCs w:val="28"/>
            <w:lang w:eastAsia="zh-CN"/>
          </w:rPr>
          <w:t>(一)、公司治理结构</w:t>
        </w:r>
        <w:r>
          <w:tab/>
        </w:r>
        <w:r>
          <w:fldChar w:fldCharType="begin"/>
        </w:r>
        <w:r>
          <w:instrText xml:space="preserve"> PAGEREF _Toc30680 \h </w:instrText>
        </w:r>
        <w:r>
          <w:fldChar w:fldCharType="separate"/>
        </w:r>
        <w:r>
          <w:t>25</w:t>
        </w:r>
        <w:r>
          <w:fldChar w:fldCharType="end"/>
        </w:r>
      </w:hyperlink>
    </w:p>
    <w:p>
      <w:pPr>
        <w:pStyle w:val="TOC2"/>
        <w:tabs>
          <w:tab w:val="right" w:leader="dot" w:pos="8306"/>
        </w:tabs>
      </w:pPr>
      <w:hyperlink w:anchor="_Toc2389" w:history="1">
        <w:r>
          <w:rPr>
            <w:rFonts w:ascii="宋体" w:eastAsia="宋体" w:hAnsi="宋体" w:cs="宋体" w:hint="eastAsia"/>
            <w:bCs w:val="0"/>
            <w:szCs w:val="28"/>
            <w:lang w:eastAsia="zh-CN"/>
          </w:rPr>
          <w:t>(二)、内部控制与审计</w:t>
        </w:r>
        <w:r>
          <w:tab/>
        </w:r>
        <w:r>
          <w:fldChar w:fldCharType="begin"/>
        </w:r>
        <w:r>
          <w:instrText xml:space="preserve"> PAGEREF _Toc2389 \h </w:instrText>
        </w:r>
        <w:r>
          <w:fldChar w:fldCharType="separate"/>
        </w:r>
        <w:r>
          <w:t>26</w:t>
        </w:r>
        <w:r>
          <w:fldChar w:fldCharType="end"/>
        </w:r>
      </w:hyperlink>
    </w:p>
    <w:p>
      <w:pPr>
        <w:pStyle w:val="TOC2"/>
        <w:tabs>
          <w:tab w:val="right" w:leader="dot" w:pos="8306"/>
        </w:tabs>
      </w:pPr>
      <w:hyperlink w:anchor="_Toc26275" w:history="1">
        <w:r>
          <w:rPr>
            <w:rFonts w:ascii="宋体" w:eastAsia="宋体" w:hAnsi="宋体" w:cs="宋体" w:hint="eastAsia"/>
            <w:bCs w:val="0"/>
            <w:szCs w:val="28"/>
            <w:lang w:eastAsia="zh-CN"/>
          </w:rPr>
          <w:t>(三)、法律法规合规体系</w:t>
        </w:r>
        <w:r>
          <w:tab/>
        </w:r>
        <w:r>
          <w:fldChar w:fldCharType="begin"/>
        </w:r>
        <w:r>
          <w:instrText xml:space="preserve"> PAGEREF _Toc26275 \h </w:instrText>
        </w:r>
        <w:r>
          <w:fldChar w:fldCharType="separate"/>
        </w:r>
        <w:r>
          <w:t>27</w:t>
        </w:r>
        <w:r>
          <w:fldChar w:fldCharType="end"/>
        </w:r>
      </w:hyperlink>
    </w:p>
    <w:p>
      <w:pPr>
        <w:pStyle w:val="TOC1"/>
        <w:tabs>
          <w:tab w:val="right" w:leader="dot" w:pos="8306"/>
        </w:tabs>
      </w:pPr>
      <w:hyperlink w:anchor="_Toc27352" w:history="1">
        <w:r>
          <w:rPr>
            <w:rFonts w:ascii="微软雅黑" w:eastAsia="微软雅黑" w:hAnsi="微软雅黑" w:cs="微软雅黑" w:hint="eastAsia"/>
            <w:color w:val="001CAC" w:themeColor="hyperlink" w:themeShade="BF"/>
            <w:szCs w:val="32"/>
            <w:lang w:eastAsia="zh-CN"/>
          </w:rPr>
          <w:t>七、频率测量仪表行业人才招聘与发展</w:t>
        </w:r>
        <w:r>
          <w:tab/>
        </w:r>
        <w:r>
          <w:fldChar w:fldCharType="begin"/>
        </w:r>
        <w:r>
          <w:instrText xml:space="preserve"> PAGEREF _Toc27352 \h </w:instrText>
        </w:r>
        <w:r>
          <w:fldChar w:fldCharType="separate"/>
        </w:r>
        <w:r>
          <w:t>28</w:t>
        </w:r>
        <w:r>
          <w:fldChar w:fldCharType="end"/>
        </w:r>
      </w:hyperlink>
    </w:p>
    <w:p>
      <w:pPr>
        <w:pStyle w:val="TOC2"/>
        <w:tabs>
          <w:tab w:val="right" w:leader="dot" w:pos="8306"/>
        </w:tabs>
      </w:pPr>
      <w:hyperlink w:anchor="_Toc21901" w:history="1">
        <w:r>
          <w:rPr>
            <w:rFonts w:ascii="宋体" w:eastAsia="宋体" w:hAnsi="宋体" w:cs="宋体" w:hint="eastAsia"/>
            <w:bCs w:val="0"/>
            <w:szCs w:val="28"/>
            <w:lang w:eastAsia="zh-CN"/>
          </w:rPr>
          <w:t>(一)、人才需求分析</w:t>
        </w:r>
        <w:r>
          <w:tab/>
        </w:r>
        <w:r>
          <w:fldChar w:fldCharType="begin"/>
        </w:r>
        <w:r>
          <w:instrText xml:space="preserve"> PAGEREF _Toc21901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 w:history="1">
        <w:r>
          <w:rPr>
            <w:rFonts w:ascii="宋体" w:eastAsia="宋体" w:hAnsi="宋体" w:cs="宋体" w:hint="eastAsia"/>
            <w:bCs w:val="0"/>
            <w:szCs w:val="28"/>
            <w:lang w:eastAsia="zh-CN"/>
          </w:rPr>
          <w:t>(二)、招聘计划与流程</w:t>
        </w:r>
        <w:r>
          <w:tab/>
        </w:r>
        <w:r>
          <w:fldChar w:fldCharType="begin"/>
        </w:r>
        <w:r>
          <w:instrText xml:space="preserve"> PAGEREF _Toc3173 \h </w:instrText>
        </w:r>
        <w:r>
          <w:fldChar w:fldCharType="separate"/>
        </w:r>
        <w:r>
          <w:t>30</w:t>
        </w:r>
        <w:r>
          <w:fldChar w:fldCharType="end"/>
        </w:r>
      </w:hyperlink>
    </w:p>
    <w:p>
      <w:pPr>
        <w:pStyle w:val="TOC2"/>
        <w:tabs>
          <w:tab w:val="right" w:leader="dot" w:pos="8306"/>
        </w:tabs>
      </w:pPr>
      <w:hyperlink w:anchor="_Toc11299" w:history="1">
        <w:r>
          <w:rPr>
            <w:rFonts w:ascii="宋体" w:eastAsia="宋体" w:hAnsi="宋体" w:cs="宋体" w:hint="eastAsia"/>
            <w:bCs w:val="0"/>
            <w:szCs w:val="28"/>
            <w:lang w:eastAsia="zh-CN"/>
          </w:rPr>
          <w:t>(三)、员工培训与发展</w:t>
        </w:r>
        <w:r>
          <w:tab/>
        </w:r>
        <w:r>
          <w:fldChar w:fldCharType="begin"/>
        </w:r>
        <w:r>
          <w:instrText xml:space="preserve"> PAGEREF _Toc11299 \h </w:instrText>
        </w:r>
        <w:r>
          <w:fldChar w:fldCharType="separate"/>
        </w:r>
        <w:r>
          <w:t>31</w:t>
        </w:r>
        <w:r>
          <w:fldChar w:fldCharType="end"/>
        </w:r>
      </w:hyperlink>
    </w:p>
    <w:p>
      <w:pPr>
        <w:pStyle w:val="TOC2"/>
        <w:tabs>
          <w:tab w:val="right" w:leader="dot" w:pos="8306"/>
        </w:tabs>
      </w:pPr>
      <w:hyperlink w:anchor="_Toc17543" w:history="1">
        <w:r>
          <w:rPr>
            <w:rFonts w:ascii="宋体" w:eastAsia="宋体" w:hAnsi="宋体" w:cs="宋体" w:hint="eastAsia"/>
            <w:bCs w:val="0"/>
            <w:szCs w:val="28"/>
            <w:lang w:eastAsia="zh-CN"/>
          </w:rPr>
          <w:t>(四)、绩效考核与激励</w:t>
        </w:r>
        <w:r>
          <w:tab/>
        </w:r>
        <w:r>
          <w:fldChar w:fldCharType="begin"/>
        </w:r>
        <w:r>
          <w:instrText xml:space="preserve"> PAGEREF _Toc17543 \h </w:instrText>
        </w:r>
        <w:r>
          <w:fldChar w:fldCharType="separate"/>
        </w:r>
        <w:r>
          <w:t>32</w:t>
        </w:r>
        <w:r>
          <w:fldChar w:fldCharType="end"/>
        </w:r>
      </w:hyperlink>
    </w:p>
    <w:p>
      <w:pPr>
        <w:pStyle w:val="TOC2"/>
        <w:tabs>
          <w:tab w:val="right" w:leader="dot" w:pos="8306"/>
        </w:tabs>
      </w:pPr>
      <w:hyperlink w:anchor="_Toc1843" w:history="1">
        <w:r>
          <w:rPr>
            <w:rFonts w:ascii="宋体" w:eastAsia="宋体" w:hAnsi="宋体" w:cs="宋体" w:hint="eastAsia"/>
            <w:bCs w:val="0"/>
            <w:szCs w:val="28"/>
            <w:lang w:eastAsia="zh-CN"/>
          </w:rPr>
          <w:t>(五)、人才流动与留存</w:t>
        </w:r>
        <w:r>
          <w:tab/>
        </w:r>
        <w:r>
          <w:fldChar w:fldCharType="begin"/>
        </w:r>
        <w:r>
          <w:instrText xml:space="preserve"> PAGEREF _Toc1843 \h </w:instrText>
        </w:r>
        <w:r>
          <w:fldChar w:fldCharType="separate"/>
        </w:r>
        <w:r>
          <w:t>34</w:t>
        </w:r>
        <w:r>
          <w:fldChar w:fldCharType="end"/>
        </w:r>
      </w:hyperlink>
    </w:p>
    <w:p>
      <w:pPr>
        <w:pStyle w:val="TOC1"/>
        <w:tabs>
          <w:tab w:val="right" w:leader="dot" w:pos="8306"/>
        </w:tabs>
      </w:pPr>
      <w:hyperlink w:anchor="_Toc915" w:history="1">
        <w:r>
          <w:rPr>
            <w:rFonts w:ascii="微软雅黑" w:eastAsia="微软雅黑" w:hAnsi="微软雅黑" w:cs="微软雅黑" w:hint="eastAsia"/>
            <w:color w:val="001CAC" w:themeColor="hyperlink" w:themeShade="BF"/>
            <w:szCs w:val="32"/>
            <w:lang w:eastAsia="zh-CN"/>
          </w:rPr>
          <w:t>八、市场营销与推广策略</w:t>
        </w:r>
        <w:r>
          <w:tab/>
        </w:r>
        <w:r>
          <w:fldChar w:fldCharType="begin"/>
        </w:r>
        <w:r>
          <w:instrText xml:space="preserve"> PAGEREF _Toc915 \h </w:instrText>
        </w:r>
        <w:r>
          <w:fldChar w:fldCharType="separate"/>
        </w:r>
        <w:r>
          <w:t>35</w:t>
        </w:r>
        <w:r>
          <w:fldChar w:fldCharType="end"/>
        </w:r>
      </w:hyperlink>
    </w:p>
    <w:p>
      <w:pPr>
        <w:pStyle w:val="TOC2"/>
        <w:tabs>
          <w:tab w:val="right" w:leader="dot" w:pos="8306"/>
        </w:tabs>
      </w:pPr>
      <w:hyperlink w:anchor="_Toc18808" w:history="1">
        <w:r>
          <w:rPr>
            <w:rFonts w:ascii="宋体" w:eastAsia="宋体" w:hAnsi="宋体" w:cs="宋体" w:hint="eastAsia"/>
            <w:bCs w:val="0"/>
            <w:szCs w:val="28"/>
            <w:lang w:eastAsia="zh-CN"/>
          </w:rPr>
          <w:t>(一)、目标市场分析</w:t>
        </w:r>
        <w:r>
          <w:tab/>
        </w:r>
        <w:r>
          <w:fldChar w:fldCharType="begin"/>
        </w:r>
        <w:r>
          <w:instrText xml:space="preserve"> PAGEREF _Toc18808 \h </w:instrText>
        </w:r>
        <w:r>
          <w:fldChar w:fldCharType="separate"/>
        </w:r>
        <w:r>
          <w:t>35</w:t>
        </w:r>
        <w:r>
          <w:fldChar w:fldCharType="end"/>
        </w:r>
      </w:hyperlink>
    </w:p>
    <w:p>
      <w:pPr>
        <w:pStyle w:val="TOC2"/>
        <w:tabs>
          <w:tab w:val="right" w:leader="dot" w:pos="8306"/>
        </w:tabs>
      </w:pPr>
      <w:hyperlink w:anchor="_Toc28207" w:history="1">
        <w:r>
          <w:rPr>
            <w:rFonts w:ascii="宋体" w:eastAsia="宋体" w:hAnsi="宋体" w:cs="宋体" w:hint="eastAsia"/>
            <w:bCs w:val="0"/>
            <w:szCs w:val="28"/>
            <w:lang w:eastAsia="zh-CN"/>
          </w:rPr>
          <w:t>(二)、市场定位与竞争分析</w:t>
        </w:r>
        <w:r>
          <w:tab/>
        </w:r>
        <w:r>
          <w:fldChar w:fldCharType="begin"/>
        </w:r>
        <w:r>
          <w:instrText xml:space="preserve"> PAGEREF _Toc28207 \h </w:instrText>
        </w:r>
        <w:r>
          <w:fldChar w:fldCharType="separate"/>
        </w:r>
        <w:r>
          <w:t>35</w:t>
        </w:r>
        <w:r>
          <w:fldChar w:fldCharType="end"/>
        </w:r>
      </w:hyperlink>
    </w:p>
    <w:p>
      <w:pPr>
        <w:pStyle w:val="TOC2"/>
        <w:tabs>
          <w:tab w:val="right" w:leader="dot" w:pos="8306"/>
        </w:tabs>
      </w:pPr>
      <w:hyperlink w:anchor="_Toc26246" w:history="1">
        <w:r>
          <w:rPr>
            <w:rFonts w:ascii="宋体" w:eastAsia="宋体" w:hAnsi="宋体" w:cs="宋体" w:hint="eastAsia"/>
            <w:bCs w:val="0"/>
            <w:szCs w:val="28"/>
            <w:lang w:eastAsia="zh-CN"/>
          </w:rPr>
          <w:t>(三)、推广与宣传策略</w:t>
        </w:r>
        <w:r>
          <w:tab/>
        </w:r>
        <w:r>
          <w:fldChar w:fldCharType="begin"/>
        </w:r>
        <w:r>
          <w:instrText xml:space="preserve"> PAGEREF _Toc26246 \h </w:instrText>
        </w:r>
        <w:r>
          <w:fldChar w:fldCharType="separate"/>
        </w:r>
        <w:r>
          <w:t>35</w:t>
        </w:r>
        <w:r>
          <w:fldChar w:fldCharType="end"/>
        </w:r>
      </w:hyperlink>
    </w:p>
    <w:p>
      <w:pPr>
        <w:pStyle w:val="TOC1"/>
        <w:tabs>
          <w:tab w:val="right" w:leader="dot" w:pos="8306"/>
        </w:tabs>
      </w:pPr>
      <w:hyperlink w:anchor="_Toc11518" w:history="1">
        <w:r>
          <w:rPr>
            <w:rFonts w:ascii="微软雅黑" w:eastAsia="微软雅黑" w:hAnsi="微软雅黑" w:cs="微软雅黑" w:hint="eastAsia"/>
            <w:color w:val="001CAC" w:themeColor="hyperlink" w:themeShade="BF"/>
            <w:szCs w:val="32"/>
            <w:lang w:eastAsia="zh-CN"/>
          </w:rPr>
          <w:t>九、环境与社会责任</w:t>
        </w:r>
        <w:r>
          <w:tab/>
        </w:r>
        <w:r>
          <w:fldChar w:fldCharType="begin"/>
        </w:r>
        <w:r>
          <w:instrText xml:space="preserve"> PAGEREF _Toc11518 \h </w:instrText>
        </w:r>
        <w:r>
          <w:fldChar w:fldCharType="separate"/>
        </w:r>
        <w:r>
          <w:t>36</w:t>
        </w:r>
        <w:r>
          <w:fldChar w:fldCharType="end"/>
        </w:r>
      </w:hyperlink>
    </w:p>
    <w:p>
      <w:pPr>
        <w:pStyle w:val="TOC2"/>
        <w:tabs>
          <w:tab w:val="right" w:leader="dot" w:pos="8306"/>
        </w:tabs>
      </w:pPr>
      <w:hyperlink w:anchor="_Toc25170" w:history="1">
        <w:r>
          <w:rPr>
            <w:rFonts w:ascii="宋体" w:eastAsia="宋体" w:hAnsi="宋体" w:cs="宋体" w:hint="eastAsia"/>
            <w:bCs w:val="0"/>
            <w:szCs w:val="28"/>
            <w:lang w:eastAsia="zh-CN"/>
          </w:rPr>
          <w:t>(一)、环境影响评估</w:t>
        </w:r>
        <w:r>
          <w:tab/>
        </w:r>
        <w:r>
          <w:fldChar w:fldCharType="begin"/>
        </w:r>
        <w:r>
          <w:instrText xml:space="preserve"> PAGEREF _Toc25170 \h </w:instrText>
        </w:r>
        <w:r>
          <w:fldChar w:fldCharType="separate"/>
        </w:r>
        <w:r>
          <w:t>36</w:t>
        </w:r>
        <w:r>
          <w:fldChar w:fldCharType="end"/>
        </w:r>
      </w:hyperlink>
    </w:p>
    <w:p>
      <w:pPr>
        <w:pStyle w:val="TOC2"/>
        <w:tabs>
          <w:tab w:val="right" w:leader="dot" w:pos="8306"/>
        </w:tabs>
      </w:pPr>
      <w:hyperlink w:anchor="_Toc8850" w:history="1">
        <w:r>
          <w:rPr>
            <w:rFonts w:ascii="宋体" w:eastAsia="宋体" w:hAnsi="宋体" w:cs="宋体" w:hint="eastAsia"/>
            <w:bCs w:val="0"/>
            <w:szCs w:val="28"/>
            <w:lang w:eastAsia="zh-CN"/>
          </w:rPr>
          <w:t>(二)、社会责任与可持续发展</w:t>
        </w:r>
        <w:r>
          <w:tab/>
        </w:r>
        <w:r>
          <w:fldChar w:fldCharType="begin"/>
        </w:r>
        <w:r>
          <w:instrText xml:space="preserve"> PAGEREF _Toc8850 \h </w:instrText>
        </w:r>
        <w:r>
          <w:fldChar w:fldCharType="separate"/>
        </w:r>
        <w:r>
          <w:t>36</w:t>
        </w:r>
        <w:r>
          <w:fldChar w:fldCharType="end"/>
        </w:r>
      </w:hyperlink>
    </w:p>
    <w:p>
      <w:pPr>
        <w:pStyle w:val="TOC1"/>
        <w:tabs>
          <w:tab w:val="right" w:leader="dot" w:pos="8306"/>
        </w:tabs>
      </w:pPr>
      <w:hyperlink w:anchor="_Toc4557" w:history="1">
        <w:r>
          <w:rPr>
            <w:rFonts w:ascii="微软雅黑" w:eastAsia="微软雅黑" w:hAnsi="微软雅黑" w:cs="微软雅黑" w:hint="eastAsia"/>
            <w:color w:val="001CAC" w:themeColor="hyperlink" w:themeShade="BF"/>
            <w:szCs w:val="32"/>
            <w:lang w:eastAsia="zh-CN"/>
          </w:rPr>
          <w:t>十、频率测量仪表行业投资管理策略</w:t>
        </w:r>
        <w:r>
          <w:tab/>
        </w:r>
        <w:r>
          <w:fldChar w:fldCharType="begin"/>
        </w:r>
        <w:r>
          <w:instrText xml:space="preserve"> PAGEREF _Toc4557 \h </w:instrText>
        </w:r>
        <w:r>
          <w:fldChar w:fldCharType="separate"/>
        </w:r>
        <w:r>
          <w:t>37</w:t>
        </w:r>
        <w:r>
          <w:fldChar w:fldCharType="end"/>
        </w:r>
      </w:hyperlink>
    </w:p>
    <w:p>
      <w:pPr>
        <w:pStyle w:val="TOC2"/>
        <w:tabs>
          <w:tab w:val="right" w:leader="dot" w:pos="8306"/>
        </w:tabs>
      </w:pPr>
      <w:hyperlink w:anchor="_Toc539" w:history="1">
        <w:r>
          <w:rPr>
            <w:rFonts w:ascii="宋体" w:eastAsia="宋体" w:hAnsi="宋体" w:cs="宋体" w:hint="eastAsia"/>
            <w:bCs w:val="0"/>
            <w:szCs w:val="28"/>
            <w:lang w:eastAsia="zh-CN"/>
          </w:rPr>
          <w:t>(一)、频率测量仪表行业投资估算主要内容</w:t>
        </w:r>
        <w:r>
          <w:tab/>
        </w:r>
        <w:r>
          <w:fldChar w:fldCharType="begin"/>
        </w:r>
        <w:r>
          <w:instrText xml:space="preserve"> PAGEREF _Toc539 \h </w:instrText>
        </w:r>
        <w:r>
          <w:fldChar w:fldCharType="separate"/>
        </w:r>
        <w:r>
          <w:t>37</w:t>
        </w:r>
        <w:r>
          <w:fldChar w:fldCharType="end"/>
        </w:r>
      </w:hyperlink>
    </w:p>
    <w:p>
      <w:pPr>
        <w:pStyle w:val="TOC2"/>
        <w:tabs>
          <w:tab w:val="right" w:leader="dot" w:pos="8306"/>
        </w:tabs>
      </w:pPr>
      <w:hyperlink w:anchor="_Toc19808" w:history="1">
        <w:r>
          <w:rPr>
            <w:rFonts w:ascii="宋体" w:eastAsia="宋体" w:hAnsi="宋体" w:cs="宋体" w:hint="eastAsia"/>
            <w:bCs w:val="0"/>
            <w:szCs w:val="28"/>
            <w:lang w:eastAsia="zh-CN"/>
          </w:rPr>
          <w:t>(二)、频率测量仪表行业设备购置投资费用管理</w:t>
        </w:r>
        <w:r>
          <w:tab/>
        </w:r>
        <w:r>
          <w:fldChar w:fldCharType="begin"/>
        </w:r>
        <w:r>
          <w:instrText xml:space="preserve"> PAGEREF _Toc19808 \h </w:instrText>
        </w:r>
        <w:r>
          <w:fldChar w:fldCharType="separate"/>
        </w:r>
        <w:r>
          <w:t>40</w:t>
        </w:r>
        <w:r>
          <w:fldChar w:fldCharType="end"/>
        </w:r>
      </w:hyperlink>
    </w:p>
    <w:p>
      <w:pPr>
        <w:pStyle w:val="TOC2"/>
        <w:tabs>
          <w:tab w:val="right" w:leader="dot" w:pos="8306"/>
        </w:tabs>
      </w:pPr>
      <w:hyperlink w:anchor="_Toc21617" w:history="1">
        <w:r>
          <w:rPr>
            <w:rFonts w:ascii="宋体" w:eastAsia="宋体" w:hAnsi="宋体" w:cs="宋体" w:hint="eastAsia"/>
            <w:bCs w:val="0"/>
            <w:szCs w:val="28"/>
            <w:lang w:eastAsia="zh-CN"/>
          </w:rPr>
          <w:t>(三)、频率测量仪表行业装修施工投资费用管理</w:t>
        </w:r>
        <w:r>
          <w:tab/>
        </w:r>
        <w:r>
          <w:fldChar w:fldCharType="begin"/>
        </w:r>
        <w:r>
          <w:instrText xml:space="preserve"> PAGEREF _Toc21617 \h </w:instrText>
        </w:r>
        <w:r>
          <w:fldChar w:fldCharType="separate"/>
        </w:r>
        <w:r>
          <w:t>44</w:t>
        </w:r>
        <w:r>
          <w:fldChar w:fldCharType="end"/>
        </w:r>
      </w:hyperlink>
    </w:p>
    <w:p>
      <w:pPr>
        <w:pStyle w:val="TOC2"/>
        <w:tabs>
          <w:tab w:val="right" w:leader="dot" w:pos="8306"/>
        </w:tabs>
      </w:pPr>
      <w:hyperlink w:anchor="_Toc3155" w:history="1">
        <w:r>
          <w:rPr>
            <w:rFonts w:ascii="宋体" w:eastAsia="宋体" w:hAnsi="宋体" w:cs="宋体" w:hint="eastAsia"/>
            <w:bCs w:val="0"/>
            <w:szCs w:val="28"/>
            <w:lang w:eastAsia="zh-CN"/>
          </w:rPr>
          <w:t>(四)、频率测量仪表行业流动资金管理</w:t>
        </w:r>
        <w:r>
          <w:tab/>
        </w:r>
        <w:r>
          <w:fldChar w:fldCharType="begin"/>
        </w:r>
        <w:r>
          <w:instrText xml:space="preserve"> PAGEREF _Toc3155 \h </w:instrText>
        </w:r>
        <w:r>
          <w:fldChar w:fldCharType="separate"/>
        </w:r>
        <w:r>
          <w:t>45</w:t>
        </w:r>
        <w:r>
          <w:fldChar w:fldCharType="end"/>
        </w:r>
      </w:hyperlink>
    </w:p>
    <w:p>
      <w:pPr>
        <w:pStyle w:val="TOC1"/>
        <w:tabs>
          <w:tab w:val="right" w:leader="dot" w:pos="8306"/>
        </w:tabs>
      </w:pPr>
      <w:hyperlink w:anchor="_Toc9819" w:history="1">
        <w:r>
          <w:rPr>
            <w:rFonts w:ascii="微软雅黑" w:eastAsia="微软雅黑" w:hAnsi="微软雅黑" w:cs="微软雅黑" w:hint="eastAsia"/>
            <w:color w:val="001CAC" w:themeColor="hyperlink" w:themeShade="BF"/>
            <w:szCs w:val="32"/>
            <w:lang w:eastAsia="zh-CN"/>
          </w:rPr>
          <w:t>十一、频率测量仪表行业财务管理分析</w:t>
        </w:r>
        <w:r>
          <w:tab/>
        </w:r>
        <w:r>
          <w:fldChar w:fldCharType="begin"/>
        </w:r>
        <w:r>
          <w:instrText xml:space="preserve"> PAGEREF _Toc9819 \h </w:instrText>
        </w:r>
        <w:r>
          <w:fldChar w:fldCharType="separate"/>
        </w:r>
        <w:r>
          <w:t>48</w:t>
        </w:r>
        <w:r>
          <w:fldChar w:fldCharType="end"/>
        </w:r>
      </w:hyperlink>
    </w:p>
    <w:p>
      <w:pPr>
        <w:pStyle w:val="TOC2"/>
        <w:tabs>
          <w:tab w:val="right" w:leader="dot" w:pos="8306"/>
        </w:tabs>
      </w:pPr>
      <w:hyperlink w:anchor="_Toc22630" w:history="1">
        <w:r>
          <w:rPr>
            <w:rFonts w:ascii="宋体" w:eastAsia="宋体" w:hAnsi="宋体" w:cs="宋体" w:hint="eastAsia"/>
            <w:bCs w:val="0"/>
            <w:szCs w:val="28"/>
            <w:lang w:eastAsia="zh-CN"/>
          </w:rPr>
          <w:t>(一)、频率测量仪表行业财务管理制度</w:t>
        </w:r>
        <w:r>
          <w:tab/>
        </w:r>
        <w:r>
          <w:fldChar w:fldCharType="begin"/>
        </w:r>
        <w:r>
          <w:instrText xml:space="preserve"> PAGEREF _Toc22630 \h </w:instrText>
        </w:r>
        <w:r>
          <w:fldChar w:fldCharType="separate"/>
        </w:r>
        <w:r>
          <w:t>48</w:t>
        </w:r>
        <w:r>
          <w:fldChar w:fldCharType="end"/>
        </w:r>
      </w:hyperlink>
    </w:p>
    <w:p>
      <w:pPr>
        <w:pStyle w:val="TOC2"/>
        <w:tabs>
          <w:tab w:val="right" w:leader="dot" w:pos="8306"/>
        </w:tabs>
      </w:pPr>
      <w:hyperlink w:anchor="_Toc12881" w:history="1">
        <w:r>
          <w:rPr>
            <w:rFonts w:ascii="宋体" w:eastAsia="宋体" w:hAnsi="宋体" w:cs="宋体" w:hint="eastAsia"/>
            <w:bCs w:val="0"/>
            <w:szCs w:val="28"/>
            <w:lang w:eastAsia="zh-CN"/>
          </w:rPr>
          <w:t>(二)、频率测量仪表行业经济效益分析</w:t>
        </w:r>
        <w:r>
          <w:tab/>
        </w:r>
        <w:r>
          <w:fldChar w:fldCharType="begin"/>
        </w:r>
        <w:r>
          <w:instrText xml:space="preserve"> PAGEREF _Toc12881 \h </w:instrText>
        </w:r>
        <w:r>
          <w:fldChar w:fldCharType="separate"/>
        </w:r>
        <w:r>
          <w:t>49</w:t>
        </w:r>
        <w:r>
          <w:fldChar w:fldCharType="end"/>
        </w:r>
      </w:hyperlink>
    </w:p>
    <w:p>
      <w:pPr>
        <w:pStyle w:val="TOC2"/>
        <w:tabs>
          <w:tab w:val="right" w:leader="dot" w:pos="8306"/>
        </w:tabs>
      </w:pPr>
      <w:hyperlink w:anchor="_Toc17179" w:history="1">
        <w:r>
          <w:rPr>
            <w:rFonts w:ascii="宋体" w:eastAsia="宋体" w:hAnsi="宋体" w:cs="宋体" w:hint="eastAsia"/>
            <w:bCs w:val="0"/>
            <w:szCs w:val="28"/>
            <w:lang w:eastAsia="zh-CN"/>
          </w:rPr>
          <w:t>(三)、频率测量仪表行业收入及成本核算</w:t>
        </w:r>
        <w:r>
          <w:tab/>
        </w:r>
        <w:r>
          <w:fldChar w:fldCharType="begin"/>
        </w:r>
        <w:r>
          <w:instrText xml:space="preserve"> PAGEREF _Toc17179 \h </w:instrText>
        </w:r>
        <w:r>
          <w:fldChar w:fldCharType="separate"/>
        </w:r>
        <w:r>
          <w:t>51</w:t>
        </w:r>
        <w:r>
          <w:fldChar w:fldCharType="end"/>
        </w:r>
      </w:hyperlink>
    </w:p>
    <w:p>
      <w:pPr>
        <w:pStyle w:val="TOC2"/>
        <w:tabs>
          <w:tab w:val="right" w:leader="dot" w:pos="8306"/>
        </w:tabs>
      </w:pPr>
      <w:hyperlink w:anchor="_Toc10504" w:history="1">
        <w:r>
          <w:rPr>
            <w:rFonts w:ascii="宋体" w:eastAsia="宋体" w:hAnsi="宋体" w:cs="宋体" w:hint="eastAsia"/>
            <w:bCs w:val="0"/>
            <w:szCs w:val="28"/>
            <w:lang w:eastAsia="zh-CN"/>
          </w:rPr>
          <w:t>(四)、频率测量仪表行业成本管理</w:t>
        </w:r>
        <w:r>
          <w:tab/>
        </w:r>
        <w:r>
          <w:fldChar w:fldCharType="begin"/>
        </w:r>
        <w:r>
          <w:instrText xml:space="preserve"> PAGEREF _Toc10504 \h </w:instrText>
        </w:r>
        <w:r>
          <w:fldChar w:fldCharType="separate"/>
        </w:r>
        <w:r>
          <w:t>52</w:t>
        </w:r>
        <w:r>
          <w:fldChar w:fldCharType="end"/>
        </w:r>
      </w:hyperlink>
    </w:p>
    <w:p>
      <w:pPr>
        <w:pStyle w:val="TOC1"/>
        <w:tabs>
          <w:tab w:val="right" w:leader="dot" w:pos="8306"/>
        </w:tabs>
      </w:pPr>
      <w:hyperlink w:anchor="_Toc4752" w:history="1">
        <w:r>
          <w:rPr>
            <w:rFonts w:ascii="微软雅黑" w:eastAsia="微软雅黑" w:hAnsi="微软雅黑" w:cs="微软雅黑" w:hint="eastAsia"/>
            <w:color w:val="001CAC" w:themeColor="hyperlink" w:themeShade="BF"/>
            <w:szCs w:val="32"/>
            <w:lang w:eastAsia="zh-CN"/>
          </w:rPr>
          <w:t>十二、质量管理与持续改进</w:t>
        </w:r>
        <w:r>
          <w:tab/>
        </w:r>
        <w:r>
          <w:fldChar w:fldCharType="begin"/>
        </w:r>
        <w:r>
          <w:instrText xml:space="preserve"> PAGEREF _Toc4752 \h </w:instrText>
        </w:r>
        <w:r>
          <w:fldChar w:fldCharType="separate"/>
        </w:r>
        <w:r>
          <w:t>55</w:t>
        </w:r>
        <w:r>
          <w:fldChar w:fldCharType="end"/>
        </w:r>
      </w:hyperlink>
    </w:p>
    <w:p>
      <w:pPr>
        <w:pStyle w:val="TOC2"/>
        <w:tabs>
          <w:tab w:val="right" w:leader="dot" w:pos="8306"/>
        </w:tabs>
      </w:pPr>
      <w:hyperlink w:anchor="_Toc6015" w:history="1">
        <w:r>
          <w:rPr>
            <w:rFonts w:ascii="宋体" w:eastAsia="宋体" w:hAnsi="宋体" w:cs="宋体" w:hint="eastAsia"/>
            <w:bCs w:val="0"/>
            <w:szCs w:val="28"/>
            <w:lang w:eastAsia="zh-CN"/>
          </w:rPr>
          <w:t>(一)、质量管理体系建设</w:t>
        </w:r>
        <w:r>
          <w:tab/>
        </w:r>
        <w:r>
          <w:fldChar w:fldCharType="begin"/>
        </w:r>
        <w:r>
          <w:instrText xml:space="preserve"> PAGEREF _Toc6015 \h </w:instrText>
        </w:r>
        <w:r>
          <w:fldChar w:fldCharType="separate"/>
        </w:r>
        <w:r>
          <w:t>55</w:t>
        </w:r>
        <w:r>
          <w:fldChar w:fldCharType="end"/>
        </w:r>
      </w:hyperlink>
    </w:p>
    <w:p>
      <w:pPr>
        <w:pStyle w:val="TOC2"/>
        <w:tabs>
          <w:tab w:val="right" w:leader="dot" w:pos="8306"/>
        </w:tabs>
      </w:pPr>
      <w:hyperlink w:anchor="_Toc18896" w:history="1">
        <w:r>
          <w:rPr>
            <w:rFonts w:ascii="宋体" w:eastAsia="宋体" w:hAnsi="宋体" w:cs="宋体" w:hint="eastAsia"/>
            <w:bCs w:val="0"/>
            <w:szCs w:val="28"/>
            <w:lang w:eastAsia="zh-CN"/>
          </w:rPr>
          <w:t>(二)、生产过程控制与优化</w:t>
        </w:r>
        <w:r>
          <w:tab/>
        </w:r>
        <w:r>
          <w:fldChar w:fldCharType="begin"/>
        </w:r>
        <w:r>
          <w:instrText xml:space="preserve"> PAGEREF _Toc18896 \h </w:instrText>
        </w:r>
        <w:r>
          <w:fldChar w:fldCharType="separate"/>
        </w:r>
        <w:r>
          <w:t>56</w:t>
        </w:r>
        <w:r>
          <w:fldChar w:fldCharType="end"/>
        </w:r>
      </w:hyperlink>
    </w:p>
    <w:p>
      <w:pPr>
        <w:pStyle w:val="TOC2"/>
        <w:tabs>
          <w:tab w:val="right" w:leader="dot" w:pos="8306"/>
        </w:tabs>
      </w:pPr>
      <w:hyperlink w:anchor="_Toc7792" w:history="1">
        <w:r>
          <w:rPr>
            <w:rFonts w:ascii="宋体" w:eastAsia="宋体" w:hAnsi="宋体" w:cs="宋体" w:hint="eastAsia"/>
            <w:bCs w:val="0"/>
            <w:szCs w:val="28"/>
            <w:lang w:eastAsia="zh-CN"/>
          </w:rPr>
          <w:t>(三)、产品质量检验与测试</w:t>
        </w:r>
        <w:r>
          <w:tab/>
        </w:r>
        <w:r>
          <w:fldChar w:fldCharType="begin"/>
        </w:r>
        <w:r>
          <w:instrText xml:space="preserve"> PAGEREF _Toc7792 \h </w:instrText>
        </w:r>
        <w:r>
          <w:fldChar w:fldCharType="separate"/>
        </w:r>
        <w:r>
          <w:t>57</w:t>
        </w:r>
        <w:r>
          <w:fldChar w:fldCharType="end"/>
        </w:r>
      </w:hyperlink>
    </w:p>
    <w:p>
      <w:pPr>
        <w:pStyle w:val="TOC2"/>
        <w:tabs>
          <w:tab w:val="right" w:leader="dot" w:pos="8306"/>
        </w:tabs>
      </w:pPr>
      <w:hyperlink w:anchor="_Toc4358" w:history="1">
        <w:r>
          <w:rPr>
            <w:rFonts w:ascii="宋体" w:eastAsia="宋体" w:hAnsi="宋体" w:cs="宋体" w:hint="eastAsia"/>
            <w:bCs w:val="0"/>
            <w:szCs w:val="28"/>
            <w:lang w:eastAsia="zh-CN"/>
          </w:rPr>
          <w:t>(四)、用户反馈与质量改进</w:t>
        </w:r>
        <w:r>
          <w:tab/>
        </w:r>
        <w:r>
          <w:fldChar w:fldCharType="begin"/>
        </w:r>
        <w:r>
          <w:instrText xml:space="preserve"> PAGEREF _Toc4358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微软雅黑" w:eastAsia="微软雅黑" w:hAnsi="微软雅黑" w:cs="微软雅黑" w:hint="eastAsia"/>
          <w:color w:val="2E54A1" w:themeColor="accent1" w:themeShade="BF"/>
          <w:lang w:eastAsia="zh-CN"/>
        </w:rPr>
      </w:pPr>
      <w:bookmarkStart w:id="1" w:name="_Toc22376"/>
      <w:r>
        <w:rPr>
          <w:rFonts w:ascii="微软雅黑" w:eastAsia="微软雅黑" w:hAnsi="微软雅黑" w:cs="微软雅黑" w:hint="eastAsia"/>
          <w:color w:val="2E54A1" w:themeColor="accent1" w:themeShade="BF"/>
          <w:lang w:eastAsia="zh-CN"/>
        </w:rPr>
        <w:t>前言</w:t>
      </w:r>
      <w:bookmarkEnd w:id="1"/>
    </w:p>
    <w:p>
      <w:pPr>
        <w:spacing w:line="480" w:lineRule="auto"/>
        <w:ind w:firstLine="480" w:firstLineChars="200"/>
        <w:rPr>
          <w:rFonts w:ascii="宋体" w:eastAsia="宋体" w:hAnsi="宋体" w:cs="宋体" w:hint="eastAsia"/>
          <w:sz w:val="24"/>
          <w:szCs w:val="22"/>
        </w:rPr>
      </w:pPr>
      <w:r>
        <w:rPr>
          <w:rFonts w:ascii="宋体" w:eastAsia="宋体" w:hAnsi="宋体" w:cs="宋体" w:hint="eastAsia"/>
          <w:sz w:val="24"/>
          <w:szCs w:val="22"/>
          <w:lang w:eastAsia="zh-CN"/>
        </w:rPr>
        <w:t>频率测量仪表行业研究报告致力于对频率测量仪表行业进行详尽研究和分析，旨在为频率测量仪表行业相关从业人员提供参考和借鉴。报告所包含的内容仅供学术研究和学习交流，不可用作商业用途。通过对行业发展历程、市场趋势和竞争态势的深入考察，本报告力求准确呈现行业现状和未来发展方向，为读者提供全面而有价值的行业洞察和决策支持。</w:t>
      </w:r>
    </w:p>
    <w:p>
      <w:pPr>
        <w:pStyle w:val="Heading1"/>
        <w:spacing w:line="480" w:lineRule="auto"/>
        <w:rPr>
          <w:rFonts w:ascii="微软雅黑" w:eastAsia="微软雅黑" w:hAnsi="微软雅黑" w:cs="微软雅黑" w:hint="eastAsia"/>
          <w:color w:val="2E54A1" w:themeColor="accent1" w:themeShade="BF"/>
          <w:sz w:val="32"/>
          <w:szCs w:val="32"/>
          <w:lang w:eastAsia="zh-CN"/>
        </w:rPr>
      </w:pPr>
      <w:bookmarkStart w:id="2" w:name="_Toc12147"/>
      <w:r>
        <w:rPr>
          <w:rFonts w:ascii="微软雅黑" w:eastAsia="微软雅黑" w:hAnsi="微软雅黑" w:cs="微软雅黑" w:hint="eastAsia"/>
          <w:color w:val="2E54A1" w:themeColor="accent1" w:themeShade="BF"/>
          <w:sz w:val="32"/>
          <w:szCs w:val="32"/>
          <w:lang w:eastAsia="zh-CN"/>
        </w:rPr>
        <w:t>一、项目技术流程</w:t>
      </w:r>
      <w:bookmarkEnd w:id="2"/>
    </w:p>
    <w:p>
      <w:pPr>
        <w:pStyle w:val="Heading2"/>
        <w:spacing w:line="480" w:lineRule="auto"/>
        <w:rPr>
          <w:rFonts w:ascii="宋体" w:eastAsia="宋体" w:hAnsi="宋体" w:cs="宋体" w:hint="eastAsia"/>
          <w:bCs w:val="0"/>
          <w:sz w:val="28"/>
          <w:szCs w:val="28"/>
          <w:lang w:eastAsia="zh-CN"/>
        </w:rPr>
      </w:pPr>
      <w:bookmarkStart w:id="3" w:name="_Toc7969"/>
      <w:r>
        <w:rPr>
          <w:rFonts w:ascii="宋体" w:eastAsia="宋体" w:hAnsi="宋体" w:cs="宋体" w:hint="eastAsia"/>
          <w:b/>
          <w:bCs w:val="0"/>
          <w:sz w:val="28"/>
          <w:szCs w:val="28"/>
          <w:lang w:eastAsia="zh-CN"/>
        </w:rPr>
        <w:t>(一)、技术方案选择</w:t>
      </w:r>
      <w:bookmarkEnd w:id="3"/>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首先，我们对当前频率测量仪表行业技术发展趋势进行了全面了解，以及频率测量仪表行业内同类项目的最佳实践。这有助于我们把握技术创新的方向，确保选择的技术方案能够紧跟频率测量仪表行业前沿。</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技术方案的选择中，我们着眼于多个关键因素，包括但不限于项目的规模、预算、可行性，以及未来的可持续性。我们确保所选技术方案能够在项目实施的整个生命周期内都具备高效、可靠和经济的特性。这意味着我们不仅考虑当前的需求，还关注未来的扩展和升级可能性，以确保项目的可持续性发展。</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与此同时，我们密切关注与技术方案相关的风险，制定相应的风险管理策略。技术方案的选择不仅需要符合项目的要求，还要能够应对潜在的技术挑战和不确定性，确保项目的成功实施和运营。</w:t>
      </w:r>
    </w:p>
    <w:p>
      <w:pPr>
        <w:spacing w:line="480" w:lineRule="auto"/>
        <w:ind w:firstLine="420" w:firstLineChars="0"/>
        <w:rPr>
          <w:rFonts w:ascii="宋体" w:eastAsia="宋体" w:hAnsi="宋体" w:cs="宋体" w:hint="eastAsia"/>
          <w:sz w:val="24"/>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通过这一系统化的方法,我们将确保频率测量仪表行业项目的技术方案选择既符合当前的需求，又具备未来的发展潜力，为项目的成功实施和长期发展翼定了坚实的技术基础。</w:t>
      </w:r>
    </w:p>
    <w:p>
      <w:pPr>
        <w:pStyle w:val="Heading2"/>
        <w:spacing w:line="480" w:lineRule="auto"/>
        <w:rPr>
          <w:rFonts w:ascii="宋体" w:eastAsia="宋体" w:hAnsi="宋体" w:cs="宋体" w:hint="eastAsia"/>
          <w:bCs w:val="0"/>
          <w:sz w:val="28"/>
          <w:szCs w:val="28"/>
          <w:lang w:eastAsia="zh-CN"/>
        </w:rPr>
      </w:pPr>
      <w:bookmarkStart w:id="4" w:name="_Toc21783"/>
      <w:r>
        <w:rPr>
          <w:rFonts w:ascii="宋体" w:eastAsia="宋体" w:hAnsi="宋体" w:cs="宋体" w:hint="eastAsia"/>
          <w:b/>
          <w:bCs w:val="0"/>
          <w:sz w:val="28"/>
          <w:szCs w:val="28"/>
          <w:lang w:eastAsia="zh-CN"/>
        </w:rPr>
        <w:t>(二)、设备选型方案</w:t>
      </w:r>
      <w:bookmarkEnd w:id="4"/>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确定频率测量仪表行业项目的设备选型方案时,我们通过全面的技术评估和比较，考虑了多个因素，确保所选设备能够最大程度地满足项目的需求。首先，我们详细分析了项目的特殊要求和技术规范，明确了每种设备应具备的基本功能和性能标准,为选型提供了明确的指导方向。这确保了选定的设备能够精准地满足项目的技术要求,为整个项目提供了可靠的技术支持。</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其次，我们进行了市场调研，对当前市场上的设备进行比较和评估。我们注重选取具有先进技术、高质量、稳定性好的设备，并综合考虑了供应商的信誉度和售后服务。这综合性的考量确保了我们所选择的设备在性能上卓越，且在实际运营中能够保持稳定可靠，为项目的长期成功运营翼定了基础。</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设备选型方案中，我们还考虑了设备的可维护性和可升级性。选择易于维护的设备有助于降低后期维护成本，延长设备使用寿命。同时，我们也评估了设备的可升级性，以适应未来可能的技术更新和项目扩展需求。这保障了项目在未来技术发展和业务扩张方面有足够的灵活性。</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最后，我们关注了设备选型所涉及的成本因素，通过合理平衡设备性能和成本，确保所选设备在满足项目需求的同时，也符合项目的预算限制。这种综合性的设备选型方案将为频率测量仪表行业项目提供高效、可靠、经济的技术支持，为项目的成功实施翼定坚实基础。</w:t>
      </w:r>
      <w:r>
        <w:rPr>
          <w:rFonts w:ascii="宋体" w:eastAsia="宋体" w:hAnsi="宋体" w:cs="宋体" w:hint="eastAsia"/>
          <w:sz w:val="24"/>
        </w:rPr>
        <w:br/>
      </w:r>
      <w:r>
        <w:rPr>
          <w:rFonts w:ascii="宋体" w:eastAsia="宋体" w:hAnsi="宋体" w:cs="宋体"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https://d.book118.com/188047053012006031</w:t>
        </w:r>
      </w:hyperlink>
    </w:p>
    <w:p>
      <w:pPr>
        <w:spacing w:line="480" w:lineRule="auto"/>
        <w:ind w:firstLine="420" w:firstLineChars="0"/>
        <w:rPr>
          <w:rFonts w:ascii="宋体" w:eastAsia="宋体" w:hAnsi="宋体" w:cs="宋体" w:hint="eastAsia"/>
          <w:sz w:val="24"/>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75B3"/>
    <w:rsid w:val="02623C3C"/>
    <w:rsid w:val="03734037"/>
    <w:rsid w:val="13614867"/>
    <w:rsid w:val="3DAC44EE"/>
    <w:rsid w:val="453746B4"/>
    <w:rsid w:val="482775B3"/>
    <w:rsid w:val="49C53810"/>
    <w:rsid w:val="4E155AC7"/>
    <w:rsid w:val="50930768"/>
    <w:rsid w:val="62A91464"/>
    <w:rsid w:val="692E1C42"/>
    <w:rsid w:val="79096CB0"/>
  </w:rsids>
  <w:docVars>
    <w:docVar w:name="commondata" w:val="eyJoZGlkIjoiYjEzZTI3MzIxYzUxM2E3Y2YyMDVhZDRkMWU5YjExZ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autoRedefine/>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autoRedefine/>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880470530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小海豹</cp:lastModifiedBy>
  <cp:revision>1</cp:revision>
  <dcterms:created xsi:type="dcterms:W3CDTF">2023-12-10T12:06:00Z</dcterms:created>
  <dcterms:modified xsi:type="dcterms:W3CDTF">2024-01-17T07:41:38Z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1E39AA5D4B7F4B19B7D16FD992F8235D_13</vt:lpwstr>
  </property>
  <property fmtid="{D5CDD505-2E9C-101B-9397-08002B2CF9AE}" pid="3" name="KSOProductBuildVer">
    <vt:lpwstr>2052-12.1.0.16120</vt:lpwstr>
  </property>
</Properties>
</file>