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420"/>
          <w:tab w:val="left" w:pos="6660"/>
        </w:tabs>
        <w:spacing w:line="1600" w:lineRule="atLeast"/>
        <w:rPr>
          <w:rFonts w:ascii="仿宋" w:eastAsia="仿宋" w:hAnsi="仿宋" w:cs="仿宋" w:hint="eastAsia"/>
          <w:b/>
          <w:sz w:val="72"/>
          <w:szCs w:val="72"/>
        </w:rPr>
      </w:pPr>
    </w:p>
    <w:p>
      <w:pPr>
        <w:tabs>
          <w:tab w:val="left" w:pos="420"/>
          <w:tab w:val="left" w:pos="6660"/>
        </w:tabs>
        <w:spacing w:line="1600" w:lineRule="atLeast"/>
        <w:jc w:val="center"/>
        <w:rPr>
          <w:rFonts w:ascii="仿宋" w:eastAsia="仿宋" w:hAnsi="仿宋" w:cs="仿宋" w:hint="eastAsia"/>
          <w:b/>
          <w:sz w:val="72"/>
          <w:szCs w:val="72"/>
        </w:rPr>
      </w:pPr>
      <w:r>
        <w:rPr>
          <w:rFonts w:ascii="仿宋" w:eastAsia="仿宋" w:hAnsi="仿宋" w:cs="仿宋" w:hint="eastAsia"/>
          <w:b/>
          <w:sz w:val="72"/>
          <w:szCs w:val="72"/>
        </w:rPr>
        <w:t>博罗县人民医院</w:t>
      </w:r>
    </w:p>
    <w:p>
      <w:pPr>
        <w:tabs>
          <w:tab w:val="left" w:pos="420"/>
          <w:tab w:val="left" w:pos="6660"/>
        </w:tabs>
        <w:spacing w:line="1600" w:lineRule="atLeast"/>
        <w:jc w:val="center"/>
        <w:rPr>
          <w:rFonts w:ascii="仿宋" w:eastAsia="仿宋" w:hAnsi="仿宋" w:cs="仿宋" w:hint="eastAsia"/>
          <w:b/>
          <w:sz w:val="72"/>
          <w:szCs w:val="72"/>
        </w:rPr>
      </w:pPr>
      <w:r>
        <w:rPr>
          <w:rFonts w:ascii="仿宋" w:eastAsia="仿宋" w:hAnsi="仿宋" w:cs="仿宋" w:hint="eastAsia"/>
          <w:b/>
          <w:sz w:val="72"/>
          <w:szCs w:val="72"/>
        </w:rPr>
        <w:t>院内</w:t>
      </w:r>
      <w:r>
        <w:rPr>
          <w:rFonts w:ascii="仿宋" w:eastAsia="仿宋" w:hAnsi="仿宋" w:cs="仿宋" w:hint="eastAsia"/>
          <w:b/>
          <w:sz w:val="72"/>
          <w:szCs w:val="72"/>
          <w:lang w:eastAsia="zh-CN"/>
        </w:rPr>
        <w:t>公开</w:t>
      </w:r>
      <w:r>
        <w:rPr>
          <w:rFonts w:ascii="仿宋" w:eastAsia="仿宋" w:hAnsi="仿宋" w:cs="仿宋" w:hint="eastAsia"/>
          <w:b/>
          <w:sz w:val="72"/>
          <w:szCs w:val="72"/>
        </w:rPr>
        <w:t>招标文件</w:t>
      </w:r>
    </w:p>
    <w:p>
      <w:pPr>
        <w:spacing w:line="500" w:lineRule="exact"/>
        <w:jc w:val="center"/>
        <w:rPr>
          <w:rFonts w:ascii="仿宋" w:eastAsia="仿宋" w:hAnsi="仿宋" w:cs="仿宋" w:hint="eastAsia"/>
          <w:bCs/>
          <w:color w:val="0000FF"/>
          <w:sz w:val="28"/>
          <w:szCs w:val="28"/>
        </w:rPr>
      </w:pPr>
    </w:p>
    <w:p>
      <w:pPr>
        <w:jc w:val="both"/>
        <w:rPr>
          <w:rFonts w:ascii="仿宋" w:eastAsia="仿宋" w:hAnsi="仿宋" w:cs="仿宋" w:hint="eastAsia"/>
          <w:b/>
          <w:sz w:val="28"/>
          <w:szCs w:val="28"/>
        </w:rPr>
      </w:pPr>
    </w:p>
    <w:p>
      <w:pPr>
        <w:ind w:left="2798" w:hanging="1960" w:leftChars="399" w:hangingChars="700"/>
        <w:jc w:val="both"/>
        <w:rPr>
          <w:rFonts w:ascii="仿宋" w:eastAsia="仿宋" w:hAnsi="仿宋" w:cs="仿宋" w:hint="eastAsia"/>
          <w:b/>
          <w:color w:val="0000FF"/>
          <w:sz w:val="32"/>
          <w:szCs w:val="32"/>
        </w:rPr>
      </w:pPr>
      <w:r>
        <w:rPr>
          <w:rFonts w:ascii="仿宋" w:eastAsia="仿宋" w:hAnsi="仿宋" w:cs="仿宋" w:hint="eastAsia"/>
          <w:b/>
          <w:sz w:val="28"/>
          <w:szCs w:val="28"/>
        </w:rPr>
        <w:t>采购项目名</w:t>
      </w:r>
      <w:r>
        <w:rPr>
          <w:rFonts w:ascii="仿宋" w:eastAsia="仿宋" w:hAnsi="仿宋" w:cs="仿宋" w:hint="eastAsia"/>
          <w:b/>
          <w:sz w:val="28"/>
          <w:szCs w:val="28"/>
        </w:rPr>
        <w:t>称</w:t>
      </w:r>
      <w:r>
        <w:rPr>
          <w:rFonts w:ascii="仿宋" w:eastAsia="仿宋" w:hAnsi="仿宋" w:cs="仿宋" w:hint="eastAsia"/>
          <w:b/>
          <w:sz w:val="28"/>
          <w:szCs w:val="28"/>
          <w:lang w:val="en-US" w:eastAsia="zh-CN"/>
        </w:rPr>
        <w:t>：</w:t>
      </w:r>
      <w:r>
        <w:rPr>
          <w:rFonts w:ascii="仿宋" w:eastAsia="仿宋" w:hAnsi="仿宋" w:cs="仿宋" w:hint="eastAsia"/>
          <w:b w:val="0"/>
          <w:bCs/>
          <w:sz w:val="28"/>
          <w:szCs w:val="28"/>
          <w:lang w:val="en-US" w:eastAsia="zh-CN"/>
        </w:rPr>
        <w:t>裂隙灯显微镜、病人监护仪等医疗设备一批</w:t>
      </w:r>
    </w:p>
    <w:p>
      <w:pPr>
        <w:spacing w:line="500" w:lineRule="exact"/>
        <w:ind w:firstLine="840" w:firstLineChars="300"/>
        <w:jc w:val="both"/>
        <w:rPr>
          <w:rFonts w:ascii="仿宋" w:eastAsia="仿宋" w:hAnsi="仿宋" w:cs="仿宋" w:hint="default"/>
          <w:b/>
          <w:color w:val="0000FF"/>
          <w:sz w:val="28"/>
          <w:szCs w:val="28"/>
        </w:rPr>
      </w:pPr>
      <w:r>
        <w:rPr>
          <w:rFonts w:ascii="仿宋" w:eastAsia="仿宋" w:hAnsi="仿宋" w:cs="仿宋" w:hint="eastAsia"/>
          <w:b/>
          <w:sz w:val="28"/>
          <w:szCs w:val="28"/>
          <w:lang w:val="en-US" w:eastAsia="zh-CN"/>
        </w:rPr>
        <w:t>采购</w:t>
      </w:r>
      <w:r>
        <w:rPr>
          <w:rFonts w:ascii="仿宋" w:eastAsia="仿宋" w:hAnsi="仿宋" w:cs="仿宋" w:hint="eastAsia"/>
          <w:b/>
          <w:sz w:val="28"/>
          <w:szCs w:val="28"/>
        </w:rPr>
        <w:t>项目编号：</w:t>
      </w:r>
      <w:r>
        <w:rPr>
          <w:rFonts w:ascii="仿宋" w:eastAsia="仿宋" w:hAnsi="仿宋" w:cs="仿宋" w:hint="eastAsia"/>
          <w:b w:val="0"/>
          <w:bCs/>
          <w:color w:val="0000FF"/>
          <w:sz w:val="28"/>
          <w:szCs w:val="28"/>
          <w:highlight w:val="yellow"/>
          <w:lang w:val="en-US" w:eastAsia="zh-CN"/>
        </w:rPr>
        <w:t>YG-SB20211124</w:t>
      </w:r>
    </w:p>
    <w:p>
      <w:pPr>
        <w:jc w:val="center"/>
        <w:rPr>
          <w:rFonts w:ascii="仿宋" w:eastAsia="仿宋" w:hAnsi="仿宋" w:cs="仿宋" w:hint="eastAsia"/>
          <w:b/>
          <w:sz w:val="32"/>
          <w:szCs w:val="32"/>
        </w:rPr>
      </w:pPr>
      <w:r>
        <w:rPr>
          <w:rFonts w:ascii="仿宋" w:eastAsia="仿宋" w:hAnsi="仿宋" w:cs="仿宋" w:hint="eastAsia"/>
          <w:b/>
          <w:sz w:val="32"/>
          <w:szCs w:val="32"/>
          <w:lang w:val="en-US" w:eastAsia="zh-CN"/>
        </w:rPr>
        <w:t xml:space="preserve"> </w:t>
      </w:r>
    </w:p>
    <w:p>
      <w:pPr>
        <w:jc w:val="center"/>
        <w:rPr>
          <w:rFonts w:ascii="仿宋" w:eastAsia="仿宋" w:hAnsi="仿宋" w:cs="仿宋" w:hint="eastAsia"/>
          <w:b/>
          <w:sz w:val="32"/>
          <w:szCs w:val="32"/>
        </w:rPr>
      </w:pPr>
    </w:p>
    <w:p>
      <w:pPr>
        <w:jc w:val="center"/>
        <w:rPr>
          <w:rFonts w:ascii="仿宋" w:eastAsia="仿宋" w:hAnsi="仿宋" w:cs="仿宋" w:hint="eastAsia"/>
          <w:b/>
          <w:sz w:val="32"/>
          <w:szCs w:val="32"/>
        </w:rPr>
      </w:pPr>
    </w:p>
    <w:p>
      <w:pPr>
        <w:jc w:val="center"/>
        <w:rPr>
          <w:rFonts w:ascii="仿宋" w:eastAsia="仿宋" w:hAnsi="仿宋" w:cs="仿宋" w:hint="eastAsia"/>
          <w:b/>
          <w:sz w:val="32"/>
          <w:szCs w:val="32"/>
        </w:rPr>
      </w:pPr>
    </w:p>
    <w:p>
      <w:pPr>
        <w:jc w:val="center"/>
        <w:rPr>
          <w:rFonts w:ascii="仿宋" w:eastAsia="仿宋" w:hAnsi="仿宋" w:cs="仿宋" w:hint="eastAsia"/>
          <w:b/>
          <w:sz w:val="32"/>
          <w:szCs w:val="32"/>
        </w:rPr>
      </w:pPr>
    </w:p>
    <w:p>
      <w:pPr>
        <w:jc w:val="center"/>
        <w:rPr>
          <w:rFonts w:ascii="仿宋" w:eastAsia="仿宋" w:hAnsi="仿宋" w:cs="仿宋" w:hint="eastAsia"/>
          <w:b/>
          <w:sz w:val="32"/>
          <w:szCs w:val="32"/>
        </w:rPr>
      </w:pPr>
      <w:r>
        <w:rPr>
          <w:rFonts w:ascii="仿宋" w:eastAsia="仿宋" w:hAnsi="仿宋" w:cs="仿宋" w:hint="eastAsia"/>
          <w:b/>
          <w:sz w:val="32"/>
          <w:szCs w:val="32"/>
          <w:lang w:eastAsia="zh-CN"/>
        </w:rPr>
        <w:t>博罗县人民医院</w:t>
      </w:r>
      <w:r>
        <w:rPr>
          <w:rFonts w:ascii="仿宋" w:eastAsia="仿宋" w:hAnsi="仿宋" w:cs="仿宋" w:hint="eastAsia"/>
          <w:b/>
          <w:sz w:val="32"/>
          <w:szCs w:val="32"/>
        </w:rPr>
        <w:t>招标管理办公室编制</w:t>
      </w:r>
    </w:p>
    <w:p>
      <w:pPr>
        <w:rPr>
          <w:rFonts w:ascii="仿宋" w:eastAsia="仿宋" w:hAnsi="仿宋" w:cs="仿宋" w:hint="eastAsia"/>
          <w:b/>
          <w:bCs/>
          <w:color w:val="0000FF"/>
          <w:sz w:val="72"/>
          <w:szCs w:val="72"/>
        </w:rPr>
      </w:pPr>
      <w:r>
        <w:rPr>
          <w:rFonts w:ascii="仿宋" w:eastAsia="仿宋" w:hAnsi="仿宋" w:cs="仿宋" w:hint="eastAsia"/>
          <w:b/>
          <w:sz w:val="32"/>
          <w:szCs w:val="32"/>
        </w:rPr>
        <w:t xml:space="preserve">                </w:t>
      </w:r>
      <w:r>
        <w:rPr>
          <w:rFonts w:ascii="仿宋" w:eastAsia="仿宋" w:hAnsi="仿宋" w:cs="仿宋" w:hint="eastAsia"/>
          <w:b/>
          <w:color w:val="0000FF"/>
          <w:sz w:val="32"/>
          <w:szCs w:val="32"/>
        </w:rPr>
        <w:t xml:space="preserve">  </w:t>
      </w:r>
      <w:r>
        <w:rPr>
          <w:rFonts w:ascii="仿宋" w:eastAsia="仿宋" w:hAnsi="仿宋" w:cs="仿宋" w:hint="eastAsia"/>
          <w:b/>
          <w:color w:val="0000FF"/>
          <w:sz w:val="32"/>
          <w:szCs w:val="32"/>
          <w:lang w:val="en-US" w:eastAsia="zh-CN"/>
        </w:rPr>
        <w:t>2</w:t>
      </w:r>
      <w:r>
        <w:rPr>
          <w:rFonts w:ascii="仿宋" w:eastAsia="仿宋" w:hAnsi="仿宋" w:cs="仿宋" w:hint="eastAsia"/>
          <w:b/>
          <w:color w:val="0000FF"/>
          <w:sz w:val="32"/>
          <w:szCs w:val="32"/>
          <w:lang w:val="en-US" w:eastAsia="zh-CN"/>
        </w:rPr>
        <w:t>021</w:t>
      </w:r>
      <w:r>
        <w:rPr>
          <w:rFonts w:ascii="仿宋" w:eastAsia="仿宋" w:hAnsi="仿宋" w:cs="仿宋" w:hint="eastAsia"/>
          <w:b/>
          <w:color w:val="0000FF"/>
          <w:sz w:val="32"/>
          <w:szCs w:val="32"/>
        </w:rPr>
        <w:t>年</w:t>
      </w:r>
      <w:r>
        <w:rPr>
          <w:rFonts w:ascii="仿宋" w:eastAsia="仿宋" w:hAnsi="仿宋" w:cs="仿宋" w:hint="eastAsia"/>
          <w:b/>
          <w:color w:val="0000FF"/>
          <w:sz w:val="32"/>
          <w:szCs w:val="32"/>
          <w:lang w:val="en-US" w:eastAsia="zh-CN"/>
        </w:rPr>
        <w:t>12</w:t>
      </w:r>
      <w:r>
        <w:rPr>
          <w:rFonts w:ascii="仿宋" w:eastAsia="仿宋" w:hAnsi="仿宋" w:cs="仿宋" w:hint="eastAsia"/>
          <w:b/>
          <w:color w:val="0000FF"/>
          <w:sz w:val="32"/>
          <w:szCs w:val="32"/>
        </w:rPr>
        <w:t>月</w:t>
      </w:r>
      <w:r>
        <w:rPr>
          <w:rFonts w:ascii="仿宋" w:eastAsia="仿宋" w:hAnsi="仿宋" w:cs="仿宋" w:hint="eastAsia"/>
          <w:b/>
          <w:color w:val="0000FF"/>
          <w:sz w:val="32"/>
          <w:szCs w:val="32"/>
          <w:lang w:val="en-US" w:eastAsia="zh-CN"/>
        </w:rPr>
        <w:t>6</w:t>
      </w:r>
      <w:r>
        <w:rPr>
          <w:rFonts w:ascii="仿宋" w:eastAsia="仿宋" w:hAnsi="仿宋" w:cs="仿宋" w:hint="eastAsia"/>
          <w:b/>
          <w:color w:val="0000FF"/>
          <w:sz w:val="32"/>
          <w:szCs w:val="32"/>
        </w:rPr>
        <w:t>日</w:t>
      </w:r>
    </w:p>
    <w:p>
      <w:pPr>
        <w:rPr>
          <w:rFonts w:ascii="仿宋" w:eastAsia="仿宋" w:hAnsi="仿宋" w:cs="仿宋" w:hint="eastAsia"/>
          <w:b/>
          <w:bCs/>
          <w:color w:val="0000FF"/>
          <w:sz w:val="52"/>
          <w:szCs w:val="52"/>
        </w:rPr>
        <w:sectPr>
          <w:headerReference w:type="default" r:id="rId4"/>
          <w:footerReference w:type="default" r:id="rId5"/>
          <w:pgSz w:w="11906" w:h="16838"/>
          <w:pgMar w:top="1440" w:right="1800" w:bottom="1440" w:left="1800" w:header="851" w:footer="992" w:gutter="0"/>
          <w:pgNumType w:fmt="decimal" w:start="1"/>
          <w:cols w:space="708"/>
          <w:docGrid w:type="lines" w:linePitch="312"/>
        </w:sectPr>
      </w:pPr>
    </w:p>
    <w:p>
      <w:pPr>
        <w:pageBreakBefore/>
        <w:jc w:val="center"/>
        <w:rPr>
          <w:rFonts w:ascii="仿宋" w:eastAsia="仿宋" w:hAnsi="仿宋" w:cs="仿宋" w:hint="eastAsia"/>
          <w:b/>
          <w:bCs/>
          <w:caps/>
          <w:sz w:val="28"/>
          <w:szCs w:val="28"/>
        </w:rPr>
      </w:pPr>
      <w:r>
        <w:rPr>
          <w:rFonts w:ascii="仿宋" w:eastAsia="仿宋" w:hAnsi="仿宋" w:cs="仿宋" w:hint="eastAsia"/>
          <w:b/>
          <w:bCs/>
          <w:sz w:val="52"/>
          <w:szCs w:val="52"/>
        </w:rPr>
        <w:t>目      录</w:t>
      </w:r>
      <w:r>
        <w:rPr>
          <w:rFonts w:ascii="仿宋" w:eastAsia="仿宋" w:hAnsi="仿宋" w:cs="仿宋" w:hint="eastAsia"/>
          <w:b/>
          <w:bCs/>
          <w:caps/>
          <w:sz w:val="52"/>
          <w:szCs w:val="52"/>
        </w:rPr>
        <w:br/>
      </w:r>
    </w:p>
    <w:p>
      <w:pPr>
        <w:pStyle w:val="TOC1"/>
        <w:tabs>
          <w:tab w:val="right" w:leader="dot" w:pos="9174"/>
        </w:tabs>
        <w:spacing w:line="360" w:lineRule="auto"/>
        <w:rPr>
          <w:rFonts w:ascii="仿宋" w:eastAsia="仿宋" w:hAnsi="仿宋" w:cs="仿宋" w:hint="eastAsia"/>
          <w:b/>
          <w:bCs/>
          <w:sz w:val="36"/>
          <w:szCs w:val="36"/>
        </w:rPr>
      </w:pPr>
      <w:r>
        <w:rPr>
          <w:rFonts w:ascii="仿宋" w:eastAsia="仿宋" w:hAnsi="仿宋" w:cs="仿宋" w:hint="eastAsia"/>
          <w:b/>
          <w:bCs/>
          <w:sz w:val="36"/>
          <w:szCs w:val="36"/>
        </w:rPr>
        <w:t>第一部分  投标邀请函</w:t>
      </w:r>
    </w:p>
    <w:p>
      <w:pPr>
        <w:rPr>
          <w:rFonts w:ascii="仿宋" w:eastAsia="仿宋" w:hAnsi="仿宋" w:cs="仿宋" w:hint="eastAsia"/>
          <w:b/>
          <w:bCs/>
          <w:sz w:val="36"/>
          <w:szCs w:val="36"/>
        </w:rPr>
      </w:pPr>
    </w:p>
    <w:p>
      <w:pPr>
        <w:rPr>
          <w:rFonts w:ascii="仿宋" w:eastAsia="仿宋" w:hAnsi="仿宋" w:cs="仿宋" w:hint="eastAsia"/>
          <w:b/>
          <w:bCs/>
          <w:sz w:val="36"/>
          <w:szCs w:val="36"/>
        </w:rPr>
      </w:pPr>
      <w:r>
        <w:rPr>
          <w:rFonts w:ascii="仿宋" w:eastAsia="仿宋" w:hAnsi="仿宋" w:cs="仿宋" w:hint="eastAsia"/>
          <w:b/>
          <w:bCs/>
          <w:sz w:val="36"/>
          <w:szCs w:val="36"/>
        </w:rPr>
        <w:t>第二部分  采购项目内容</w:t>
      </w:r>
    </w:p>
    <w:p>
      <w:pPr>
        <w:rPr>
          <w:rFonts w:ascii="仿宋" w:eastAsia="仿宋" w:hAnsi="仿宋" w:cs="仿宋" w:hint="eastAsia"/>
          <w:b/>
          <w:bCs/>
          <w:sz w:val="36"/>
          <w:szCs w:val="36"/>
        </w:rPr>
      </w:pPr>
    </w:p>
    <w:p>
      <w:pPr>
        <w:rPr>
          <w:rFonts w:ascii="仿宋" w:eastAsia="仿宋" w:hAnsi="仿宋" w:cs="仿宋" w:hint="eastAsia"/>
          <w:b/>
          <w:bCs/>
          <w:sz w:val="36"/>
          <w:szCs w:val="36"/>
        </w:rPr>
      </w:pPr>
      <w:r>
        <w:rPr>
          <w:rFonts w:ascii="仿宋" w:eastAsia="仿宋" w:hAnsi="仿宋" w:cs="仿宋" w:hint="eastAsia"/>
          <w:b/>
          <w:bCs/>
          <w:sz w:val="36"/>
          <w:szCs w:val="36"/>
        </w:rPr>
        <w:t>第三部分  投标人须知</w:t>
      </w:r>
    </w:p>
    <w:p>
      <w:pPr>
        <w:rPr>
          <w:rFonts w:ascii="仿宋" w:eastAsia="仿宋" w:hAnsi="仿宋" w:cs="仿宋" w:hint="eastAsia"/>
          <w:b/>
          <w:bCs/>
          <w:sz w:val="36"/>
          <w:szCs w:val="36"/>
        </w:rPr>
      </w:pPr>
    </w:p>
    <w:p>
      <w:pPr>
        <w:rPr>
          <w:rFonts w:ascii="仿宋" w:eastAsia="仿宋" w:hAnsi="仿宋" w:cs="仿宋" w:hint="eastAsia"/>
          <w:b/>
          <w:bCs/>
          <w:sz w:val="36"/>
          <w:szCs w:val="36"/>
        </w:rPr>
      </w:pPr>
      <w:r>
        <w:rPr>
          <w:rFonts w:ascii="仿宋" w:eastAsia="仿宋" w:hAnsi="仿宋" w:cs="仿宋" w:hint="eastAsia"/>
          <w:b/>
          <w:bCs/>
          <w:sz w:val="36"/>
          <w:szCs w:val="36"/>
        </w:rPr>
        <w:t>第四部分  合同书格式</w:t>
      </w:r>
    </w:p>
    <w:p>
      <w:pPr>
        <w:rPr>
          <w:rFonts w:ascii="仿宋" w:eastAsia="仿宋" w:hAnsi="仿宋" w:cs="仿宋" w:hint="eastAsia"/>
          <w:b/>
          <w:bCs/>
          <w:sz w:val="36"/>
          <w:szCs w:val="36"/>
        </w:rPr>
      </w:pPr>
    </w:p>
    <w:p>
      <w:pPr>
        <w:rPr>
          <w:rFonts w:ascii="仿宋" w:eastAsia="仿宋" w:hAnsi="仿宋" w:cs="仿宋" w:hint="eastAsia"/>
          <w:b/>
          <w:bCs/>
          <w:sz w:val="36"/>
          <w:szCs w:val="36"/>
        </w:rPr>
      </w:pPr>
      <w:r>
        <w:rPr>
          <w:rFonts w:ascii="仿宋" w:eastAsia="仿宋" w:hAnsi="仿宋" w:cs="仿宋" w:hint="eastAsia"/>
          <w:b/>
          <w:bCs/>
          <w:sz w:val="36"/>
          <w:szCs w:val="36"/>
        </w:rPr>
        <w:t>第五部分  投标文件格式</w:t>
      </w:r>
    </w:p>
    <w:p>
      <w:pPr>
        <w:jc w:val="center"/>
        <w:rPr>
          <w:rFonts w:ascii="仿宋" w:eastAsia="仿宋" w:hAnsi="仿宋" w:cs="仿宋" w:hint="eastAsia"/>
          <w:b/>
          <w:sz w:val="32"/>
          <w:szCs w:val="32"/>
        </w:rPr>
      </w:pPr>
    </w:p>
    <w:p>
      <w:pPr>
        <w:jc w:val="center"/>
        <w:rPr>
          <w:rFonts w:ascii="仿宋" w:eastAsia="仿宋" w:hAnsi="仿宋" w:cs="仿宋" w:hint="eastAsia"/>
          <w:b/>
          <w:sz w:val="32"/>
          <w:szCs w:val="32"/>
        </w:rPr>
      </w:pPr>
    </w:p>
    <w:p>
      <w:pPr>
        <w:jc w:val="center"/>
        <w:rPr>
          <w:rFonts w:ascii="仿宋" w:eastAsia="仿宋" w:hAnsi="仿宋" w:cs="仿宋" w:hint="eastAsia"/>
          <w:b/>
          <w:sz w:val="32"/>
          <w:szCs w:val="32"/>
        </w:rPr>
      </w:pPr>
    </w:p>
    <w:p>
      <w:pPr>
        <w:jc w:val="center"/>
        <w:rPr>
          <w:rFonts w:ascii="仿宋" w:eastAsia="仿宋" w:hAnsi="仿宋" w:cs="仿宋" w:hint="eastAsia"/>
          <w:b/>
          <w:sz w:val="32"/>
          <w:szCs w:val="32"/>
        </w:rPr>
      </w:pPr>
    </w:p>
    <w:p>
      <w:pPr>
        <w:jc w:val="center"/>
        <w:rPr>
          <w:rFonts w:ascii="仿宋" w:eastAsia="仿宋" w:hAnsi="仿宋" w:cs="仿宋" w:hint="eastAsia"/>
          <w:b/>
          <w:sz w:val="32"/>
          <w:szCs w:val="32"/>
        </w:rPr>
      </w:pPr>
    </w:p>
    <w:p>
      <w:pPr>
        <w:jc w:val="center"/>
        <w:rPr>
          <w:rFonts w:ascii="仿宋" w:eastAsia="仿宋" w:hAnsi="仿宋" w:cs="仿宋" w:hint="eastAsia"/>
          <w:b/>
          <w:sz w:val="32"/>
          <w:szCs w:val="32"/>
        </w:rPr>
      </w:pPr>
    </w:p>
    <w:p>
      <w:pPr>
        <w:spacing w:line="360" w:lineRule="auto"/>
        <w:rPr>
          <w:rFonts w:ascii="仿宋" w:eastAsia="仿宋" w:hAnsi="仿宋" w:cs="仿宋" w:hint="eastAsia"/>
          <w:b/>
          <w:kern w:val="0"/>
          <w:sz w:val="28"/>
          <w:szCs w:val="28"/>
        </w:rPr>
        <w:sectPr>
          <w:headerReference w:type="default" r:id="rId6"/>
          <w:footerReference w:type="default" r:id="rId7"/>
          <w:pgSz w:w="11906" w:h="16838"/>
          <w:pgMar w:top="1440" w:right="1800" w:bottom="1440" w:left="1800" w:header="851" w:footer="992" w:gutter="0"/>
          <w:pgNumType w:fmt="decimal" w:start="2"/>
          <w:cols w:space="708"/>
          <w:docGrid w:type="lines" w:linePitch="312"/>
        </w:sectPr>
      </w:pPr>
    </w:p>
    <w:p>
      <w:pPr>
        <w:spacing w:line="420" w:lineRule="exact"/>
        <w:jc w:val="center"/>
        <w:rPr>
          <w:rFonts w:ascii="仿宋" w:eastAsia="仿宋" w:hAnsi="仿宋" w:cs="仿宋" w:hint="eastAsia"/>
          <w:b/>
          <w:kern w:val="0"/>
          <w:sz w:val="28"/>
          <w:szCs w:val="28"/>
        </w:rPr>
      </w:pPr>
      <w:r>
        <w:rPr>
          <w:rFonts w:ascii="仿宋" w:eastAsia="仿宋" w:hAnsi="仿宋" w:cs="仿宋" w:hint="eastAsia"/>
          <w:b/>
          <w:kern w:val="0"/>
          <w:sz w:val="28"/>
          <w:szCs w:val="28"/>
        </w:rPr>
        <w:t>第一部分 投标邀请函</w:t>
      </w:r>
    </w:p>
    <w:p>
      <w:pPr>
        <w:spacing w:line="360" w:lineRule="auto"/>
        <w:rPr>
          <w:rFonts w:ascii="仿宋" w:eastAsia="仿宋" w:hAnsi="仿宋" w:cs="仿宋" w:hint="eastAsia"/>
          <w:kern w:val="0"/>
          <w:sz w:val="24"/>
        </w:rPr>
      </w:pPr>
      <w:r>
        <w:rPr>
          <w:rFonts w:ascii="仿宋" w:eastAsia="仿宋" w:hAnsi="仿宋" w:cs="仿宋" w:hint="eastAsia"/>
          <w:kern w:val="0"/>
          <w:sz w:val="24"/>
        </w:rPr>
        <w:t>各（潜在）供应商:</w:t>
      </w:r>
    </w:p>
    <w:p>
      <w:pPr>
        <w:spacing w:line="360" w:lineRule="auto"/>
        <w:jc w:val="left"/>
        <w:rPr>
          <w:rFonts w:ascii="仿宋" w:eastAsia="仿宋" w:hAnsi="仿宋" w:cs="仿宋" w:hint="eastAsia"/>
          <w:sz w:val="24"/>
        </w:rPr>
      </w:pPr>
      <w:r>
        <w:rPr>
          <w:rFonts w:ascii="仿宋" w:eastAsia="仿宋" w:hAnsi="仿宋" w:cs="仿宋" w:hint="eastAsia"/>
          <w:sz w:val="24"/>
        </w:rPr>
        <w:t xml:space="preserve">   </w:t>
      </w:r>
      <w:r>
        <w:rPr>
          <w:rFonts w:ascii="仿宋" w:eastAsia="仿宋" w:hAnsi="仿宋" w:cs="仿宋" w:hint="eastAsia"/>
          <w:sz w:val="24"/>
          <w:lang w:val="en-US" w:eastAsia="zh-CN"/>
        </w:rPr>
        <w:t xml:space="preserve"> </w:t>
      </w:r>
      <w:r>
        <w:rPr>
          <w:rFonts w:ascii="仿宋" w:eastAsia="仿宋" w:hAnsi="仿宋" w:cs="仿宋" w:hint="eastAsia"/>
          <w:sz w:val="24"/>
        </w:rPr>
        <w:t>博罗县人民医院</w:t>
      </w:r>
      <w:r>
        <w:rPr>
          <w:rFonts w:ascii="仿宋" w:eastAsia="仿宋" w:hAnsi="仿宋" w:cs="仿宋" w:hint="eastAsia"/>
          <w:sz w:val="24"/>
          <w:lang w:val="en-US" w:eastAsia="zh-CN"/>
        </w:rPr>
        <w:t>裂隙灯显微镜、病人监护仪等医疗设备一批</w:t>
      </w:r>
      <w:r>
        <w:rPr>
          <w:rFonts w:ascii="仿宋" w:eastAsia="仿宋" w:hAnsi="仿宋" w:cs="仿宋" w:hint="eastAsia"/>
          <w:sz w:val="24"/>
        </w:rPr>
        <w:t>将进行院内公开招标采购，欢迎符合资格条件的供应商报名投标。</w:t>
      </w:r>
    </w:p>
    <w:p>
      <w:pPr>
        <w:numPr>
          <w:ilvl w:val="0"/>
          <w:numId w:val="2"/>
        </w:numPr>
        <w:autoSpaceDE w:val="0"/>
        <w:autoSpaceDN w:val="0"/>
        <w:spacing w:line="360" w:lineRule="auto"/>
        <w:rPr>
          <w:rFonts w:ascii="仿宋" w:eastAsia="仿宋" w:hAnsi="仿宋" w:cs="仿宋" w:hint="eastAsia"/>
          <w:color w:val="0000FF"/>
          <w:sz w:val="24"/>
        </w:rPr>
      </w:pPr>
      <w:r>
        <w:rPr>
          <w:rFonts w:ascii="仿宋" w:eastAsia="仿宋" w:hAnsi="仿宋" w:cs="仿宋" w:hint="eastAsia"/>
          <w:sz w:val="24"/>
        </w:rPr>
        <w:t>采购项目名称：</w:t>
      </w:r>
      <w:r>
        <w:rPr>
          <w:rFonts w:ascii="仿宋" w:eastAsia="仿宋" w:hAnsi="仿宋" w:cs="仿宋" w:hint="eastAsia"/>
          <w:sz w:val="24"/>
          <w:lang w:val="en-US" w:eastAsia="zh-CN"/>
        </w:rPr>
        <w:t>裂隙灯显微镜、病人监护仪等医疗设备一批</w:t>
      </w:r>
    </w:p>
    <w:p>
      <w:pPr>
        <w:numPr>
          <w:ilvl w:val="0"/>
          <w:numId w:val="0"/>
        </w:numPr>
        <w:autoSpaceDE w:val="0"/>
        <w:autoSpaceDN w:val="0"/>
        <w:spacing w:line="360" w:lineRule="auto"/>
        <w:rPr>
          <w:rFonts w:ascii="仿宋" w:eastAsia="仿宋" w:hAnsi="仿宋" w:cs="仿宋" w:hint="default"/>
          <w:color w:val="0000FF"/>
          <w:sz w:val="24"/>
        </w:rPr>
      </w:pPr>
      <w:r>
        <w:rPr>
          <w:rFonts w:ascii="仿宋" w:eastAsia="仿宋" w:hAnsi="仿宋" w:cs="仿宋" w:hint="eastAsia"/>
          <w:sz w:val="24"/>
        </w:rPr>
        <w:t>二、采购项目</w:t>
      </w:r>
      <w:r>
        <w:rPr>
          <w:rFonts w:ascii="仿宋" w:eastAsia="仿宋" w:hAnsi="仿宋" w:cs="仿宋" w:hint="eastAsia"/>
          <w:sz w:val="24"/>
          <w:lang w:val="zh-CN"/>
        </w:rPr>
        <w:t>编号：</w:t>
      </w:r>
      <w:r>
        <w:rPr>
          <w:rFonts w:ascii="仿宋" w:eastAsia="仿宋" w:hAnsi="仿宋" w:cs="仿宋" w:hint="eastAsia"/>
          <w:color w:val="0000FF"/>
          <w:sz w:val="24"/>
          <w:highlight w:val="none"/>
          <w:lang w:val="zh-CN"/>
        </w:rPr>
        <w:t>YG-SB</w:t>
      </w:r>
      <w:r>
        <w:rPr>
          <w:rFonts w:ascii="仿宋" w:eastAsia="仿宋" w:hAnsi="仿宋" w:cs="仿宋" w:hint="eastAsia"/>
          <w:color w:val="0000FF"/>
          <w:sz w:val="24"/>
          <w:highlight w:val="none"/>
          <w:lang w:val="en-US" w:eastAsia="zh-CN"/>
        </w:rPr>
        <w:t>20211124</w:t>
      </w:r>
    </w:p>
    <w:p>
      <w:pPr>
        <w:autoSpaceDE w:val="0"/>
        <w:autoSpaceDN w:val="0"/>
        <w:spacing w:line="360" w:lineRule="auto"/>
        <w:rPr>
          <w:rFonts w:ascii="仿宋" w:eastAsia="仿宋" w:hAnsi="仿宋" w:cs="仿宋" w:hint="eastAsia"/>
          <w:sz w:val="24"/>
          <w:lang w:val="zh-CN"/>
        </w:rPr>
      </w:pPr>
      <w:r>
        <w:rPr>
          <w:rFonts w:ascii="仿宋" w:eastAsia="仿宋" w:hAnsi="仿宋" w:cs="仿宋" w:hint="eastAsia"/>
          <w:sz w:val="24"/>
          <w:lang w:val="zh-CN"/>
        </w:rPr>
        <w:t>三、采购预算：</w:t>
      </w:r>
    </w:p>
    <w:tbl>
      <w:tblPr>
        <w:tblStyle w:val="TableNormal"/>
        <w:jc w:val="center"/>
        <w:tblInd w:w="263" w:type="dxa"/>
        <w:tblLayout w:type="fixed"/>
        <w:tblCellMar>
          <w:top w:w="0" w:type="dxa"/>
          <w:left w:w="108" w:type="dxa"/>
          <w:bottom w:w="0" w:type="dxa"/>
          <w:right w:w="108" w:type="dxa"/>
        </w:tblCellMar>
        <w:tblLook w:val="0000"/>
      </w:tblPr>
      <w:tblGrid>
        <w:gridCol w:w="805"/>
        <w:gridCol w:w="3435"/>
        <w:gridCol w:w="746"/>
        <w:gridCol w:w="1471"/>
        <w:gridCol w:w="861"/>
        <w:gridCol w:w="1419"/>
        <w:gridCol w:w="900"/>
      </w:tblGrid>
      <w:tr>
        <w:tblPrEx>
          <w:jc w:val="center"/>
          <w:tblInd w:w="263" w:type="dxa"/>
          <w:tblLayout w:type="fixed"/>
          <w:tblCellMar>
            <w:top w:w="0" w:type="dxa"/>
            <w:left w:w="108" w:type="dxa"/>
            <w:bottom w:w="0" w:type="dxa"/>
            <w:right w:w="108" w:type="dxa"/>
          </w:tblCellMar>
          <w:tblLook w:val="0000"/>
        </w:tblPrEx>
        <w:trPr>
          <w:trHeight w:val="430"/>
          <w:jc w:val="center"/>
        </w:trPr>
        <w:tc>
          <w:tcPr>
            <w:tcW w:w="805"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color w:val="0000FF"/>
                <w:sz w:val="24"/>
                <w:lang w:val="en-US" w:eastAsia="zh-CN"/>
              </w:rPr>
              <w:t>包号</w:t>
            </w:r>
          </w:p>
        </w:tc>
        <w:tc>
          <w:tcPr>
            <w:tcW w:w="3435"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产品名称</w:t>
            </w:r>
          </w:p>
        </w:tc>
        <w:tc>
          <w:tcPr>
            <w:tcW w:w="746"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单位</w:t>
            </w:r>
          </w:p>
        </w:tc>
        <w:tc>
          <w:tcPr>
            <w:tcW w:w="147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预算单价</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（万元）</w:t>
            </w:r>
          </w:p>
        </w:tc>
        <w:tc>
          <w:tcPr>
            <w:tcW w:w="86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数量</w:t>
            </w:r>
          </w:p>
        </w:tc>
        <w:tc>
          <w:tcPr>
            <w:tcW w:w="1419"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预算金额</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（万元）</w:t>
            </w:r>
          </w:p>
        </w:tc>
        <w:tc>
          <w:tcPr>
            <w:tcW w:w="900"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备注</w:t>
            </w:r>
          </w:p>
        </w:tc>
      </w:tr>
      <w:tr>
        <w:tblPrEx>
          <w:jc w:val="center"/>
          <w:tblInd w:w="263" w:type="dxa"/>
          <w:tblLayout w:type="fixed"/>
          <w:tblCellMar>
            <w:top w:w="0" w:type="dxa"/>
            <w:left w:w="108" w:type="dxa"/>
            <w:bottom w:w="0" w:type="dxa"/>
            <w:right w:w="108" w:type="dxa"/>
          </w:tblCellMar>
          <w:tblLook w:val="0000"/>
        </w:tblPrEx>
        <w:trPr>
          <w:trHeight w:val="419"/>
          <w:jc w:val="center"/>
        </w:trPr>
        <w:tc>
          <w:tcPr>
            <w:tcW w:w="805" w:type="dxa"/>
            <w:vMerge w:val="restart"/>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color w:val="0000FF"/>
                <w:sz w:val="24"/>
              </w:rPr>
            </w:pPr>
            <w:r>
              <w:rPr>
                <w:rFonts w:ascii="仿宋" w:eastAsia="仿宋" w:hAnsi="仿宋" w:cs="仿宋" w:hint="eastAsia"/>
                <w:color w:val="0000FF"/>
                <w:sz w:val="24"/>
                <w:lang w:val="en-US" w:eastAsia="zh-CN"/>
              </w:rPr>
              <w:t>01</w:t>
            </w:r>
          </w:p>
        </w:tc>
        <w:tc>
          <w:tcPr>
            <w:tcW w:w="3435"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裂隙灯显微镜</w:t>
            </w:r>
          </w:p>
        </w:tc>
        <w:tc>
          <w:tcPr>
            <w:tcW w:w="746"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台</w:t>
            </w:r>
          </w:p>
        </w:tc>
        <w:tc>
          <w:tcPr>
            <w:tcW w:w="147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5.3</w:t>
            </w:r>
          </w:p>
        </w:tc>
        <w:tc>
          <w:tcPr>
            <w:tcW w:w="86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1</w:t>
            </w:r>
          </w:p>
        </w:tc>
        <w:tc>
          <w:tcPr>
            <w:tcW w:w="1419"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5.3</w:t>
            </w:r>
          </w:p>
        </w:tc>
        <w:tc>
          <w:tcPr>
            <w:tcW w:w="900"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p>
        </w:tc>
      </w:tr>
      <w:tr>
        <w:tblPrEx>
          <w:jc w:val="center"/>
          <w:tblInd w:w="263" w:type="dxa"/>
          <w:tblLayout w:type="fixed"/>
          <w:tblCellMar>
            <w:top w:w="0" w:type="dxa"/>
            <w:left w:w="108" w:type="dxa"/>
            <w:bottom w:w="0" w:type="dxa"/>
            <w:right w:w="108" w:type="dxa"/>
          </w:tblCellMar>
          <w:tblLook w:val="0000"/>
        </w:tblPrEx>
        <w:trPr>
          <w:trHeight w:val="419"/>
          <w:jc w:val="center"/>
        </w:trPr>
        <w:tc>
          <w:tcPr>
            <w:tcW w:w="805" w:type="dxa"/>
            <w:vMerge/>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color w:val="0000FF"/>
                <w:sz w:val="24"/>
              </w:rPr>
            </w:pPr>
          </w:p>
        </w:tc>
        <w:tc>
          <w:tcPr>
            <w:tcW w:w="3435"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病人监护仪</w:t>
            </w:r>
          </w:p>
        </w:tc>
        <w:tc>
          <w:tcPr>
            <w:tcW w:w="746"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台</w:t>
            </w:r>
          </w:p>
        </w:tc>
        <w:tc>
          <w:tcPr>
            <w:tcW w:w="147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9.7</w:t>
            </w:r>
          </w:p>
        </w:tc>
        <w:tc>
          <w:tcPr>
            <w:tcW w:w="86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1</w:t>
            </w:r>
          </w:p>
        </w:tc>
        <w:tc>
          <w:tcPr>
            <w:tcW w:w="1419"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9.7</w:t>
            </w:r>
          </w:p>
        </w:tc>
        <w:tc>
          <w:tcPr>
            <w:tcW w:w="900"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color w:val="0000FF"/>
                <w:sz w:val="24"/>
              </w:rPr>
            </w:pPr>
          </w:p>
        </w:tc>
      </w:tr>
      <w:tr>
        <w:tblPrEx>
          <w:jc w:val="center"/>
          <w:tblInd w:w="263" w:type="dxa"/>
          <w:tblLayout w:type="fixed"/>
          <w:tblCellMar>
            <w:top w:w="0" w:type="dxa"/>
            <w:left w:w="108" w:type="dxa"/>
            <w:bottom w:w="0" w:type="dxa"/>
            <w:right w:w="108" w:type="dxa"/>
          </w:tblCellMar>
          <w:tblLook w:val="0000"/>
        </w:tblPrEx>
        <w:trPr>
          <w:trHeight w:val="419"/>
          <w:jc w:val="center"/>
        </w:trPr>
        <w:tc>
          <w:tcPr>
            <w:tcW w:w="805" w:type="dxa"/>
            <w:vMerge/>
            <w:tcBorders>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p>
        </w:tc>
        <w:tc>
          <w:tcPr>
            <w:tcW w:w="6513" w:type="dxa"/>
            <w:gridSpan w:val="4"/>
            <w:tcBorders>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合计</w:t>
            </w:r>
          </w:p>
        </w:tc>
        <w:tc>
          <w:tcPr>
            <w:tcW w:w="1419"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15</w:t>
            </w:r>
          </w:p>
        </w:tc>
        <w:tc>
          <w:tcPr>
            <w:tcW w:w="900"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color w:val="0000FF"/>
                <w:sz w:val="24"/>
              </w:rPr>
            </w:pPr>
          </w:p>
        </w:tc>
      </w:tr>
      <w:tr>
        <w:tblPrEx>
          <w:jc w:val="center"/>
          <w:tblInd w:w="263" w:type="dxa"/>
          <w:tblLayout w:type="fixed"/>
          <w:tblCellMar>
            <w:top w:w="0" w:type="dxa"/>
            <w:left w:w="108" w:type="dxa"/>
            <w:bottom w:w="0" w:type="dxa"/>
            <w:right w:w="108" w:type="dxa"/>
          </w:tblCellMar>
          <w:tblLook w:val="0000"/>
        </w:tblPrEx>
        <w:trPr>
          <w:trHeight w:val="420"/>
          <w:jc w:val="center"/>
        </w:trPr>
        <w:tc>
          <w:tcPr>
            <w:tcW w:w="805" w:type="dxa"/>
            <w:vMerge w:val="restart"/>
            <w:tcBorders>
              <w:left w:val="single" w:sz="4" w:space="0" w:color="auto"/>
              <w:right w:val="single" w:sz="4" w:space="0" w:color="auto"/>
            </w:tcBorders>
            <w:vAlign w:val="center"/>
          </w:tcPr>
          <w:p>
            <w:pPr>
              <w:numPr>
                <w:ilvl w:val="0"/>
                <w:numId w:val="0"/>
              </w:numPr>
              <w:autoSpaceDE w:val="0"/>
              <w:autoSpaceDN w:val="0"/>
              <w:spacing w:line="360" w:lineRule="auto"/>
              <w:jc w:val="center"/>
              <w:rPr>
                <w:rFonts w:ascii="仿宋" w:eastAsia="仿宋" w:hAnsi="仿宋" w:cs="仿宋" w:hint="eastAsia"/>
                <w:color w:val="0000FF"/>
                <w:sz w:val="24"/>
              </w:rPr>
            </w:pPr>
            <w:r>
              <w:rPr>
                <w:rFonts w:ascii="仿宋" w:eastAsia="仿宋" w:hAnsi="仿宋" w:cs="仿宋" w:hint="eastAsia"/>
                <w:color w:val="0000FF"/>
                <w:sz w:val="24"/>
                <w:lang w:val="en-US" w:eastAsia="zh-CN"/>
              </w:rPr>
              <w:t>02</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color w:val="0000FF"/>
                <w:sz w:val="24"/>
              </w:rPr>
            </w:pPr>
          </w:p>
        </w:tc>
        <w:tc>
          <w:tcPr>
            <w:tcW w:w="3435" w:type="dxa"/>
            <w:tcBorders>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除颤监护仪</w:t>
            </w:r>
          </w:p>
        </w:tc>
        <w:tc>
          <w:tcPr>
            <w:tcW w:w="746" w:type="dxa"/>
            <w:tcBorders>
              <w:left w:val="single" w:sz="4" w:space="0" w:color="auto"/>
              <w:bottom w:val="single" w:sz="4" w:space="0" w:color="auto"/>
              <w:right w:val="single" w:sz="4" w:space="0" w:color="auto"/>
            </w:tcBorders>
            <w:vAlign w:val="center"/>
          </w:tcPr>
          <w:p>
            <w:pPr>
              <w:numPr>
                <w:ilvl w:val="0"/>
                <w:numId w:val="0"/>
              </w:numPr>
              <w:autoSpaceDE w:val="0"/>
              <w:autoSpaceDN w:val="0"/>
              <w:spacing w:line="360" w:lineRule="auto"/>
              <w:jc w:val="center"/>
              <w:rPr>
                <w:rFonts w:ascii="仿宋" w:eastAsia="仿宋" w:hAnsi="仿宋" w:cs="仿宋" w:hint="eastAsia"/>
                <w:sz w:val="24"/>
              </w:rPr>
            </w:pPr>
            <w:r>
              <w:rPr>
                <w:rFonts w:ascii="仿宋" w:eastAsia="仿宋" w:hAnsi="仿宋" w:cs="仿宋" w:hint="eastAsia"/>
                <w:sz w:val="24"/>
                <w:lang w:val="en-US" w:eastAsia="zh-CN"/>
              </w:rPr>
              <w:t>台</w:t>
            </w:r>
          </w:p>
        </w:tc>
        <w:tc>
          <w:tcPr>
            <w:tcW w:w="1471" w:type="dxa"/>
            <w:tcBorders>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6.55</w:t>
            </w:r>
          </w:p>
        </w:tc>
        <w:tc>
          <w:tcPr>
            <w:tcW w:w="861" w:type="dxa"/>
            <w:tcBorders>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2</w:t>
            </w:r>
          </w:p>
        </w:tc>
        <w:tc>
          <w:tcPr>
            <w:tcW w:w="1419"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13.1</w:t>
            </w:r>
          </w:p>
        </w:tc>
        <w:tc>
          <w:tcPr>
            <w:tcW w:w="9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color w:val="0000FF"/>
                <w:sz w:val="24"/>
              </w:rPr>
            </w:pPr>
          </w:p>
        </w:tc>
      </w:tr>
      <w:tr>
        <w:tblPrEx>
          <w:jc w:val="center"/>
          <w:tblInd w:w="263" w:type="dxa"/>
          <w:tblLayout w:type="fixed"/>
          <w:tblCellMar>
            <w:top w:w="0" w:type="dxa"/>
            <w:left w:w="108" w:type="dxa"/>
            <w:bottom w:w="0" w:type="dxa"/>
            <w:right w:w="108" w:type="dxa"/>
          </w:tblCellMar>
          <w:tblLook w:val="0000"/>
        </w:tblPrEx>
        <w:trPr>
          <w:trHeight w:val="419"/>
          <w:jc w:val="center"/>
        </w:trPr>
        <w:tc>
          <w:tcPr>
            <w:tcW w:w="805" w:type="dxa"/>
            <w:vMerge/>
            <w:tcBorders>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color w:val="0000FF"/>
                <w:sz w:val="24"/>
              </w:rPr>
            </w:pPr>
          </w:p>
        </w:tc>
        <w:tc>
          <w:tcPr>
            <w:tcW w:w="3435"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病人监护仪</w:t>
            </w:r>
          </w:p>
        </w:tc>
        <w:tc>
          <w:tcPr>
            <w:tcW w:w="746"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台</w:t>
            </w:r>
          </w:p>
        </w:tc>
        <w:tc>
          <w:tcPr>
            <w:tcW w:w="147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1.85</w:t>
            </w:r>
          </w:p>
        </w:tc>
        <w:tc>
          <w:tcPr>
            <w:tcW w:w="86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4</w:t>
            </w:r>
          </w:p>
        </w:tc>
        <w:tc>
          <w:tcPr>
            <w:tcW w:w="1419"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7.4</w:t>
            </w:r>
          </w:p>
        </w:tc>
        <w:tc>
          <w:tcPr>
            <w:tcW w:w="9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color w:val="0000FF"/>
                <w:sz w:val="24"/>
              </w:rPr>
            </w:pPr>
          </w:p>
        </w:tc>
      </w:tr>
      <w:tr>
        <w:tblPrEx>
          <w:jc w:val="center"/>
          <w:tblInd w:w="263" w:type="dxa"/>
          <w:tblLayout w:type="fixed"/>
          <w:tblCellMar>
            <w:top w:w="0" w:type="dxa"/>
            <w:left w:w="108" w:type="dxa"/>
            <w:bottom w:w="0" w:type="dxa"/>
            <w:right w:w="108" w:type="dxa"/>
          </w:tblCellMar>
          <w:tblLook w:val="0000"/>
        </w:tblPrEx>
        <w:trPr>
          <w:trHeight w:val="419"/>
          <w:jc w:val="center"/>
        </w:trPr>
        <w:tc>
          <w:tcPr>
            <w:tcW w:w="805" w:type="dxa"/>
            <w:vMerge/>
            <w:tcBorders>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p>
        </w:tc>
        <w:tc>
          <w:tcPr>
            <w:tcW w:w="6513" w:type="dxa"/>
            <w:gridSpan w:val="4"/>
            <w:tcBorders>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合计</w:t>
            </w:r>
          </w:p>
        </w:tc>
        <w:tc>
          <w:tcPr>
            <w:tcW w:w="1419"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20.5</w:t>
            </w:r>
          </w:p>
        </w:tc>
        <w:tc>
          <w:tcPr>
            <w:tcW w:w="9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color w:val="0000FF"/>
                <w:sz w:val="24"/>
              </w:rPr>
            </w:pPr>
          </w:p>
        </w:tc>
      </w:tr>
      <w:tr>
        <w:tblPrEx>
          <w:jc w:val="center"/>
          <w:tblInd w:w="263" w:type="dxa"/>
          <w:tblLayout w:type="fixed"/>
          <w:tblCellMar>
            <w:top w:w="0" w:type="dxa"/>
            <w:left w:w="108" w:type="dxa"/>
            <w:bottom w:w="0" w:type="dxa"/>
            <w:right w:w="108" w:type="dxa"/>
          </w:tblCellMar>
          <w:tblLook w:val="0000"/>
        </w:tblPrEx>
        <w:trPr>
          <w:trHeight w:val="420"/>
          <w:jc w:val="center"/>
        </w:trPr>
        <w:tc>
          <w:tcPr>
            <w:tcW w:w="805"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color w:val="0000FF"/>
                <w:sz w:val="24"/>
              </w:rPr>
            </w:pPr>
            <w:r>
              <w:rPr>
                <w:rFonts w:ascii="仿宋" w:eastAsia="仿宋" w:hAnsi="仿宋" w:cs="仿宋" w:hint="eastAsia"/>
                <w:color w:val="0000FF"/>
                <w:sz w:val="24"/>
                <w:lang w:val="en-US" w:eastAsia="zh-CN"/>
              </w:rPr>
              <w:t>03</w:t>
            </w:r>
          </w:p>
        </w:tc>
        <w:tc>
          <w:tcPr>
            <w:tcW w:w="3435"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eastAsia"/>
                <w:sz w:val="24"/>
              </w:rPr>
            </w:pPr>
            <w:r>
              <w:rPr>
                <w:rFonts w:ascii="仿宋" w:eastAsia="仿宋" w:hAnsi="仿宋" w:cs="仿宋" w:hint="eastAsia"/>
                <w:sz w:val="24"/>
                <w:lang w:val="en-US" w:eastAsia="zh-CN"/>
              </w:rPr>
              <w:t>数字式十二道心电图机</w:t>
            </w:r>
          </w:p>
        </w:tc>
        <w:tc>
          <w:tcPr>
            <w:tcW w:w="746" w:type="dxa"/>
            <w:tcBorders>
              <w:top w:val="single" w:sz="4" w:space="0" w:color="auto"/>
              <w:left w:val="single" w:sz="4" w:space="0" w:color="auto"/>
              <w:bottom w:val="single" w:sz="4" w:space="0" w:color="auto"/>
              <w:right w:val="single" w:sz="4" w:space="0" w:color="auto"/>
            </w:tcBorders>
            <w:vAlign w:val="center"/>
          </w:tcPr>
          <w:p>
            <w:pPr>
              <w:numPr>
                <w:ilvl w:val="0"/>
                <w:numId w:val="0"/>
              </w:numPr>
              <w:autoSpaceDE w:val="0"/>
              <w:autoSpaceDN w:val="0"/>
              <w:spacing w:line="360" w:lineRule="auto"/>
              <w:jc w:val="center"/>
              <w:rPr>
                <w:rFonts w:ascii="仿宋" w:eastAsia="仿宋" w:hAnsi="仿宋" w:cs="仿宋" w:hint="eastAsia"/>
                <w:sz w:val="24"/>
              </w:rPr>
            </w:pPr>
            <w:r>
              <w:rPr>
                <w:rFonts w:ascii="仿宋" w:eastAsia="仿宋" w:hAnsi="仿宋" w:cs="仿宋" w:hint="eastAsia"/>
                <w:sz w:val="24"/>
                <w:lang w:val="en-US" w:eastAsia="zh-CN"/>
              </w:rPr>
              <w:t>台</w:t>
            </w:r>
          </w:p>
        </w:tc>
        <w:tc>
          <w:tcPr>
            <w:tcW w:w="147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4.4</w:t>
            </w:r>
          </w:p>
        </w:tc>
        <w:tc>
          <w:tcPr>
            <w:tcW w:w="86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2</w:t>
            </w:r>
          </w:p>
        </w:tc>
        <w:tc>
          <w:tcPr>
            <w:tcW w:w="1419"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 w:eastAsia="仿宋" w:hAnsi="仿宋" w:cs="仿宋" w:hint="default"/>
                <w:sz w:val="24"/>
              </w:rPr>
            </w:pPr>
            <w:r>
              <w:rPr>
                <w:rFonts w:ascii="仿宋" w:eastAsia="仿宋" w:hAnsi="仿宋" w:cs="仿宋" w:hint="eastAsia"/>
                <w:sz w:val="24"/>
                <w:lang w:val="en-US" w:eastAsia="zh-CN"/>
              </w:rPr>
              <w:t>8.8</w:t>
            </w:r>
          </w:p>
        </w:tc>
        <w:tc>
          <w:tcPr>
            <w:tcW w:w="9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sz w:val="24"/>
              </w:rPr>
            </w:pPr>
          </w:p>
        </w:tc>
      </w:tr>
    </w:tbl>
    <w:p>
      <w:pPr>
        <w:spacing w:line="360" w:lineRule="auto"/>
        <w:rPr>
          <w:rFonts w:ascii="仿宋" w:eastAsia="仿宋" w:hAnsi="仿宋" w:cs="仿宋" w:hint="eastAsia"/>
          <w:sz w:val="24"/>
        </w:rPr>
      </w:pPr>
      <w:r>
        <w:rPr>
          <w:rFonts w:ascii="仿宋" w:eastAsia="仿宋" w:hAnsi="仿宋" w:cs="仿宋" w:hint="eastAsia"/>
          <w:sz w:val="24"/>
        </w:rPr>
        <w:t>四、拟参加投标的供应商应当在</w:t>
      </w:r>
      <w:r>
        <w:rPr>
          <w:rFonts w:ascii="仿宋" w:eastAsia="仿宋" w:hAnsi="仿宋" w:cs="仿宋" w:hint="eastAsia"/>
          <w:color w:val="0000FF"/>
          <w:sz w:val="24"/>
          <w:lang w:val="en-US" w:eastAsia="zh-CN"/>
        </w:rPr>
        <w:t>2021</w:t>
      </w:r>
      <w:r>
        <w:rPr>
          <w:rFonts w:ascii="仿宋" w:eastAsia="仿宋" w:hAnsi="仿宋" w:cs="仿宋" w:hint="eastAsia"/>
          <w:color w:val="0000FF"/>
          <w:sz w:val="24"/>
        </w:rPr>
        <w:t>年</w:t>
      </w:r>
      <w:r>
        <w:rPr>
          <w:rFonts w:ascii="仿宋" w:eastAsia="仿宋" w:hAnsi="仿宋" w:cs="仿宋" w:hint="eastAsia"/>
          <w:color w:val="0000FF"/>
          <w:sz w:val="24"/>
          <w:lang w:val="en-US" w:eastAsia="zh-CN"/>
        </w:rPr>
        <w:t>12</w:t>
      </w:r>
      <w:r>
        <w:rPr>
          <w:rFonts w:ascii="仿宋" w:eastAsia="仿宋" w:hAnsi="仿宋" w:cs="仿宋" w:hint="eastAsia"/>
          <w:color w:val="0000FF"/>
          <w:sz w:val="24"/>
        </w:rPr>
        <w:t>月</w:t>
      </w:r>
      <w:r>
        <w:rPr>
          <w:rFonts w:ascii="仿宋" w:eastAsia="仿宋" w:hAnsi="仿宋" w:cs="仿宋" w:hint="eastAsia"/>
          <w:color w:val="0000FF"/>
          <w:sz w:val="24"/>
          <w:lang w:val="en-US" w:eastAsia="zh-CN"/>
        </w:rPr>
        <w:t>6</w:t>
      </w:r>
      <w:r>
        <w:rPr>
          <w:rFonts w:ascii="仿宋" w:eastAsia="仿宋" w:hAnsi="仿宋" w:cs="仿宋" w:hint="eastAsia"/>
          <w:color w:val="0000FF"/>
          <w:sz w:val="24"/>
        </w:rPr>
        <w:t>日</w:t>
      </w:r>
      <w:r>
        <w:rPr>
          <w:rFonts w:ascii="仿宋" w:eastAsia="仿宋" w:hAnsi="仿宋" w:cs="仿宋" w:hint="eastAsia"/>
          <w:sz w:val="24"/>
        </w:rPr>
        <w:t>起至</w:t>
      </w:r>
      <w:r>
        <w:rPr>
          <w:rFonts w:ascii="仿宋" w:eastAsia="仿宋" w:hAnsi="仿宋" w:cs="仿宋" w:hint="eastAsia"/>
          <w:color w:val="0000FF"/>
          <w:sz w:val="24"/>
        </w:rPr>
        <w:t>20</w:t>
      </w:r>
      <w:r>
        <w:rPr>
          <w:rFonts w:ascii="仿宋" w:eastAsia="仿宋" w:hAnsi="仿宋" w:cs="仿宋" w:hint="eastAsia"/>
          <w:color w:val="0000FF"/>
          <w:sz w:val="24"/>
          <w:lang w:val="en-US" w:eastAsia="zh-CN"/>
        </w:rPr>
        <w:t>21</w:t>
      </w:r>
      <w:r>
        <w:rPr>
          <w:rFonts w:ascii="仿宋" w:eastAsia="仿宋" w:hAnsi="仿宋" w:cs="仿宋" w:hint="eastAsia"/>
          <w:color w:val="0000FF"/>
          <w:sz w:val="24"/>
        </w:rPr>
        <w:t>年</w:t>
      </w:r>
      <w:r>
        <w:rPr>
          <w:rFonts w:ascii="仿宋" w:eastAsia="仿宋" w:hAnsi="仿宋" w:cs="仿宋" w:hint="eastAsia"/>
          <w:color w:val="0000FF"/>
          <w:sz w:val="24"/>
          <w:lang w:val="en-US" w:eastAsia="zh-CN"/>
        </w:rPr>
        <w:t>12</w:t>
      </w:r>
      <w:r>
        <w:rPr>
          <w:rFonts w:ascii="仿宋" w:eastAsia="仿宋" w:hAnsi="仿宋" w:cs="仿宋" w:hint="eastAsia"/>
          <w:color w:val="0000FF"/>
          <w:sz w:val="24"/>
          <w:lang w:eastAsia="zh-CN"/>
        </w:rPr>
        <w:t>月</w:t>
      </w:r>
      <w:r>
        <w:rPr>
          <w:rFonts w:ascii="仿宋" w:eastAsia="仿宋" w:hAnsi="仿宋" w:cs="仿宋" w:hint="eastAsia"/>
          <w:color w:val="0000FF"/>
          <w:sz w:val="24"/>
          <w:lang w:val="en-US" w:eastAsia="zh-CN"/>
        </w:rPr>
        <w:t>13</w:t>
      </w:r>
      <w:r>
        <w:rPr>
          <w:rFonts w:ascii="仿宋" w:eastAsia="仿宋" w:hAnsi="仿宋" w:cs="仿宋" w:hint="eastAsia"/>
          <w:color w:val="0000FF"/>
          <w:sz w:val="24"/>
        </w:rPr>
        <w:t>日</w:t>
      </w:r>
      <w:r>
        <w:rPr>
          <w:rFonts w:ascii="仿宋" w:eastAsia="仿宋" w:hAnsi="仿宋" w:cs="仿宋" w:hint="eastAsia"/>
          <w:sz w:val="24"/>
        </w:rPr>
        <w:t>（上午08:00-12:00，下午14:30-17:30，法定节假日除外）到博罗县人民医院招标管理办公室报名，招标文件请自行在挂网招标公告中下载附件。</w:t>
      </w:r>
    </w:p>
    <w:p>
      <w:pPr>
        <w:spacing w:line="360" w:lineRule="auto"/>
        <w:ind w:firstLine="504" w:firstLineChars="210"/>
        <w:rPr>
          <w:rFonts w:ascii="仿宋" w:eastAsia="仿宋" w:hAnsi="仿宋" w:cs="仿宋" w:hint="eastAsia"/>
          <w:sz w:val="24"/>
          <w:highlight w:val="yellow"/>
        </w:rPr>
      </w:pPr>
      <w:r>
        <w:rPr>
          <w:rFonts w:ascii="仿宋" w:eastAsia="仿宋" w:hAnsi="仿宋" w:cs="仿宋" w:hint="eastAsia"/>
          <w:sz w:val="24"/>
          <w:highlight w:val="yellow"/>
        </w:rPr>
        <w:t>同一品牌的产品可有多家投标人参与竞争，但只作为一个投标人计算。</w:t>
      </w:r>
    </w:p>
    <w:p>
      <w:pPr>
        <w:spacing w:line="360" w:lineRule="auto"/>
        <w:rPr>
          <w:rFonts w:ascii="仿宋" w:eastAsia="仿宋" w:hAnsi="仿宋" w:cs="仿宋" w:hint="eastAsia"/>
          <w:sz w:val="24"/>
        </w:rPr>
      </w:pPr>
      <w:r>
        <w:rPr>
          <w:rFonts w:ascii="仿宋" w:eastAsia="仿宋" w:hAnsi="仿宋" w:cs="仿宋" w:hint="eastAsia"/>
          <w:sz w:val="24"/>
        </w:rPr>
        <w:t>五、投标截止时间</w:t>
      </w:r>
      <w:r>
        <w:rPr>
          <w:rFonts w:ascii="仿宋" w:eastAsia="仿宋" w:hAnsi="仿宋" w:cs="仿宋" w:hint="eastAsia"/>
          <w:color w:val="0000FF"/>
          <w:sz w:val="24"/>
        </w:rPr>
        <w:t>：</w:t>
      </w:r>
      <w:r>
        <w:rPr>
          <w:rFonts w:ascii="仿宋" w:eastAsia="仿宋" w:hAnsi="仿宋" w:cs="仿宋" w:hint="eastAsia"/>
          <w:color w:val="0000FF"/>
          <w:sz w:val="24"/>
          <w:lang w:val="en-US" w:eastAsia="zh-CN"/>
        </w:rPr>
        <w:t>2021</w:t>
      </w:r>
      <w:r>
        <w:rPr>
          <w:rFonts w:ascii="仿宋" w:eastAsia="仿宋" w:hAnsi="仿宋" w:cs="仿宋" w:hint="eastAsia"/>
          <w:color w:val="0000FF"/>
          <w:sz w:val="24"/>
          <w:lang w:eastAsia="zh-CN"/>
        </w:rPr>
        <w:t>年</w:t>
      </w:r>
      <w:r>
        <w:rPr>
          <w:rFonts w:ascii="仿宋" w:eastAsia="仿宋" w:hAnsi="仿宋" w:cs="仿宋" w:hint="eastAsia"/>
          <w:color w:val="0000FF"/>
          <w:sz w:val="24"/>
          <w:lang w:val="en-US" w:eastAsia="zh-CN"/>
        </w:rPr>
        <w:t>12</w:t>
      </w:r>
      <w:r>
        <w:rPr>
          <w:rFonts w:ascii="仿宋" w:eastAsia="仿宋" w:hAnsi="仿宋" w:cs="仿宋" w:hint="eastAsia"/>
          <w:color w:val="0000FF"/>
          <w:sz w:val="24"/>
        </w:rPr>
        <w:t>月</w:t>
      </w:r>
      <w:r>
        <w:rPr>
          <w:rFonts w:ascii="仿宋" w:eastAsia="仿宋" w:hAnsi="仿宋" w:cs="仿宋" w:hint="eastAsia"/>
          <w:color w:val="0000FF"/>
          <w:sz w:val="24"/>
          <w:lang w:val="en-US" w:eastAsia="zh-CN"/>
        </w:rPr>
        <w:t>21</w:t>
      </w:r>
      <w:r>
        <w:rPr>
          <w:rFonts w:ascii="仿宋" w:eastAsia="仿宋" w:hAnsi="仿宋" w:cs="仿宋" w:hint="eastAsia"/>
          <w:color w:val="0000FF"/>
          <w:sz w:val="24"/>
        </w:rPr>
        <w:t>日</w:t>
      </w:r>
      <w:r>
        <w:rPr>
          <w:rFonts w:ascii="仿宋" w:eastAsia="仿宋" w:hAnsi="仿宋" w:cs="仿宋" w:hint="eastAsia"/>
          <w:color w:val="0000FF"/>
          <w:sz w:val="24"/>
          <w:lang w:val="en-US" w:eastAsia="zh-CN"/>
        </w:rPr>
        <w:t xml:space="preserve">    </w:t>
      </w:r>
      <w:r>
        <w:rPr>
          <w:rFonts w:ascii="仿宋" w:eastAsia="仿宋" w:hAnsi="仿宋" w:cs="仿宋" w:hint="eastAsia"/>
          <w:color w:val="0000FF"/>
          <w:sz w:val="24"/>
        </w:rPr>
        <w:t>14时40分（</w:t>
      </w:r>
      <w:r>
        <w:rPr>
          <w:rFonts w:ascii="仿宋" w:eastAsia="仿宋" w:hAnsi="仿宋" w:cs="仿宋" w:hint="eastAsia"/>
          <w:sz w:val="24"/>
        </w:rPr>
        <w:t>北京时间）</w:t>
      </w:r>
    </w:p>
    <w:p>
      <w:pPr>
        <w:spacing w:line="360" w:lineRule="auto"/>
        <w:rPr>
          <w:rFonts w:ascii="仿宋" w:eastAsia="仿宋" w:hAnsi="仿宋" w:cs="仿宋" w:hint="eastAsia"/>
          <w:sz w:val="24"/>
        </w:rPr>
      </w:pPr>
      <w:r>
        <w:rPr>
          <w:rFonts w:ascii="仿宋" w:eastAsia="仿宋" w:hAnsi="仿宋" w:cs="仿宋" w:hint="eastAsia"/>
          <w:sz w:val="24"/>
        </w:rPr>
        <w:t xml:space="preserve">六、投标文件送达地点：广东省博罗县人民医院3号楼6楼招标管理办公室。                </w:t>
      </w:r>
    </w:p>
    <w:p>
      <w:pPr>
        <w:spacing w:line="360" w:lineRule="auto"/>
        <w:rPr>
          <w:rFonts w:ascii="仿宋" w:eastAsia="仿宋" w:hAnsi="仿宋" w:cs="仿宋" w:hint="eastAsia"/>
          <w:sz w:val="24"/>
        </w:rPr>
      </w:pPr>
      <w:r>
        <w:rPr>
          <w:rFonts w:ascii="仿宋" w:eastAsia="仿宋" w:hAnsi="仿宋" w:cs="仿宋" w:hint="eastAsia"/>
          <w:sz w:val="24"/>
        </w:rPr>
        <w:t>七、开标唱标时间：</w:t>
      </w:r>
      <w:r>
        <w:rPr>
          <w:rFonts w:ascii="仿宋" w:eastAsia="仿宋" w:hAnsi="仿宋" w:cs="仿宋" w:hint="eastAsia"/>
          <w:color w:val="0000FF"/>
          <w:sz w:val="24"/>
          <w:lang w:val="en-US" w:eastAsia="zh-CN"/>
        </w:rPr>
        <w:t>2021</w:t>
      </w:r>
      <w:r>
        <w:rPr>
          <w:rFonts w:ascii="仿宋" w:eastAsia="仿宋" w:hAnsi="仿宋" w:cs="仿宋" w:hint="eastAsia"/>
          <w:color w:val="0000FF"/>
          <w:sz w:val="24"/>
        </w:rPr>
        <w:t>年</w:t>
      </w:r>
      <w:r>
        <w:rPr>
          <w:rFonts w:ascii="仿宋" w:eastAsia="仿宋" w:hAnsi="仿宋" w:cs="仿宋" w:hint="eastAsia"/>
          <w:color w:val="0000FF"/>
          <w:sz w:val="24"/>
          <w:lang w:val="en-US" w:eastAsia="zh-CN"/>
        </w:rPr>
        <w:t>12</w:t>
      </w:r>
      <w:r>
        <w:rPr>
          <w:rFonts w:ascii="仿宋" w:eastAsia="仿宋" w:hAnsi="仿宋" w:cs="仿宋" w:hint="eastAsia"/>
          <w:color w:val="0000FF"/>
          <w:sz w:val="24"/>
        </w:rPr>
        <w:t>月</w:t>
      </w:r>
      <w:r>
        <w:rPr>
          <w:rFonts w:ascii="仿宋" w:eastAsia="仿宋" w:hAnsi="仿宋" w:cs="仿宋" w:hint="eastAsia"/>
          <w:color w:val="0000FF"/>
          <w:sz w:val="24"/>
          <w:lang w:val="en-US" w:eastAsia="zh-CN"/>
        </w:rPr>
        <w:t>21</w:t>
      </w:r>
      <w:r>
        <w:rPr>
          <w:rFonts w:ascii="仿宋" w:eastAsia="仿宋" w:hAnsi="仿宋" w:cs="仿宋" w:hint="eastAsia"/>
          <w:color w:val="0000FF"/>
          <w:sz w:val="24"/>
        </w:rPr>
        <w:t xml:space="preserve">日   </w:t>
      </w:r>
      <w:r>
        <w:rPr>
          <w:rFonts w:ascii="仿宋" w:eastAsia="仿宋" w:hAnsi="仿宋" w:cs="仿宋" w:hint="eastAsia"/>
          <w:color w:val="0000FF"/>
          <w:sz w:val="24"/>
          <w:lang w:val="en-US" w:eastAsia="zh-CN"/>
        </w:rPr>
        <w:t xml:space="preserve">  </w:t>
      </w:r>
      <w:r>
        <w:rPr>
          <w:rFonts w:ascii="仿宋" w:eastAsia="仿宋" w:hAnsi="仿宋" w:cs="仿宋" w:hint="eastAsia"/>
          <w:color w:val="0000FF"/>
          <w:sz w:val="24"/>
        </w:rPr>
        <w:t>14时40分</w:t>
      </w:r>
      <w:r>
        <w:rPr>
          <w:rFonts w:ascii="仿宋" w:eastAsia="仿宋" w:hAnsi="仿宋" w:cs="仿宋" w:hint="eastAsia"/>
          <w:sz w:val="24"/>
        </w:rPr>
        <w:t>（北京时间）</w:t>
      </w:r>
    </w:p>
    <w:p>
      <w:pPr>
        <w:spacing w:line="360" w:lineRule="auto"/>
        <w:ind w:firstLine="480" w:firstLineChars="200"/>
        <w:rPr>
          <w:rFonts w:ascii="仿宋" w:eastAsia="仿宋" w:hAnsi="仿宋" w:cs="仿宋" w:hint="eastAsia"/>
          <w:sz w:val="24"/>
        </w:rPr>
      </w:pPr>
      <w:r>
        <w:rPr>
          <w:rFonts w:ascii="仿宋" w:eastAsia="仿宋" w:hAnsi="仿宋" w:cs="仿宋" w:hint="eastAsia"/>
          <w:sz w:val="24"/>
        </w:rPr>
        <w:t>评标时间：</w:t>
      </w:r>
      <w:r>
        <w:rPr>
          <w:rFonts w:ascii="仿宋" w:eastAsia="仿宋" w:hAnsi="仿宋" w:cs="仿宋" w:hint="eastAsia"/>
          <w:color w:val="0000FF"/>
          <w:sz w:val="24"/>
          <w:lang w:val="en-US" w:eastAsia="zh-CN"/>
        </w:rPr>
        <w:t>2021年12</w:t>
      </w:r>
      <w:r>
        <w:rPr>
          <w:rFonts w:ascii="仿宋" w:eastAsia="仿宋" w:hAnsi="仿宋" w:cs="仿宋" w:hint="eastAsia"/>
          <w:color w:val="0000FF"/>
          <w:sz w:val="24"/>
        </w:rPr>
        <w:t>月</w:t>
      </w:r>
      <w:r>
        <w:rPr>
          <w:rFonts w:ascii="仿宋" w:eastAsia="仿宋" w:hAnsi="仿宋" w:cs="仿宋" w:hint="eastAsia"/>
          <w:color w:val="0000FF"/>
          <w:sz w:val="24"/>
          <w:lang w:val="en-US" w:eastAsia="zh-CN"/>
        </w:rPr>
        <w:t>21</w:t>
      </w:r>
      <w:r>
        <w:rPr>
          <w:rFonts w:ascii="仿宋" w:eastAsia="仿宋" w:hAnsi="仿宋" w:cs="仿宋" w:hint="eastAsia"/>
          <w:color w:val="0000FF"/>
          <w:sz w:val="24"/>
        </w:rPr>
        <w:t xml:space="preserve">日      </w:t>
      </w:r>
      <w:r>
        <w:rPr>
          <w:rFonts w:ascii="仿宋" w:eastAsia="仿宋" w:hAnsi="仿宋" w:cs="仿宋" w:hint="eastAsia"/>
          <w:color w:val="0000FF"/>
          <w:sz w:val="24"/>
          <w:lang w:val="en-US" w:eastAsia="zh-CN"/>
        </w:rPr>
        <w:t xml:space="preserve"> </w:t>
      </w:r>
      <w:r>
        <w:rPr>
          <w:rFonts w:ascii="仿宋" w:eastAsia="仿宋" w:hAnsi="仿宋" w:cs="仿宋" w:hint="eastAsia"/>
          <w:color w:val="0000FF"/>
          <w:sz w:val="24"/>
        </w:rPr>
        <w:t xml:space="preserve"> </w:t>
      </w:r>
      <w:r>
        <w:rPr>
          <w:rFonts w:ascii="仿宋" w:eastAsia="仿宋" w:hAnsi="仿宋" w:cs="仿宋" w:hint="eastAsia"/>
          <w:color w:val="0000FF"/>
          <w:sz w:val="24"/>
          <w:lang w:val="en-US" w:eastAsia="zh-CN"/>
        </w:rPr>
        <w:t xml:space="preserve"> </w:t>
      </w:r>
      <w:r>
        <w:rPr>
          <w:rFonts w:ascii="仿宋" w:eastAsia="仿宋" w:hAnsi="仿宋" w:cs="仿宋" w:hint="eastAsia"/>
          <w:color w:val="0000FF"/>
          <w:sz w:val="24"/>
        </w:rPr>
        <w:t>15时00分</w:t>
      </w:r>
      <w:r>
        <w:rPr>
          <w:rFonts w:ascii="仿宋" w:eastAsia="仿宋" w:hAnsi="仿宋" w:cs="仿宋" w:hint="eastAsia"/>
          <w:sz w:val="24"/>
        </w:rPr>
        <w:t>（北京时间）</w:t>
      </w:r>
    </w:p>
    <w:p>
      <w:pPr>
        <w:spacing w:line="360" w:lineRule="auto"/>
        <w:rPr>
          <w:rFonts w:ascii="仿宋" w:eastAsia="仿宋" w:hAnsi="仿宋" w:cs="仿宋" w:hint="eastAsia"/>
          <w:sz w:val="24"/>
        </w:rPr>
      </w:pPr>
      <w:r>
        <w:rPr>
          <w:rFonts w:ascii="仿宋" w:eastAsia="仿宋" w:hAnsi="仿宋" w:cs="仿宋" w:hint="eastAsia"/>
          <w:sz w:val="24"/>
        </w:rPr>
        <w:t xml:space="preserve">八、开标评标地点：广东省博罗县人民医院3号楼6楼招标管理办公室。                       </w:t>
      </w:r>
    </w:p>
    <w:p>
      <w:pPr>
        <w:spacing w:line="360" w:lineRule="auto"/>
        <w:rPr>
          <w:rFonts w:ascii="仿宋" w:eastAsia="仿宋" w:hAnsi="仿宋" w:cs="仿宋" w:hint="eastAsia"/>
          <w:sz w:val="24"/>
        </w:rPr>
      </w:pPr>
      <w:r>
        <w:rPr>
          <w:rFonts w:ascii="仿宋" w:eastAsia="仿宋" w:hAnsi="仿宋" w:cs="仿宋" w:hint="eastAsia"/>
          <w:sz w:val="24"/>
        </w:rPr>
        <w:t>采购人：博罗县人民医院</w:t>
      </w:r>
    </w:p>
    <w:p>
      <w:pPr>
        <w:spacing w:line="360" w:lineRule="auto"/>
        <w:rPr>
          <w:rFonts w:ascii="仿宋" w:eastAsia="仿宋" w:hAnsi="仿宋" w:cs="仿宋" w:hint="eastAsia"/>
          <w:sz w:val="24"/>
        </w:rPr>
      </w:pPr>
      <w:r>
        <w:rPr>
          <w:rFonts w:ascii="仿宋" w:eastAsia="仿宋" w:hAnsi="仿宋" w:cs="仿宋" w:hint="eastAsia"/>
          <w:sz w:val="24"/>
        </w:rPr>
        <w:t>联系人：朱先生/</w:t>
      </w:r>
      <w:r>
        <w:rPr>
          <w:rFonts w:ascii="仿宋" w:eastAsia="仿宋" w:hAnsi="仿宋" w:cs="仿宋" w:hint="eastAsia"/>
          <w:sz w:val="24"/>
          <w:lang w:eastAsia="zh-CN"/>
        </w:rPr>
        <w:t>黄</w:t>
      </w:r>
      <w:r>
        <w:rPr>
          <w:rFonts w:ascii="仿宋" w:eastAsia="仿宋" w:hAnsi="仿宋" w:cs="仿宋" w:hint="eastAsia"/>
          <w:sz w:val="24"/>
        </w:rPr>
        <w:t xml:space="preserve">先生                        电话：0752-6299171                          </w:t>
      </w:r>
    </w:p>
    <w:p>
      <w:pPr>
        <w:spacing w:line="360" w:lineRule="auto"/>
        <w:rPr>
          <w:rFonts w:ascii="仿宋" w:eastAsia="仿宋" w:hAnsi="仿宋" w:cs="仿宋" w:hint="eastAsia"/>
          <w:sz w:val="24"/>
          <w:lang w:val="zh-CN"/>
        </w:rPr>
      </w:pPr>
      <w:r>
        <w:rPr>
          <w:rFonts w:ascii="仿宋" w:eastAsia="仿宋" w:hAnsi="仿宋" w:cs="仿宋" w:hint="eastAsia"/>
          <w:sz w:val="24"/>
          <w:lang w:val="zh-CN"/>
        </w:rPr>
        <w:t>联系地址：广东省博罗县罗阳街道桥西六路十六号 邮编：516</w:t>
      </w:r>
      <w:r>
        <w:rPr>
          <w:rFonts w:ascii="仿宋" w:eastAsia="仿宋" w:hAnsi="仿宋" w:cs="仿宋" w:hint="eastAsia"/>
          <w:sz w:val="24"/>
        </w:rPr>
        <w:t>100</w:t>
      </w:r>
      <w:r>
        <w:rPr>
          <w:rFonts w:ascii="仿宋" w:eastAsia="仿宋" w:hAnsi="仿宋" w:cs="仿宋" w:hint="eastAsia"/>
          <w:sz w:val="24"/>
          <w:lang w:val="zh-CN"/>
        </w:rPr>
        <w:t xml:space="preserve">  </w:t>
      </w:r>
      <w:r>
        <w:rPr>
          <w:rFonts w:ascii="仿宋" w:eastAsia="仿宋" w:hAnsi="仿宋" w:cs="仿宋" w:hint="eastAsia"/>
          <w:sz w:val="24"/>
        </w:rPr>
        <w:t xml:space="preserve">      </w:t>
      </w:r>
    </w:p>
    <w:p>
      <w:pPr>
        <w:spacing w:line="360" w:lineRule="auto"/>
        <w:ind w:firstLine="3720" w:firstLineChars="1550"/>
        <w:jc w:val="center"/>
        <w:rPr>
          <w:rFonts w:ascii="仿宋" w:eastAsia="仿宋" w:hAnsi="仿宋" w:cs="仿宋" w:hint="eastAsia"/>
          <w:sz w:val="24"/>
        </w:rPr>
      </w:pPr>
      <w:r>
        <w:rPr>
          <w:rFonts w:ascii="仿宋" w:eastAsia="仿宋" w:hAnsi="仿宋" w:cs="仿宋" w:hint="eastAsia"/>
          <w:sz w:val="24"/>
        </w:rPr>
        <w:t xml:space="preserve">     </w:t>
      </w:r>
    </w:p>
    <w:p>
      <w:pPr>
        <w:spacing w:line="360" w:lineRule="auto"/>
        <w:ind w:firstLine="3720" w:firstLineChars="1550"/>
        <w:jc w:val="center"/>
        <w:rPr>
          <w:rFonts w:ascii="仿宋" w:eastAsia="仿宋" w:hAnsi="仿宋" w:cs="仿宋" w:hint="eastAsia"/>
          <w:sz w:val="24"/>
        </w:rPr>
      </w:pPr>
      <w:r>
        <w:rPr>
          <w:rFonts w:ascii="仿宋" w:eastAsia="仿宋" w:hAnsi="仿宋" w:cs="仿宋" w:hint="eastAsia"/>
          <w:sz w:val="24"/>
        </w:rPr>
        <w:t xml:space="preserve">      </w:t>
      </w:r>
      <w:r>
        <w:rPr>
          <w:rFonts w:ascii="仿宋" w:eastAsia="仿宋" w:hAnsi="仿宋" w:cs="仿宋" w:hint="eastAsia"/>
          <w:sz w:val="24"/>
          <w:lang w:val="en-US" w:eastAsia="zh-CN"/>
        </w:rPr>
        <w:t xml:space="preserve"> </w:t>
      </w:r>
      <w:r>
        <w:rPr>
          <w:rFonts w:ascii="仿宋" w:eastAsia="仿宋" w:hAnsi="仿宋" w:cs="仿宋" w:hint="eastAsia"/>
          <w:sz w:val="24"/>
        </w:rPr>
        <w:t>博罗县人民医院</w:t>
      </w:r>
    </w:p>
    <w:p>
      <w:pPr>
        <w:spacing w:line="360" w:lineRule="auto"/>
        <w:ind w:firstLine="4800" w:firstLineChars="2000"/>
        <w:rPr>
          <w:rFonts w:ascii="仿宋" w:eastAsia="仿宋" w:hAnsi="仿宋" w:cs="仿宋" w:hint="eastAsia"/>
          <w:sz w:val="24"/>
        </w:rPr>
        <w:sectPr>
          <w:headerReference w:type="default" r:id="rId8"/>
          <w:footerReference w:type="default" r:id="rId9"/>
          <w:pgSz w:w="11906" w:h="16838"/>
          <w:pgMar w:top="1440" w:right="1800" w:bottom="1440" w:left="1800" w:header="851" w:footer="992" w:gutter="0"/>
          <w:pgNumType w:fmt="decimal" w:start="3"/>
          <w:cols w:space="708"/>
          <w:docGrid w:type="lines" w:linePitch="312"/>
        </w:sectPr>
      </w:pPr>
      <w:r>
        <w:rPr>
          <w:rFonts w:ascii="仿宋" w:eastAsia="仿宋" w:hAnsi="仿宋" w:cs="仿宋" w:hint="eastAsia"/>
          <w:sz w:val="24"/>
        </w:rPr>
        <w:t xml:space="preserve"> </w:t>
      </w:r>
      <w:r>
        <w:rPr>
          <w:rFonts w:ascii="仿宋" w:eastAsia="仿宋" w:hAnsi="仿宋" w:cs="仿宋" w:hint="eastAsia"/>
          <w:color w:val="0000FF"/>
          <w:sz w:val="24"/>
        </w:rPr>
        <w:t xml:space="preserve">     </w:t>
      </w:r>
      <w:r>
        <w:rPr>
          <w:rFonts w:ascii="仿宋" w:eastAsia="仿宋" w:hAnsi="仿宋" w:cs="仿宋" w:hint="eastAsia"/>
          <w:color w:val="0000FF"/>
          <w:sz w:val="24"/>
          <w:lang w:val="en-US" w:eastAsia="zh-CN"/>
        </w:rPr>
        <w:t>2021</w:t>
      </w:r>
      <w:r>
        <w:rPr>
          <w:rFonts w:ascii="仿宋" w:eastAsia="仿宋" w:hAnsi="仿宋" w:cs="仿宋" w:hint="eastAsia"/>
          <w:color w:val="0000FF"/>
          <w:sz w:val="24"/>
        </w:rPr>
        <w:t>年</w:t>
      </w:r>
      <w:r>
        <w:rPr>
          <w:rFonts w:ascii="仿宋" w:eastAsia="仿宋" w:hAnsi="仿宋" w:cs="仿宋" w:hint="eastAsia"/>
          <w:color w:val="0000FF"/>
          <w:sz w:val="24"/>
          <w:lang w:val="en-US" w:eastAsia="zh-CN"/>
        </w:rPr>
        <w:t>12</w:t>
      </w:r>
      <w:r>
        <w:rPr>
          <w:rFonts w:ascii="仿宋" w:eastAsia="仿宋" w:hAnsi="仿宋" w:cs="仿宋" w:hint="eastAsia"/>
          <w:color w:val="0000FF"/>
          <w:sz w:val="24"/>
        </w:rPr>
        <w:t>月</w:t>
      </w:r>
      <w:r>
        <w:rPr>
          <w:rFonts w:ascii="仿宋" w:eastAsia="仿宋" w:hAnsi="仿宋" w:cs="仿宋" w:hint="eastAsia"/>
          <w:color w:val="0000FF"/>
          <w:sz w:val="24"/>
          <w:lang w:val="en-US" w:eastAsia="zh-CN"/>
        </w:rPr>
        <w:t>6</w:t>
      </w:r>
      <w:r>
        <w:rPr>
          <w:rFonts w:ascii="仿宋" w:eastAsia="仿宋" w:hAnsi="仿宋" w:cs="仿宋" w:hint="eastAsia"/>
          <w:color w:val="0000FF"/>
          <w:sz w:val="24"/>
        </w:rPr>
        <w:t>日</w:t>
      </w:r>
    </w:p>
    <w:p>
      <w:pPr>
        <w:spacing w:line="360" w:lineRule="auto"/>
        <w:jc w:val="center"/>
        <w:rPr>
          <w:rFonts w:ascii="仿宋" w:eastAsia="仿宋" w:hAnsi="仿宋" w:cs="仿宋" w:hint="eastAsia"/>
          <w:b/>
          <w:sz w:val="28"/>
          <w:szCs w:val="28"/>
        </w:rPr>
      </w:pPr>
      <w:r>
        <w:rPr>
          <w:rFonts w:ascii="仿宋" w:eastAsia="仿宋" w:hAnsi="仿宋" w:cs="仿宋" w:hint="eastAsia"/>
          <w:b/>
          <w:sz w:val="28"/>
          <w:szCs w:val="28"/>
        </w:rPr>
        <w:t>第二部分　采购项目内容</w:t>
      </w:r>
    </w:p>
    <w:p>
      <w:pPr>
        <w:numPr>
          <w:ilvl w:val="0"/>
          <w:numId w:val="15"/>
        </w:numPr>
        <w:spacing w:line="360" w:lineRule="auto"/>
        <w:ind w:firstLine="480" w:firstLineChars="200"/>
        <w:rPr>
          <w:rFonts w:ascii="仿宋" w:eastAsia="仿宋" w:hAnsi="仿宋" w:cs="仿宋" w:hint="eastAsia"/>
          <w:b/>
          <w:bCs/>
          <w:sz w:val="24"/>
        </w:rPr>
      </w:pPr>
      <w:r>
        <w:rPr>
          <w:rFonts w:ascii="仿宋" w:eastAsia="仿宋" w:hAnsi="仿宋" w:cs="仿宋" w:hint="eastAsia"/>
          <w:b/>
          <w:bCs/>
          <w:sz w:val="24"/>
        </w:rPr>
        <w:t>供应商资格</w:t>
      </w:r>
    </w:p>
    <w:p>
      <w:pPr>
        <w:spacing w:line="360" w:lineRule="auto"/>
        <w:ind w:firstLine="480"/>
        <w:rPr>
          <w:rFonts w:ascii="仿宋" w:eastAsia="仿宋" w:hAnsi="仿宋" w:cs="仿宋" w:hint="eastAsia"/>
          <w:sz w:val="24"/>
        </w:rPr>
      </w:pPr>
      <w:r>
        <w:rPr>
          <w:rFonts w:ascii="仿宋" w:eastAsia="仿宋" w:hAnsi="仿宋" w:cs="仿宋" w:hint="eastAsia"/>
          <w:sz w:val="24"/>
        </w:rPr>
        <w:t>1、响应供应商应在中国境内注册，在法律上、财务上独立，合法运作并独立于采购人的法人或负责人；</w:t>
      </w:r>
    </w:p>
    <w:p>
      <w:pPr>
        <w:spacing w:line="360" w:lineRule="auto"/>
        <w:ind w:firstLine="480"/>
        <w:rPr>
          <w:rFonts w:ascii="仿宋" w:eastAsia="仿宋" w:hAnsi="仿宋" w:cs="仿宋" w:hint="eastAsia"/>
          <w:sz w:val="24"/>
          <w:highlight w:val="yellow"/>
          <w:lang w:val="zh-CN"/>
        </w:rPr>
      </w:pPr>
      <w:r>
        <w:rPr>
          <w:rFonts w:ascii="仿宋" w:eastAsia="仿宋" w:hAnsi="仿宋" w:cs="仿宋" w:hint="eastAsia"/>
          <w:sz w:val="24"/>
          <w:highlight w:val="yellow"/>
        </w:rPr>
        <w:t>2</w:t>
      </w:r>
      <w:r>
        <w:rPr>
          <w:rFonts w:ascii="仿宋" w:eastAsia="仿宋" w:hAnsi="仿宋" w:cs="仿宋" w:hint="eastAsia"/>
          <w:sz w:val="24"/>
          <w:highlight w:val="yellow"/>
          <w:lang w:val="zh-CN"/>
        </w:rPr>
        <w:t>、有依法缴纳税收和社会保障资金的证明；</w:t>
      </w:r>
    </w:p>
    <w:p>
      <w:pPr>
        <w:spacing w:line="360" w:lineRule="auto"/>
        <w:ind w:firstLine="480"/>
        <w:rPr>
          <w:rFonts w:ascii="仿宋" w:eastAsia="仿宋" w:hAnsi="仿宋" w:cs="仿宋" w:hint="eastAsia"/>
          <w:sz w:val="24"/>
          <w:lang w:val="zh-CN"/>
        </w:rPr>
      </w:pPr>
      <w:r>
        <w:rPr>
          <w:rFonts w:ascii="仿宋" w:eastAsia="仿宋" w:hAnsi="仿宋" w:cs="仿宋" w:hint="eastAsia"/>
          <w:sz w:val="24"/>
          <w:lang w:val="en-US" w:eastAsia="zh-CN"/>
        </w:rPr>
        <w:t>3</w:t>
      </w:r>
      <w:r>
        <w:rPr>
          <w:rFonts w:ascii="仿宋" w:eastAsia="仿宋" w:hAnsi="仿宋" w:cs="仿宋" w:hint="eastAsia"/>
          <w:sz w:val="24"/>
        </w:rPr>
        <w:t>、响应供应商应</w:t>
      </w:r>
      <w:r>
        <w:rPr>
          <w:rFonts w:ascii="仿宋" w:eastAsia="仿宋" w:hAnsi="仿宋" w:cs="仿宋" w:hint="eastAsia"/>
          <w:sz w:val="24"/>
          <w:lang w:val="zh-CN"/>
        </w:rPr>
        <w:t>依法取得《医疗器械经营企业许可证》</w:t>
      </w:r>
      <w:r>
        <w:rPr>
          <w:rFonts w:ascii="仿宋" w:eastAsia="仿宋" w:hAnsi="仿宋" w:cs="仿宋" w:hint="eastAsia"/>
          <w:sz w:val="24"/>
        </w:rPr>
        <w:t>或《医疗器械生产企业许可证》（注：</w:t>
      </w:r>
      <w:r>
        <w:rPr>
          <w:rFonts w:ascii="仿宋" w:eastAsia="仿宋" w:hAnsi="仿宋" w:cs="仿宋" w:hint="eastAsia"/>
          <w:sz w:val="24"/>
          <w:lang w:val="zh-CN"/>
        </w:rPr>
        <w:t>持</w:t>
      </w:r>
      <w:r>
        <w:rPr>
          <w:rFonts w:ascii="仿宋" w:eastAsia="仿宋" w:hAnsi="仿宋" w:cs="仿宋" w:hint="eastAsia"/>
          <w:sz w:val="24"/>
        </w:rPr>
        <w:t>《医疗器械生产企业许可证》供应商，仅限于投供应商自身生产的产品</w:t>
      </w:r>
      <w:r>
        <w:rPr>
          <w:rFonts w:ascii="仿宋" w:eastAsia="仿宋" w:hAnsi="仿宋" w:cs="仿宋" w:hint="eastAsia"/>
          <w:sz w:val="24"/>
          <w:lang w:val="zh-CN"/>
        </w:rPr>
        <w:t xml:space="preserve">）； </w:t>
      </w:r>
    </w:p>
    <w:p>
      <w:pPr>
        <w:spacing w:line="360" w:lineRule="auto"/>
        <w:ind w:firstLine="480"/>
        <w:rPr>
          <w:rFonts w:ascii="仿宋" w:eastAsia="仿宋" w:hAnsi="仿宋" w:cs="仿宋" w:hint="eastAsia"/>
          <w:sz w:val="24"/>
          <w:lang w:val="hr-HR"/>
        </w:rPr>
      </w:pPr>
      <w:r>
        <w:rPr>
          <w:rFonts w:ascii="仿宋" w:eastAsia="仿宋" w:hAnsi="仿宋" w:cs="仿宋" w:hint="eastAsia"/>
          <w:sz w:val="24"/>
          <w:lang w:val="en-US" w:eastAsia="zh-CN"/>
        </w:rPr>
        <w:t>4</w:t>
      </w:r>
      <w:r>
        <w:rPr>
          <w:rFonts w:ascii="仿宋" w:eastAsia="仿宋" w:hAnsi="仿宋" w:cs="仿宋" w:hint="eastAsia"/>
          <w:sz w:val="24"/>
        </w:rPr>
        <w:t>、响应供应商所投货物</w:t>
      </w:r>
      <w:r>
        <w:rPr>
          <w:rFonts w:ascii="仿宋" w:eastAsia="仿宋" w:hAnsi="仿宋" w:cs="仿宋" w:hint="eastAsia"/>
          <w:sz w:val="24"/>
          <w:lang w:eastAsia="zh-CN"/>
        </w:rPr>
        <w:t>如属于医疗器械则</w:t>
      </w:r>
      <w:r>
        <w:rPr>
          <w:rFonts w:ascii="仿宋" w:eastAsia="仿宋" w:hAnsi="仿宋" w:cs="仿宋" w:hint="eastAsia"/>
          <w:sz w:val="24"/>
        </w:rPr>
        <w:t>应</w:t>
      </w:r>
      <w:r>
        <w:rPr>
          <w:rFonts w:ascii="仿宋" w:eastAsia="仿宋" w:hAnsi="仿宋" w:cs="仿宋" w:hint="eastAsia"/>
          <w:sz w:val="24"/>
          <w:lang w:val="zh-CN"/>
        </w:rPr>
        <w:t>依法取得</w:t>
      </w:r>
      <w:r>
        <w:rPr>
          <w:rFonts w:ascii="仿宋" w:eastAsia="仿宋" w:hAnsi="仿宋" w:cs="仿宋" w:hint="eastAsia"/>
          <w:sz w:val="24"/>
          <w:lang w:val="en-US" w:eastAsia="zh-CN"/>
        </w:rPr>
        <w:t>该货物</w:t>
      </w:r>
      <w:r>
        <w:rPr>
          <w:rFonts w:ascii="仿宋" w:eastAsia="仿宋" w:hAnsi="仿宋" w:cs="仿宋" w:hint="eastAsia"/>
          <w:sz w:val="24"/>
          <w:lang w:val="hr-HR"/>
        </w:rPr>
        <w:t>的《</w:t>
      </w:r>
      <w:r>
        <w:rPr>
          <w:rFonts w:ascii="仿宋" w:eastAsia="仿宋" w:hAnsi="仿宋" w:cs="仿宋" w:hint="eastAsia"/>
          <w:sz w:val="24"/>
        </w:rPr>
        <w:t>中华人民共和国医疗器械注册证</w:t>
      </w:r>
      <w:r>
        <w:rPr>
          <w:rFonts w:ascii="仿宋" w:eastAsia="仿宋" w:hAnsi="仿宋" w:cs="仿宋" w:hint="eastAsia"/>
          <w:sz w:val="24"/>
          <w:lang w:val="hr-HR"/>
        </w:rPr>
        <w:t>》</w:t>
      </w:r>
      <w:r>
        <w:rPr>
          <w:rFonts w:ascii="仿宋" w:eastAsia="仿宋" w:hAnsi="仿宋" w:cs="仿宋" w:hint="eastAsia"/>
          <w:sz w:val="24"/>
        </w:rPr>
        <w:t>及其附件《医疗器械产品注册登记表</w:t>
      </w:r>
      <w:r>
        <w:rPr>
          <w:rFonts w:ascii="仿宋" w:eastAsia="仿宋" w:hAnsi="仿宋" w:cs="仿宋" w:hint="eastAsia"/>
          <w:sz w:val="24"/>
          <w:lang w:val="hr-HR"/>
        </w:rPr>
        <w:t>》或免注册的备案凭证/规定条文（注册证过期须提供网上可以查询的延期公告，如因其他特殊原因查询不到，须提供国家</w:t>
      </w:r>
      <w:r>
        <w:rPr>
          <w:rFonts w:ascii="仿宋" w:eastAsia="仿宋" w:hAnsi="仿宋" w:cs="仿宋" w:hint="eastAsia"/>
          <w:sz w:val="24"/>
          <w:lang w:val="hr-HR" w:eastAsia="zh-CN"/>
        </w:rPr>
        <w:t>医疗设备行业主管行政部门</w:t>
      </w:r>
      <w:r>
        <w:rPr>
          <w:rFonts w:ascii="仿宋" w:eastAsia="仿宋" w:hAnsi="仿宋" w:cs="仿宋" w:hint="eastAsia"/>
          <w:sz w:val="24"/>
          <w:lang w:val="hr-HR"/>
        </w:rPr>
        <w:t>受理的医疗器械注册申报通知书）；</w:t>
      </w:r>
    </w:p>
    <w:p>
      <w:pPr>
        <w:spacing w:line="360" w:lineRule="auto"/>
        <w:ind w:firstLine="480"/>
        <w:rPr>
          <w:rFonts w:ascii="仿宋" w:eastAsia="仿宋" w:hAnsi="仿宋" w:cs="仿宋" w:hint="eastAsia"/>
          <w:sz w:val="24"/>
        </w:rPr>
      </w:pPr>
      <w:r>
        <w:rPr>
          <w:rFonts w:ascii="仿宋" w:eastAsia="仿宋" w:hAnsi="仿宋" w:cs="仿宋" w:hint="eastAsia"/>
          <w:sz w:val="24"/>
          <w:lang w:val="en-US" w:eastAsia="zh-CN"/>
        </w:rPr>
        <w:t>5</w:t>
      </w:r>
      <w:r>
        <w:rPr>
          <w:rFonts w:ascii="仿宋" w:eastAsia="仿宋" w:hAnsi="仿宋" w:cs="仿宋" w:hint="eastAsia"/>
          <w:sz w:val="24"/>
        </w:rPr>
        <w:t>、响应供应商</w:t>
      </w:r>
      <w:r>
        <w:rPr>
          <w:rFonts w:ascii="仿宋" w:eastAsia="仿宋" w:hAnsi="仿宋" w:cs="仿宋" w:hint="eastAsia"/>
          <w:sz w:val="24"/>
          <w:lang w:val="hr-HR"/>
        </w:rPr>
        <w:t>在近三年的经营活动中没有重大违法违规记录，以国家企业信用信息公示系统/信用中国/中国政府采购网查询结果及我院黑名单记录为准；</w:t>
      </w:r>
    </w:p>
    <w:p>
      <w:pPr>
        <w:spacing w:line="360" w:lineRule="auto"/>
        <w:ind w:firstLine="480"/>
        <w:rPr>
          <w:rFonts w:ascii="仿宋" w:eastAsia="仿宋" w:hAnsi="仿宋" w:cs="仿宋" w:hint="eastAsia"/>
          <w:b/>
          <w:bCs/>
          <w:color w:val="0000FF"/>
          <w:sz w:val="24"/>
          <w:highlight w:val="yellow"/>
          <w:lang w:val="zh-CN"/>
        </w:rPr>
      </w:pPr>
      <w:r>
        <w:rPr>
          <w:rFonts w:ascii="仿宋" w:eastAsia="仿宋" w:hAnsi="仿宋" w:cs="仿宋" w:hint="eastAsia"/>
          <w:color w:val="0000FF"/>
          <w:sz w:val="24"/>
          <w:lang w:val="en-US" w:eastAsia="zh-CN"/>
        </w:rPr>
        <w:t>本</w:t>
      </w:r>
      <w:r>
        <w:rPr>
          <w:rFonts w:ascii="仿宋" w:eastAsia="仿宋" w:hAnsi="仿宋" w:cs="仿宋" w:hint="eastAsia"/>
          <w:color w:val="0000FF"/>
          <w:sz w:val="24"/>
          <w:lang w:val="zh-CN"/>
        </w:rPr>
        <w:t>项目均不接受联合体参加投标，不允许响应供应商对本招标项目进行分包或转包。</w:t>
      </w:r>
    </w:p>
    <w:p>
      <w:pPr>
        <w:autoSpaceDE w:val="0"/>
        <w:autoSpaceDN w:val="0"/>
        <w:spacing w:line="360" w:lineRule="auto"/>
        <w:ind w:firstLine="480" w:firstLineChars="200"/>
        <w:rPr>
          <w:rFonts w:ascii="仿宋" w:eastAsia="仿宋" w:hAnsi="仿宋" w:cs="仿宋" w:hint="eastAsia"/>
          <w:b/>
          <w:bCs/>
          <w:sz w:val="24"/>
        </w:rPr>
      </w:pPr>
      <w:r>
        <w:rPr>
          <w:rFonts w:ascii="仿宋" w:eastAsia="仿宋" w:hAnsi="仿宋" w:cs="仿宋" w:hint="eastAsia"/>
          <w:b/>
          <w:bCs/>
          <w:sz w:val="24"/>
          <w:highlight w:val="yellow"/>
          <w:lang w:val="zh-CN"/>
        </w:rPr>
        <w:t>投标人必须满足以上资格要求并提供对应材料以供审查，如出现对任意一条不满足的，资格性审查将不通过。</w:t>
      </w:r>
    </w:p>
    <w:p>
      <w:pPr>
        <w:numPr>
          <w:ilvl w:val="0"/>
          <w:numId w:val="4"/>
        </w:numPr>
        <w:ind w:firstLine="480" w:firstLineChars="200"/>
        <w:rPr>
          <w:rFonts w:ascii="仿宋" w:eastAsia="仿宋" w:hAnsi="仿宋" w:cs="仿宋" w:hint="eastAsia"/>
          <w:b/>
          <w:bCs/>
          <w:sz w:val="24"/>
        </w:rPr>
      </w:pPr>
      <w:r>
        <w:rPr>
          <w:rFonts w:ascii="仿宋" w:eastAsia="仿宋" w:hAnsi="仿宋" w:cs="仿宋" w:hint="eastAsia"/>
          <w:b/>
          <w:bCs/>
          <w:sz w:val="24"/>
        </w:rPr>
        <w:t>招标项目一览表</w:t>
      </w:r>
    </w:p>
    <w:p>
      <w:pPr>
        <w:rPr>
          <w:rFonts w:ascii="仿宋" w:eastAsia="仿宋" w:hAnsi="仿宋" w:cs="仿宋" w:hint="eastAsia"/>
          <w:b/>
          <w:bCs/>
          <w:sz w:val="24"/>
        </w:rPr>
      </w:pPr>
    </w:p>
    <w:p>
      <w:pPr>
        <w:ind w:firstLine="960" w:firstLineChars="400"/>
        <w:rPr>
          <w:rFonts w:ascii="仿宋" w:eastAsia="仿宋" w:hAnsi="仿宋" w:cs="仿宋" w:hint="eastAsia"/>
          <w:b/>
          <w:bCs/>
          <w:sz w:val="24"/>
        </w:rPr>
      </w:pPr>
      <w:r>
        <w:rPr>
          <w:rFonts w:ascii="仿宋" w:eastAsia="仿宋" w:hAnsi="仿宋" w:cs="仿宋" w:hint="eastAsia"/>
          <w:b/>
          <w:bCs/>
          <w:sz w:val="24"/>
        </w:rPr>
        <w:t>见投标邀请函</w:t>
      </w:r>
    </w:p>
    <w:p>
      <w:pPr>
        <w:rPr>
          <w:rFonts w:ascii="仿宋" w:eastAsia="仿宋" w:hAnsi="仿宋" w:cs="仿宋" w:hint="eastAsia"/>
          <w:b/>
          <w:bCs/>
          <w:sz w:val="24"/>
        </w:rPr>
      </w:pPr>
    </w:p>
    <w:p>
      <w:pPr>
        <w:autoSpaceDE w:val="0"/>
        <w:autoSpaceDN w:val="0"/>
        <w:spacing w:line="360" w:lineRule="auto"/>
        <w:rPr>
          <w:rFonts w:ascii="仿宋" w:eastAsia="仿宋" w:hAnsi="仿宋" w:cs="仿宋" w:hint="eastAsia"/>
          <w:b/>
          <w:sz w:val="24"/>
        </w:rPr>
      </w:pPr>
      <w:r>
        <w:rPr>
          <w:rFonts w:ascii="仿宋" w:eastAsia="仿宋" w:hAnsi="仿宋" w:cs="仿宋" w:hint="eastAsia"/>
          <w:b/>
          <w:sz w:val="24"/>
        </w:rPr>
        <w:t xml:space="preserve">    三、投标基本要求</w:t>
      </w:r>
    </w:p>
    <w:p>
      <w:pPr>
        <w:autoSpaceDE w:val="0"/>
        <w:autoSpaceDN w:val="0"/>
        <w:spacing w:line="360" w:lineRule="auto"/>
        <w:rPr>
          <w:rFonts w:ascii="仿宋" w:eastAsia="仿宋" w:hAnsi="仿宋" w:cs="仿宋" w:hint="eastAsia"/>
          <w:sz w:val="24"/>
        </w:rPr>
      </w:pPr>
      <w:r>
        <w:rPr>
          <w:rFonts w:ascii="仿宋" w:eastAsia="仿宋" w:hAnsi="仿宋" w:cs="仿宋" w:hint="eastAsia"/>
          <w:sz w:val="24"/>
        </w:rPr>
        <w:t xml:space="preserve">    1、本采购项目中标注</w:t>
      </w:r>
      <w:r>
        <w:rPr>
          <w:rFonts w:ascii="仿宋" w:eastAsia="仿宋" w:hAnsi="仿宋" w:cs="仿宋" w:hint="eastAsia"/>
          <w:sz w:val="24"/>
        </w:rPr>
        <w:t>★</w:t>
      </w:r>
      <w:r>
        <w:rPr>
          <w:rFonts w:ascii="仿宋" w:eastAsia="仿宋" w:hAnsi="仿宋" w:cs="仿宋" w:hint="eastAsia"/>
          <w:sz w:val="24"/>
        </w:rPr>
        <w:t>号的内容为实质性要求和条件，如果投标人所投标货物、服务与具体要求存在负偏离，且评审小组认为该负偏离将对采购单位使用造成重大影响的，评审小组在符合性审查时将不予通过，拒绝其投标。</w:t>
      </w:r>
    </w:p>
    <w:p>
      <w:pPr>
        <w:autoSpaceDE w:val="0"/>
        <w:autoSpaceDN w:val="0"/>
        <w:spacing w:line="360" w:lineRule="auto"/>
        <w:rPr>
          <w:rFonts w:ascii="仿宋" w:eastAsia="仿宋" w:hAnsi="仿宋" w:cs="仿宋" w:hint="eastAsia"/>
          <w:sz w:val="24"/>
        </w:rPr>
      </w:pPr>
      <w:r>
        <w:rPr>
          <w:rFonts w:ascii="仿宋" w:eastAsia="仿宋" w:hAnsi="仿宋" w:cs="仿宋" w:hint="eastAsia"/>
          <w:sz w:val="24"/>
        </w:rPr>
        <w:t xml:space="preserve">    2、本采购项目中标注</w:t>
      </w:r>
      <w:r>
        <w:rPr>
          <w:rFonts w:ascii="仿宋" w:eastAsia="仿宋" w:hAnsi="仿宋" w:cs="仿宋" w:hint="eastAsia"/>
          <w:b/>
          <w:sz w:val="24"/>
          <w:lang w:val="hr-HR"/>
        </w:rPr>
        <w:t>▲</w:t>
      </w:r>
      <w:r>
        <w:rPr>
          <w:rFonts w:ascii="仿宋" w:eastAsia="仿宋" w:hAnsi="仿宋" w:cs="仿宋" w:hint="eastAsia"/>
          <w:sz w:val="24"/>
        </w:rPr>
        <w:t>号的内容为择优要求和条件，负偏离或不响应</w:t>
      </w:r>
      <w:r>
        <w:rPr>
          <w:rFonts w:ascii="仿宋" w:eastAsia="仿宋" w:hAnsi="仿宋" w:cs="仿宋" w:hint="eastAsia"/>
          <w:sz w:val="24"/>
        </w:rPr>
        <w:t>▲</w:t>
      </w:r>
      <w:r>
        <w:rPr>
          <w:rFonts w:ascii="仿宋" w:eastAsia="仿宋" w:hAnsi="仿宋" w:cs="仿宋" w:hint="eastAsia"/>
          <w:sz w:val="24"/>
        </w:rPr>
        <w:t>号条款的投标人将影响综合得分。</w:t>
      </w:r>
    </w:p>
    <w:p>
      <w:pPr>
        <w:spacing w:line="360" w:lineRule="auto"/>
        <w:rPr>
          <w:rFonts w:ascii="仿宋" w:eastAsia="仿宋" w:hAnsi="仿宋" w:cs="仿宋" w:hint="eastAsia"/>
          <w:sz w:val="24"/>
        </w:rPr>
        <w:sectPr>
          <w:headerReference w:type="default" r:id="rId10"/>
          <w:footerReference w:type="default" r:id="rId11"/>
          <w:type w:val="nextPage"/>
          <w:pgSz w:w="11906" w:h="16838"/>
          <w:pgMar w:top="1440" w:right="1800" w:bottom="1440" w:left="1800" w:header="851" w:footer="992" w:gutter="0"/>
          <w:pgNumType w:fmt="decimal" w:start="4"/>
          <w:cols w:space="708"/>
          <w:titlePg w:val="0"/>
          <w:docGrid w:type="lines" w:linePitch="312"/>
        </w:sectPr>
      </w:pPr>
      <w:r>
        <w:rPr>
          <w:rFonts w:ascii="仿宋" w:eastAsia="仿宋" w:hAnsi="仿宋" w:cs="仿宋" w:hint="eastAsia"/>
          <w:sz w:val="24"/>
        </w:rPr>
        <w:t xml:space="preserve">    3、招标文件</w:t>
      </w:r>
      <w:r>
        <w:rPr>
          <w:rFonts w:ascii="仿宋" w:eastAsia="仿宋" w:hAnsi="仿宋" w:cs="仿宋" w:hint="eastAsia"/>
          <w:sz w:val="24"/>
        </w:rPr>
        <w:t>“</w:t>
      </w:r>
      <w:r>
        <w:rPr>
          <w:rFonts w:ascii="仿宋" w:eastAsia="仿宋" w:hAnsi="仿宋" w:cs="仿宋" w:hint="eastAsia"/>
          <w:sz w:val="24"/>
        </w:rPr>
        <w:t>采购项目技术规格、参数及要求</w:t>
      </w:r>
      <w:r>
        <w:rPr>
          <w:rFonts w:ascii="仿宋" w:eastAsia="仿宋" w:hAnsi="仿宋" w:cs="仿宋" w:hint="eastAsia"/>
          <w:sz w:val="24"/>
        </w:rPr>
        <w:t>”</w:t>
      </w:r>
      <w:r>
        <w:rPr>
          <w:rFonts w:ascii="仿宋" w:eastAsia="仿宋" w:hAnsi="仿宋" w:cs="仿宋" w:hint="eastAsia"/>
          <w:sz w:val="24"/>
        </w:rPr>
        <w:t>中</w:t>
      </w:r>
      <w:r>
        <w:rPr>
          <w:rFonts w:ascii="仿宋" w:eastAsia="仿宋" w:hAnsi="仿宋" w:cs="仿宋" w:hint="eastAsia"/>
          <w:sz w:val="24"/>
        </w:rPr>
        <w:t>“▲”</w:t>
      </w:r>
    </w:p>
    <w:p>
      <w:pPr>
        <w:spacing w:line="360" w:lineRule="auto"/>
        <w:rPr>
          <w:rFonts w:ascii="仿宋" w:eastAsia="仿宋" w:hAnsi="仿宋" w:cs="仿宋" w:hint="eastAsia"/>
          <w:sz w:val="24"/>
        </w:rPr>
      </w:pPr>
      <w:r>
        <w:rPr>
          <w:rFonts w:ascii="仿宋" w:eastAsia="仿宋" w:hAnsi="仿宋" w:cs="仿宋" w:hint="eastAsia"/>
          <w:sz w:val="24"/>
        </w:rPr>
        <w:t>号特殊技术指标，投标人所投产品应当提供厂商说明材料，厂商说明材料包括但不限于下列文件：</w:t>
      </w:r>
    </w:p>
    <w:p>
      <w:pPr>
        <w:spacing w:line="360" w:lineRule="auto"/>
        <w:ind w:firstLine="480" w:firstLineChars="200"/>
        <w:rPr>
          <w:rFonts w:ascii="仿宋" w:eastAsia="仿宋" w:hAnsi="仿宋" w:cs="仿宋" w:hint="eastAsia"/>
          <w:sz w:val="24"/>
        </w:rPr>
      </w:pPr>
      <w:r>
        <w:rPr>
          <w:rFonts w:ascii="仿宋" w:eastAsia="仿宋" w:hAnsi="仿宋" w:cs="仿宋" w:hint="eastAsia"/>
          <w:sz w:val="24"/>
        </w:rPr>
        <w:t>（1）投标产品的品牌、型号、详细配置参数；</w:t>
      </w:r>
    </w:p>
    <w:p>
      <w:pPr>
        <w:spacing w:line="360" w:lineRule="auto"/>
        <w:ind w:firstLine="480"/>
        <w:rPr>
          <w:rFonts w:ascii="仿宋" w:eastAsia="仿宋" w:hAnsi="仿宋" w:cs="仿宋" w:hint="eastAsia"/>
          <w:sz w:val="24"/>
        </w:rPr>
      </w:pPr>
      <w:r>
        <w:rPr>
          <w:rFonts w:ascii="仿宋" w:eastAsia="仿宋" w:hAnsi="仿宋" w:cs="仿宋" w:hint="eastAsia"/>
          <w:sz w:val="24"/>
        </w:rPr>
        <w:t>（2）能证实产品技术、配置参数的证明材料（包括：</w:t>
      </w:r>
      <w:r>
        <w:rPr>
          <w:rFonts w:ascii="仿宋" w:eastAsia="仿宋" w:hAnsi="仿宋" w:cs="仿宋" w:hint="eastAsia"/>
          <w:sz w:val="24"/>
        </w:rPr>
        <w:t>①</w:t>
      </w:r>
      <w:r>
        <w:rPr>
          <w:rFonts w:ascii="仿宋" w:eastAsia="仿宋" w:hAnsi="仿宋" w:cs="仿宋" w:hint="eastAsia"/>
          <w:sz w:val="24"/>
        </w:rPr>
        <w:t>能体现投标技术参数的厂商的中文说明书或彩页或厂家主要技术参数说明函等；或</w:t>
      </w:r>
      <w:r>
        <w:rPr>
          <w:rFonts w:ascii="仿宋" w:eastAsia="仿宋" w:hAnsi="仿宋" w:cs="仿宋" w:hint="eastAsia"/>
          <w:sz w:val="24"/>
        </w:rPr>
        <w:t>②</w:t>
      </w:r>
      <w:r>
        <w:rPr>
          <w:rFonts w:ascii="仿宋" w:eastAsia="仿宋" w:hAnsi="仿宋" w:cs="仿宋" w:hint="eastAsia"/>
          <w:sz w:val="24"/>
        </w:rPr>
        <w:t>厂商针对本项目的产品详细配置响应表；或</w:t>
      </w:r>
      <w:r>
        <w:rPr>
          <w:rFonts w:ascii="仿宋" w:eastAsia="仿宋" w:hAnsi="仿宋" w:cs="仿宋" w:hint="eastAsia"/>
          <w:sz w:val="24"/>
        </w:rPr>
        <w:t>③</w:t>
      </w:r>
      <w:r>
        <w:rPr>
          <w:rFonts w:ascii="仿宋" w:eastAsia="仿宋" w:hAnsi="仿宋" w:cs="仿宋" w:hint="eastAsia"/>
          <w:sz w:val="24"/>
        </w:rPr>
        <w:t>厂商官方网站的技术白皮书打印稿，同时注明材料来源于官方网站的网址。以上文件均需加盖厂商或投标人公章）。</w:t>
      </w:r>
    </w:p>
    <w:p>
      <w:pPr>
        <w:spacing w:line="360" w:lineRule="auto"/>
        <w:ind w:firstLine="480"/>
        <w:rPr>
          <w:rFonts w:ascii="仿宋" w:eastAsia="仿宋" w:hAnsi="仿宋" w:cs="仿宋" w:hint="eastAsia"/>
          <w:sz w:val="24"/>
        </w:rPr>
      </w:pPr>
      <w:r>
        <w:rPr>
          <w:rFonts w:ascii="仿宋" w:eastAsia="仿宋" w:hAnsi="仿宋" w:cs="仿宋" w:hint="eastAsia"/>
          <w:sz w:val="24"/>
        </w:rPr>
        <w:t>4、本文件中的技术参数为参考技术指标，</w:t>
      </w:r>
      <w:r>
        <w:rPr>
          <w:rFonts w:ascii="仿宋" w:eastAsia="仿宋" w:hAnsi="仿宋" w:cs="仿宋" w:hint="eastAsia"/>
          <w:sz w:val="24"/>
          <w:highlight w:val="yellow"/>
        </w:rPr>
        <w:t>投标人所投的货物的对应技术参数</w:t>
      </w:r>
      <w:r>
        <w:rPr>
          <w:rFonts w:ascii="仿宋" w:eastAsia="仿宋" w:hAnsi="仿宋" w:cs="仿宋" w:hint="eastAsia"/>
          <w:b/>
          <w:sz w:val="24"/>
          <w:highlight w:val="yellow"/>
        </w:rPr>
        <w:t>应等同于或优于</w:t>
      </w:r>
      <w:r>
        <w:rPr>
          <w:rFonts w:ascii="仿宋" w:eastAsia="仿宋" w:hAnsi="仿宋" w:cs="仿宋" w:hint="eastAsia"/>
          <w:sz w:val="24"/>
          <w:highlight w:val="yellow"/>
        </w:rPr>
        <w:t>招标文件中的参考技术参数,</w:t>
      </w:r>
      <w:r>
        <w:rPr>
          <w:rFonts w:ascii="仿宋" w:eastAsia="仿宋" w:hAnsi="仿宋" w:cs="仿宋" w:hint="eastAsia"/>
          <w:b/>
          <w:sz w:val="24"/>
          <w:highlight w:val="yellow"/>
        </w:rPr>
        <w:t>投标人必须按所投设备的出厂参数进行投标参数填写</w:t>
      </w:r>
      <w:r>
        <w:rPr>
          <w:rFonts w:ascii="仿宋" w:eastAsia="仿宋" w:hAnsi="仿宋" w:cs="仿宋" w:hint="eastAsia"/>
          <w:sz w:val="24"/>
        </w:rPr>
        <w:t>，并提供对主要技术参数的投标证明材料。</w:t>
      </w:r>
    </w:p>
    <w:p>
      <w:pPr>
        <w:pStyle w:val="PlainText"/>
        <w:adjustRightInd w:val="0"/>
        <w:snapToGrid w:val="0"/>
        <w:spacing w:line="440" w:lineRule="exact"/>
        <w:ind w:firstLine="480" w:firstLineChars="200"/>
        <w:rPr>
          <w:rFonts w:ascii="仿宋" w:eastAsia="仿宋" w:hAnsi="仿宋" w:cs="仿宋" w:hint="eastAsia"/>
          <w:b/>
          <w:sz w:val="24"/>
        </w:rPr>
      </w:pPr>
      <w:r>
        <w:rPr>
          <w:rFonts w:ascii="仿宋" w:eastAsia="仿宋" w:hAnsi="仿宋" w:cs="仿宋" w:hint="eastAsia"/>
          <w:b/>
          <w:sz w:val="24"/>
          <w:highlight w:val="yellow"/>
        </w:rPr>
        <w:t>如所投设备参数与招标要求不一致的，投标人必须按所投设备的出厂参数进行投标参数填写，不得随意复制粘贴招标技术参数。否则，导致安装或验收后续工作中核对真实参数不一致不予安装或验收的，后果自负！</w:t>
      </w:r>
    </w:p>
    <w:p>
      <w:pPr>
        <w:spacing w:line="360" w:lineRule="auto"/>
        <w:ind w:firstLine="480"/>
        <w:rPr>
          <w:rFonts w:ascii="仿宋" w:eastAsia="仿宋" w:hAnsi="仿宋" w:cs="仿宋" w:hint="eastAsia"/>
          <w:sz w:val="24"/>
          <w:highlight w:val="yellow"/>
        </w:rPr>
      </w:pPr>
      <w:r>
        <w:rPr>
          <w:rFonts w:ascii="仿宋" w:eastAsia="仿宋" w:hAnsi="仿宋" w:cs="仿宋" w:hint="eastAsia"/>
          <w:sz w:val="24"/>
        </w:rPr>
        <w:t>5、</w:t>
      </w:r>
      <w:r>
        <w:rPr>
          <w:rFonts w:ascii="仿宋" w:eastAsia="仿宋" w:hAnsi="仿宋" w:cs="仿宋" w:hint="eastAsia"/>
          <w:sz w:val="24"/>
          <w:highlight w:val="yellow"/>
        </w:rPr>
        <w:t xml:space="preserve">投标人须提供独立的 </w:t>
      </w:r>
      <w:r>
        <w:rPr>
          <w:rFonts w:ascii="仿宋" w:eastAsia="仿宋" w:hAnsi="仿宋" w:cs="仿宋" w:hint="eastAsia"/>
          <w:sz w:val="24"/>
          <w:highlight w:val="yellow"/>
        </w:rPr>
        <w:t>“</w:t>
      </w:r>
      <w:r>
        <w:rPr>
          <w:rFonts w:ascii="仿宋" w:eastAsia="仿宋" w:hAnsi="仿宋" w:cs="仿宋" w:hint="eastAsia"/>
          <w:sz w:val="24"/>
          <w:highlight w:val="yellow"/>
        </w:rPr>
        <w:t>投标报价单</w:t>
      </w:r>
      <w:r>
        <w:rPr>
          <w:rFonts w:ascii="仿宋" w:eastAsia="仿宋" w:hAnsi="仿宋" w:cs="仿宋" w:hint="eastAsia"/>
          <w:sz w:val="24"/>
          <w:highlight w:val="yellow"/>
        </w:rPr>
        <w:t>”</w:t>
      </w:r>
      <w:r>
        <w:rPr>
          <w:rFonts w:ascii="仿宋" w:eastAsia="仿宋" w:hAnsi="仿宋" w:cs="仿宋" w:hint="eastAsia"/>
          <w:sz w:val="24"/>
          <w:highlight w:val="yellow"/>
        </w:rPr>
        <w:t>一份、投标文件上册 (资格性文件)二份及投标文件下册四份，并各自独立密封提交，否则其投标将被拒绝。所有复印资料应清晰，如因资料不清晰产生的废标或扣分等后果由投标人自行负责。</w:t>
      </w:r>
    </w:p>
    <w:p>
      <w:pPr>
        <w:spacing w:line="360" w:lineRule="auto"/>
        <w:ind w:firstLine="480"/>
        <w:rPr>
          <w:rFonts w:ascii="仿宋" w:eastAsia="仿宋" w:hAnsi="仿宋" w:cs="仿宋" w:hint="eastAsia"/>
          <w:sz w:val="24"/>
        </w:rPr>
      </w:pPr>
      <w:r>
        <w:rPr>
          <w:rFonts w:ascii="仿宋" w:eastAsia="仿宋" w:hAnsi="仿宋" w:cs="仿宋" w:hint="eastAsia"/>
          <w:sz w:val="24"/>
          <w:highlight w:val="yellow"/>
        </w:rPr>
        <w:t>投标价格不得高于单包内各单项的预算价格，高于按投标无效处理。</w:t>
      </w:r>
    </w:p>
    <w:p>
      <w:pPr>
        <w:numPr>
          <w:ilvl w:val="0"/>
          <w:numId w:val="5"/>
        </w:numPr>
        <w:autoSpaceDE w:val="0"/>
        <w:autoSpaceDN w:val="0"/>
        <w:spacing w:line="360" w:lineRule="auto"/>
        <w:ind w:firstLine="480"/>
        <w:rPr>
          <w:rFonts w:ascii="仿宋" w:eastAsia="仿宋" w:hAnsi="仿宋" w:cs="仿宋" w:hint="eastAsia"/>
          <w:b/>
          <w:sz w:val="24"/>
        </w:rPr>
      </w:pPr>
      <w:r>
        <w:rPr>
          <w:rFonts w:ascii="仿宋" w:eastAsia="仿宋" w:hAnsi="仿宋" w:cs="仿宋" w:hint="eastAsia"/>
          <w:b/>
          <w:sz w:val="24"/>
        </w:rPr>
        <w:t>采购项目技术参数指标（规格、技术参数/方案、配置）要求：</w:t>
      </w:r>
    </w:p>
    <w:p>
      <w:pPr>
        <w:numPr>
          <w:ilvl w:val="0"/>
          <w:numId w:val="0"/>
        </w:numPr>
        <w:autoSpaceDE w:val="0"/>
        <w:autoSpaceDN w:val="0"/>
        <w:spacing w:line="360" w:lineRule="auto"/>
        <w:rPr>
          <w:rFonts w:ascii="仿宋" w:eastAsia="仿宋" w:hAnsi="仿宋" w:cs="仿宋" w:hint="eastAsia"/>
          <w:sz w:val="28"/>
          <w:szCs w:val="28"/>
          <w:highlight w:val="yellow"/>
        </w:rPr>
      </w:pPr>
      <w:r>
        <w:rPr>
          <w:rFonts w:ascii="仿宋" w:eastAsia="仿宋" w:hAnsi="仿宋" w:cs="仿宋" w:hint="eastAsia"/>
          <w:b/>
          <w:bCs/>
          <w:sz w:val="28"/>
          <w:szCs w:val="28"/>
          <w:highlight w:val="yellow"/>
          <w:lang w:val="en-US" w:eastAsia="zh-CN"/>
        </w:rPr>
        <w:t>包01-1 裂隙灯显微镜1台</w:t>
      </w:r>
    </w:p>
    <w:tbl>
      <w:tblPr>
        <w:tblStyle w:val="TableNormal"/>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78"/>
        <w:gridCol w:w="1665"/>
        <w:gridCol w:w="6958"/>
        <w:gridCol w:w="885"/>
      </w:tblGrid>
      <w:tr>
        <w:tblPrEx>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778" w:type="dxa"/>
          </w:tcPr>
          <w:p>
            <w:pPr>
              <w:spacing w:line="360" w:lineRule="auto"/>
              <w:jc w:val="center"/>
              <w:rPr>
                <w:rFonts w:ascii="仿宋" w:eastAsia="仿宋" w:hAnsi="仿宋" w:cs="仿宋" w:hint="eastAsia"/>
                <w:sz w:val="24"/>
              </w:rPr>
            </w:pPr>
            <w:r>
              <w:rPr>
                <w:rFonts w:ascii="仿宋" w:eastAsia="仿宋" w:hAnsi="仿宋" w:cs="仿宋" w:hint="eastAsia"/>
                <w:sz w:val="24"/>
              </w:rPr>
              <w:t>序号</w:t>
            </w:r>
          </w:p>
        </w:tc>
        <w:tc>
          <w:tcPr>
            <w:tcW w:w="1665" w:type="dxa"/>
          </w:tcPr>
          <w:p>
            <w:pPr>
              <w:spacing w:line="360" w:lineRule="auto"/>
              <w:jc w:val="center"/>
              <w:rPr>
                <w:rFonts w:ascii="仿宋" w:eastAsia="仿宋" w:hAnsi="仿宋" w:cs="仿宋" w:hint="eastAsia"/>
                <w:sz w:val="24"/>
              </w:rPr>
            </w:pPr>
            <w:r>
              <w:rPr>
                <w:rFonts w:ascii="仿宋" w:eastAsia="仿宋" w:hAnsi="仿宋" w:cs="仿宋" w:hint="eastAsia"/>
                <w:sz w:val="24"/>
              </w:rPr>
              <w:t>名称</w:t>
            </w:r>
          </w:p>
        </w:tc>
        <w:tc>
          <w:tcPr>
            <w:tcW w:w="6958" w:type="dxa"/>
          </w:tcPr>
          <w:p>
            <w:pPr>
              <w:spacing w:line="360" w:lineRule="auto"/>
              <w:jc w:val="center"/>
              <w:rPr>
                <w:rFonts w:ascii="仿宋" w:eastAsia="仿宋" w:hAnsi="仿宋" w:cs="仿宋" w:hint="eastAsia"/>
                <w:sz w:val="24"/>
              </w:rPr>
            </w:pPr>
            <w:r>
              <w:rPr>
                <w:rFonts w:ascii="仿宋" w:eastAsia="仿宋" w:hAnsi="仿宋" w:cs="仿宋" w:hint="eastAsia"/>
                <w:sz w:val="24"/>
              </w:rPr>
              <w:t>技术参数/要求</w:t>
            </w:r>
          </w:p>
        </w:tc>
        <w:tc>
          <w:tcPr>
            <w:tcW w:w="885" w:type="dxa"/>
          </w:tcPr>
          <w:p>
            <w:pPr>
              <w:spacing w:line="360" w:lineRule="auto"/>
              <w:jc w:val="center"/>
              <w:rPr>
                <w:rFonts w:ascii="仿宋" w:eastAsia="仿宋" w:hAnsi="仿宋" w:cs="仿宋" w:hint="eastAsia"/>
                <w:sz w:val="24"/>
              </w:rPr>
            </w:pPr>
            <w:r>
              <w:rPr>
                <w:rFonts w:ascii="仿宋" w:eastAsia="仿宋" w:hAnsi="仿宋" w:cs="仿宋" w:hint="eastAsia"/>
                <w:sz w:val="24"/>
              </w:rPr>
              <w:t>备注</w:t>
            </w:r>
          </w:p>
        </w:tc>
      </w:tr>
      <w:tr>
        <w:tblPrEx>
          <w:jc w:val="center"/>
          <w:tblInd w:w="-389" w:type="dxa"/>
          <w:tblLayout w:type="fixed"/>
          <w:tblCellMar>
            <w:top w:w="0" w:type="dxa"/>
            <w:left w:w="108" w:type="dxa"/>
            <w:bottom w:w="0" w:type="dxa"/>
            <w:right w:w="108" w:type="dxa"/>
          </w:tblCellMar>
          <w:tblLook w:val="0000"/>
        </w:tblPrEx>
        <w:trPr>
          <w:trHeight w:val="90"/>
          <w:jc w:val="center"/>
        </w:trPr>
        <w:tc>
          <w:tcPr>
            <w:tcW w:w="778" w:type="dxa"/>
            <w:vMerge w:val="restart"/>
            <w:vAlign w:val="center"/>
          </w:tcPr>
          <w:p>
            <w:pPr>
              <w:spacing w:line="36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1</w:t>
            </w:r>
          </w:p>
        </w:tc>
        <w:tc>
          <w:tcPr>
            <w:tcW w:w="1665"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显微镜</w:t>
            </w:r>
          </w:p>
        </w:tc>
        <w:tc>
          <w:tcPr>
            <w:tcW w:w="6958"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1.1、类型：双目镜型立体显微镜；</w:t>
            </w:r>
          </w:p>
        </w:tc>
        <w:tc>
          <w:tcPr>
            <w:tcW w:w="885" w:type="dxa"/>
            <w:vMerge w:val="restart"/>
            <w:vAlign w:val="center"/>
          </w:tcPr>
          <w:p>
            <w:pPr>
              <w:spacing w:line="360" w:lineRule="auto"/>
              <w:jc w:val="center"/>
              <w:rPr>
                <w:rFonts w:ascii="仿宋" w:eastAsia="仿宋" w:hAnsi="仿宋" w:cs="仿宋" w:hint="eastAsia"/>
                <w:color w:val="FF0000"/>
                <w:sz w:val="24"/>
              </w:rPr>
            </w:pPr>
          </w:p>
        </w:tc>
      </w:tr>
      <w:tr>
        <w:tblPrEx>
          <w:jc w:val="center"/>
          <w:tblInd w:w="-389" w:type="dxa"/>
          <w:tblLayout w:type="fixed"/>
          <w:tblCellMar>
            <w:top w:w="0" w:type="dxa"/>
            <w:left w:w="108" w:type="dxa"/>
            <w:bottom w:w="0" w:type="dxa"/>
            <w:right w:w="108" w:type="dxa"/>
          </w:tblCellMar>
          <w:tblLook w:val="0000"/>
        </w:tblPrEx>
        <w:trPr>
          <w:trHeight w:val="92"/>
          <w:jc w:val="center"/>
        </w:trPr>
        <w:tc>
          <w:tcPr>
            <w:tcW w:w="778" w:type="dxa"/>
            <w:vMerge/>
            <w:vAlign w:val="center"/>
          </w:tcPr>
          <w:p>
            <w:pPr>
              <w:keepNext w:val="0"/>
              <w:keepLines w:val="0"/>
              <w:pageBreakBefore w:val="0"/>
              <w:widowControl w:val="0"/>
              <w:kinsoku/>
              <w:wordWrap/>
              <w:overflowPunct/>
              <w:topLinePunct w:val="0"/>
              <w:autoSpaceDE/>
              <w:autoSpaceDN/>
              <w:bidi w:val="0"/>
              <w:adjustRightInd/>
              <w:snapToGrid/>
              <w:spacing w:line="192" w:lineRule="auto"/>
              <w:jc w:val="left"/>
              <w:textAlignment w:val="auto"/>
            </w:pPr>
          </w:p>
        </w:tc>
        <w:tc>
          <w:tcPr>
            <w:tcW w:w="1665" w:type="dxa"/>
            <w:vMerge/>
            <w:vAlign w:val="center"/>
          </w:tcPr>
          <w:p>
            <w:pPr>
              <w:keepNext w:val="0"/>
              <w:keepLines w:val="0"/>
              <w:pageBreakBefore w:val="0"/>
              <w:widowControl w:val="0"/>
              <w:kinsoku/>
              <w:wordWrap/>
              <w:overflowPunct/>
              <w:topLinePunct w:val="0"/>
              <w:autoSpaceDE/>
              <w:autoSpaceDN/>
              <w:bidi w:val="0"/>
              <w:adjustRightInd/>
              <w:snapToGrid/>
              <w:spacing w:line="192" w:lineRule="auto"/>
              <w:jc w:val="left"/>
              <w:textAlignment w:val="auto"/>
            </w:pPr>
          </w:p>
        </w:tc>
        <w:tc>
          <w:tcPr>
            <w:tcW w:w="6958"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1.2、放大率：旋转式物镜变换系统提供两种放大率选择；</w:t>
            </w:r>
          </w:p>
        </w:tc>
        <w:tc>
          <w:tcPr>
            <w:tcW w:w="885" w:type="dxa"/>
            <w:vMerge/>
            <w:vAlign w:val="center"/>
          </w:tcPr>
          <w:p>
            <w:pPr>
              <w:keepNext w:val="0"/>
              <w:keepLines w:val="0"/>
              <w:pageBreakBefore w:val="0"/>
              <w:widowControl w:val="0"/>
              <w:kinsoku/>
              <w:wordWrap/>
              <w:overflowPunct/>
              <w:topLinePunct w:val="0"/>
              <w:autoSpaceDE/>
              <w:autoSpaceDN/>
              <w:bidi w:val="0"/>
              <w:adjustRightInd/>
              <w:snapToGrid/>
              <w:spacing w:line="192" w:lineRule="auto"/>
              <w:jc w:val="left"/>
              <w:textAlignment w:val="auto"/>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92"/>
          <w:jc w:val="center"/>
        </w:trPr>
        <w:tc>
          <w:tcPr>
            <w:tcW w:w="778" w:type="dxa"/>
            <w:vMerge/>
            <w:vAlign w:val="center"/>
          </w:tcPr>
          <w:p>
            <w:pPr>
              <w:keepNext w:val="0"/>
              <w:keepLines w:val="0"/>
              <w:pageBreakBefore w:val="0"/>
              <w:widowControl w:val="0"/>
              <w:kinsoku/>
              <w:wordWrap/>
              <w:overflowPunct/>
              <w:topLinePunct w:val="0"/>
              <w:autoSpaceDE/>
              <w:autoSpaceDN/>
              <w:bidi w:val="0"/>
              <w:adjustRightInd/>
              <w:snapToGrid/>
              <w:spacing w:line="192" w:lineRule="auto"/>
              <w:jc w:val="left"/>
              <w:textAlignment w:val="auto"/>
              <w:rPr>
                <w:rFonts w:ascii="仿宋" w:eastAsia="仿宋" w:hAnsi="仿宋" w:cs="仿宋" w:hint="eastAsia"/>
                <w:sz w:val="24"/>
              </w:rPr>
            </w:pPr>
          </w:p>
        </w:tc>
        <w:tc>
          <w:tcPr>
            <w:tcW w:w="1665" w:type="dxa"/>
            <w:vMerge/>
            <w:vAlign w:val="center"/>
          </w:tcPr>
          <w:p>
            <w:pPr>
              <w:keepNext w:val="0"/>
              <w:keepLines w:val="0"/>
              <w:pageBreakBefore w:val="0"/>
              <w:widowControl w:val="0"/>
              <w:kinsoku/>
              <w:wordWrap/>
              <w:overflowPunct/>
              <w:topLinePunct w:val="0"/>
              <w:autoSpaceDE/>
              <w:autoSpaceDN/>
              <w:bidi w:val="0"/>
              <w:adjustRightInd/>
              <w:snapToGrid/>
              <w:spacing w:line="192" w:lineRule="auto"/>
              <w:jc w:val="left"/>
              <w:textAlignment w:val="auto"/>
              <w:rPr>
                <w:rFonts w:ascii="仿宋" w:eastAsia="仿宋" w:hAnsi="仿宋" w:cs="仿宋" w:hint="eastAsia"/>
                <w:sz w:val="24"/>
              </w:rPr>
            </w:pPr>
          </w:p>
        </w:tc>
        <w:tc>
          <w:tcPr>
            <w:tcW w:w="6958"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1.3、物镜：1X和 1.6X；</w:t>
            </w:r>
          </w:p>
        </w:tc>
        <w:tc>
          <w:tcPr>
            <w:tcW w:w="885" w:type="dxa"/>
            <w:vMerge/>
            <w:vAlign w:val="center"/>
          </w:tcPr>
          <w:p>
            <w:pPr>
              <w:keepNext w:val="0"/>
              <w:keepLines w:val="0"/>
              <w:pageBreakBefore w:val="0"/>
              <w:widowControl w:val="0"/>
              <w:kinsoku/>
              <w:wordWrap/>
              <w:overflowPunct/>
              <w:topLinePunct w:val="0"/>
              <w:autoSpaceDE/>
              <w:autoSpaceDN/>
              <w:bidi w:val="0"/>
              <w:adjustRightInd/>
              <w:snapToGrid/>
              <w:spacing w:line="192" w:lineRule="auto"/>
              <w:jc w:val="left"/>
              <w:textAlignment w:val="auto"/>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92"/>
          <w:jc w:val="center"/>
        </w:trPr>
        <w:tc>
          <w:tcPr>
            <w:tcW w:w="778" w:type="dxa"/>
            <w:vMerge/>
            <w:vAlign w:val="center"/>
          </w:tcPr>
          <w:p>
            <w:pPr>
              <w:keepNext w:val="0"/>
              <w:keepLines w:val="0"/>
              <w:pageBreakBefore w:val="0"/>
              <w:widowControl w:val="0"/>
              <w:kinsoku/>
              <w:wordWrap/>
              <w:overflowPunct/>
              <w:topLinePunct w:val="0"/>
              <w:autoSpaceDE/>
              <w:autoSpaceDN/>
              <w:bidi w:val="0"/>
              <w:adjustRightInd/>
              <w:snapToGrid/>
              <w:spacing w:line="192" w:lineRule="auto"/>
              <w:jc w:val="left"/>
              <w:textAlignment w:val="auto"/>
              <w:rPr>
                <w:rFonts w:ascii="仿宋" w:eastAsia="仿宋" w:hAnsi="仿宋" w:cs="仿宋" w:hint="eastAsia"/>
                <w:sz w:val="24"/>
              </w:rPr>
            </w:pPr>
          </w:p>
        </w:tc>
        <w:tc>
          <w:tcPr>
            <w:tcW w:w="1665" w:type="dxa"/>
            <w:vMerge/>
            <w:vAlign w:val="center"/>
          </w:tcPr>
          <w:p>
            <w:pPr>
              <w:keepNext w:val="0"/>
              <w:keepLines w:val="0"/>
              <w:pageBreakBefore w:val="0"/>
              <w:widowControl w:val="0"/>
              <w:kinsoku/>
              <w:wordWrap/>
              <w:overflowPunct/>
              <w:topLinePunct w:val="0"/>
              <w:autoSpaceDE/>
              <w:autoSpaceDN/>
              <w:bidi w:val="0"/>
              <w:adjustRightInd/>
              <w:snapToGrid/>
              <w:spacing w:line="192" w:lineRule="auto"/>
              <w:jc w:val="left"/>
              <w:textAlignment w:val="auto"/>
              <w:rPr>
                <w:rFonts w:ascii="仿宋" w:eastAsia="仿宋" w:hAnsi="仿宋" w:cs="仿宋" w:hint="eastAsia"/>
                <w:sz w:val="24"/>
              </w:rPr>
            </w:pPr>
          </w:p>
        </w:tc>
        <w:tc>
          <w:tcPr>
            <w:tcW w:w="6958"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1.4、提供两组目镜：10X和16X，满足临床不同的需要：</w:t>
            </w:r>
          </w:p>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A 屈光度调节（10X目镜时）： -8.00D～8.00D ，</w:t>
            </w:r>
          </w:p>
          <w:p>
            <w:pPr>
              <w:spacing w:line="240" w:lineRule="auto"/>
              <w:jc w:val="left"/>
              <w:rPr>
                <w:rFonts w:ascii="仿宋" w:eastAsia="仿宋" w:hAnsi="仿宋" w:cs="仿宋" w:hint="default"/>
                <w:sz w:val="24"/>
              </w:rPr>
            </w:pPr>
            <w:r>
              <w:rPr>
                <w:rFonts w:ascii="仿宋" w:eastAsia="仿宋" w:hAnsi="仿宋" w:cs="仿宋" w:hint="eastAsia"/>
                <w:sz w:val="24"/>
                <w:lang w:val="en-US" w:eastAsia="zh-CN"/>
              </w:rPr>
              <w:t>B 屈光度调节（16X目镜时）： -10.00D～10.00D ；</w:t>
            </w:r>
          </w:p>
        </w:tc>
        <w:tc>
          <w:tcPr>
            <w:tcW w:w="885" w:type="dxa"/>
            <w:vMerge/>
            <w:vAlign w:val="center"/>
          </w:tcPr>
          <w:p>
            <w:pPr>
              <w:keepNext w:val="0"/>
              <w:keepLines w:val="0"/>
              <w:pageBreakBefore w:val="0"/>
              <w:widowControl w:val="0"/>
              <w:kinsoku/>
              <w:wordWrap/>
              <w:overflowPunct/>
              <w:topLinePunct w:val="0"/>
              <w:autoSpaceDE/>
              <w:autoSpaceDN/>
              <w:bidi w:val="0"/>
              <w:adjustRightInd/>
              <w:snapToGrid/>
              <w:spacing w:line="192" w:lineRule="auto"/>
              <w:jc w:val="left"/>
              <w:textAlignment w:val="auto"/>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2337"/>
          <w:jc w:val="center"/>
        </w:trPr>
        <w:tc>
          <w:tcPr>
            <w:tcW w:w="778" w:type="dxa"/>
            <w:vMerge/>
            <w:vAlign w:val="center"/>
          </w:tcPr>
          <w:p>
            <w:pPr>
              <w:keepNext w:val="0"/>
              <w:keepLines w:val="0"/>
              <w:pageBreakBefore w:val="0"/>
              <w:widowControl w:val="0"/>
              <w:kinsoku/>
              <w:wordWrap/>
              <w:overflowPunct/>
              <w:topLinePunct w:val="0"/>
              <w:autoSpaceDE/>
              <w:autoSpaceDN/>
              <w:bidi w:val="0"/>
              <w:adjustRightInd/>
              <w:snapToGrid/>
              <w:spacing w:line="192" w:lineRule="auto"/>
              <w:jc w:val="left"/>
              <w:textAlignment w:val="auto"/>
              <w:rPr>
                <w:rFonts w:ascii="仿宋" w:eastAsia="仿宋" w:hAnsi="仿宋" w:cs="仿宋" w:hint="eastAsia"/>
                <w:sz w:val="24"/>
              </w:rPr>
            </w:pPr>
          </w:p>
        </w:tc>
        <w:tc>
          <w:tcPr>
            <w:tcW w:w="1665" w:type="dxa"/>
            <w:vMerge/>
            <w:vAlign w:val="center"/>
          </w:tcPr>
          <w:p>
            <w:pPr>
              <w:keepNext w:val="0"/>
              <w:keepLines w:val="0"/>
              <w:pageBreakBefore w:val="0"/>
              <w:widowControl w:val="0"/>
              <w:kinsoku/>
              <w:wordWrap/>
              <w:overflowPunct/>
              <w:topLinePunct w:val="0"/>
              <w:autoSpaceDE/>
              <w:autoSpaceDN/>
              <w:bidi w:val="0"/>
              <w:adjustRightInd/>
              <w:snapToGrid/>
              <w:spacing w:line="192" w:lineRule="auto"/>
              <w:jc w:val="left"/>
              <w:textAlignment w:val="auto"/>
              <w:rPr>
                <w:rFonts w:ascii="仿宋" w:eastAsia="仿宋" w:hAnsi="仿宋" w:cs="仿宋" w:hint="eastAsia"/>
                <w:sz w:val="24"/>
              </w:rPr>
            </w:pPr>
          </w:p>
        </w:tc>
        <w:tc>
          <w:tcPr>
            <w:tcW w:w="6958" w:type="dxa"/>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lang w:val="en-US" w:eastAsia="zh-CN"/>
              </w:rPr>
              <w:t>1.5、放大率和视野：</w:t>
            </w:r>
          </w:p>
          <w:tbl>
            <w:tblPr>
              <w:tblStyle w:val="0"/>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000"/>
            </w:tblPr>
            <w:tblGrid>
              <w:gridCol w:w="735"/>
              <w:gridCol w:w="390"/>
              <w:gridCol w:w="825"/>
              <w:gridCol w:w="390"/>
              <w:gridCol w:w="1020"/>
              <w:gridCol w:w="600"/>
              <w:gridCol w:w="1500"/>
            </w:tblGrid>
            <w:tr>
              <w:tblPrEx>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000"/>
              </w:tblPrEx>
              <w:tc>
                <w:tcPr>
                  <w:tcW w:w="735"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lang w:val="en-US" w:eastAsia="zh-CN"/>
                    </w:rPr>
                    <w:t>物镜</w:t>
                  </w:r>
                </w:p>
              </w:tc>
              <w:tc>
                <w:tcPr>
                  <w:tcW w:w="39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X</w:t>
                  </w:r>
                </w:p>
              </w:tc>
              <w:tc>
                <w:tcPr>
                  <w:tcW w:w="825"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lang w:val="en-US" w:eastAsia="zh-CN"/>
                    </w:rPr>
                    <w:t>目镜</w:t>
                  </w:r>
                </w:p>
              </w:tc>
              <w:tc>
                <w:tcPr>
                  <w:tcW w:w="39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w:t>
                  </w:r>
                </w:p>
              </w:tc>
              <w:tc>
                <w:tcPr>
                  <w:tcW w:w="102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lang w:val="en-US" w:eastAsia="zh-CN"/>
                    </w:rPr>
                    <w:t>放大率</w:t>
                  </w:r>
                </w:p>
              </w:tc>
              <w:tc>
                <w:tcPr>
                  <w:tcW w:w="60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150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lang w:val="en-US" w:eastAsia="zh-CN"/>
                    </w:rPr>
                    <w:t>视野</w:t>
                  </w:r>
                </w:p>
              </w:tc>
            </w:tr>
            <w:tr>
              <w:tblPrEx>
                <w:tblInd w:w="113" w:type="dxa"/>
                <w:tblLayout w:type="fixed"/>
                <w:tblCellMar>
                  <w:left w:w="108" w:type="dxa"/>
                  <w:right w:w="108" w:type="dxa"/>
                </w:tblCellMar>
                <w:tblLook w:val="0000"/>
              </w:tblPrEx>
              <w:tc>
                <w:tcPr>
                  <w:tcW w:w="735"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1X</w:t>
                  </w:r>
                </w:p>
              </w:tc>
              <w:tc>
                <w:tcPr>
                  <w:tcW w:w="39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825"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10X</w:t>
                  </w:r>
                </w:p>
              </w:tc>
              <w:tc>
                <w:tcPr>
                  <w:tcW w:w="39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102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10X</w:t>
                  </w:r>
                </w:p>
              </w:tc>
              <w:tc>
                <w:tcPr>
                  <w:tcW w:w="60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150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default"/>
                      <w:sz w:val="24"/>
                      <w:highlight w:val="none"/>
                      <w:lang w:val="en-US" w:eastAsia="zh-CN"/>
                    </w:rPr>
                    <w:t>直径 18mm</w:t>
                  </w:r>
                  <w:r>
                    <w:rPr>
                      <w:rFonts w:ascii="仿宋" w:eastAsia="仿宋" w:hAnsi="仿宋" w:cs="仿宋" w:hint="eastAsia"/>
                      <w:sz w:val="24"/>
                      <w:highlight w:val="none"/>
                      <w:lang w:val="en-US" w:eastAsia="zh-CN"/>
                    </w:rPr>
                    <w:t xml:space="preserve"> </w:t>
                  </w:r>
                </w:p>
              </w:tc>
            </w:tr>
            <w:tr>
              <w:tblPrEx>
                <w:tblInd w:w="113" w:type="dxa"/>
                <w:tblLayout w:type="fixed"/>
                <w:tblCellMar>
                  <w:left w:w="108" w:type="dxa"/>
                  <w:right w:w="108" w:type="dxa"/>
                </w:tblCellMar>
                <w:tblLook w:val="0000"/>
              </w:tblPrEx>
              <w:tc>
                <w:tcPr>
                  <w:tcW w:w="735"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1.6X</w:t>
                  </w:r>
                </w:p>
              </w:tc>
              <w:tc>
                <w:tcPr>
                  <w:tcW w:w="39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825"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10X</w:t>
                  </w:r>
                </w:p>
              </w:tc>
              <w:tc>
                <w:tcPr>
                  <w:tcW w:w="39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102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16X</w:t>
                  </w:r>
                </w:p>
              </w:tc>
              <w:tc>
                <w:tcPr>
                  <w:tcW w:w="60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150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default"/>
                      <w:sz w:val="24"/>
                      <w:highlight w:val="none"/>
                      <w:lang w:val="en-US" w:eastAsia="zh-CN"/>
                    </w:rPr>
                    <w:t>直径14.5mm</w:t>
                  </w:r>
                </w:p>
              </w:tc>
            </w:tr>
            <w:tr>
              <w:tblPrEx>
                <w:tblInd w:w="113" w:type="dxa"/>
                <w:tblLayout w:type="fixed"/>
                <w:tblCellMar>
                  <w:left w:w="108" w:type="dxa"/>
                  <w:right w:w="108" w:type="dxa"/>
                </w:tblCellMar>
                <w:tblLook w:val="0000"/>
              </w:tblPrEx>
              <w:tc>
                <w:tcPr>
                  <w:tcW w:w="735"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1X</w:t>
                  </w:r>
                </w:p>
              </w:tc>
              <w:tc>
                <w:tcPr>
                  <w:tcW w:w="39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825"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16X</w:t>
                  </w:r>
                </w:p>
              </w:tc>
              <w:tc>
                <w:tcPr>
                  <w:tcW w:w="39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102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16X</w:t>
                  </w:r>
                </w:p>
              </w:tc>
              <w:tc>
                <w:tcPr>
                  <w:tcW w:w="60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150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default"/>
                      <w:sz w:val="24"/>
                      <w:highlight w:val="none"/>
                      <w:lang w:val="en-US" w:eastAsia="zh-CN"/>
                    </w:rPr>
                    <w:t>直11.25mm</w:t>
                  </w:r>
                </w:p>
              </w:tc>
            </w:tr>
            <w:tr>
              <w:tblPrEx>
                <w:tblInd w:w="113" w:type="dxa"/>
                <w:tblLayout w:type="fixed"/>
                <w:tblCellMar>
                  <w:left w:w="108" w:type="dxa"/>
                  <w:right w:w="108" w:type="dxa"/>
                </w:tblCellMar>
                <w:tblLook w:val="0000"/>
              </w:tblPrEx>
              <w:tc>
                <w:tcPr>
                  <w:tcW w:w="735"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1.6X</w:t>
                  </w:r>
                </w:p>
              </w:tc>
              <w:tc>
                <w:tcPr>
                  <w:tcW w:w="39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825"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16X</w:t>
                  </w:r>
                </w:p>
              </w:tc>
              <w:tc>
                <w:tcPr>
                  <w:tcW w:w="39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102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eastAsia"/>
                      <w:sz w:val="24"/>
                      <w:highlight w:val="none"/>
                      <w:vertAlign w:val="baseline"/>
                      <w:lang w:val="en-US" w:eastAsia="zh-CN"/>
                    </w:rPr>
                    <w:t>25.6X</w:t>
                  </w:r>
                </w:p>
              </w:tc>
              <w:tc>
                <w:tcPr>
                  <w:tcW w:w="60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p>
              </w:tc>
              <w:tc>
                <w:tcPr>
                  <w:tcW w:w="1500" w:type="dxa"/>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ascii="仿宋" w:eastAsia="仿宋" w:hAnsi="仿宋" w:cs="仿宋" w:hint="default"/>
                      <w:sz w:val="24"/>
                      <w:highlight w:val="none"/>
                      <w:vertAlign w:val="baseline"/>
                    </w:rPr>
                  </w:pPr>
                  <w:r>
                    <w:rPr>
                      <w:rFonts w:ascii="仿宋" w:eastAsia="仿宋" w:hAnsi="仿宋" w:cs="仿宋" w:hint="default"/>
                      <w:sz w:val="24"/>
                      <w:highlight w:val="none"/>
                      <w:lang w:val="en-US" w:eastAsia="zh-CN"/>
                    </w:rPr>
                    <w:t xml:space="preserve">直径 </w:t>
                  </w:r>
                  <w:r>
                    <w:rPr>
                      <w:rFonts w:ascii="仿宋" w:eastAsia="仿宋" w:hAnsi="仿宋" w:cs="仿宋" w:hint="eastAsia"/>
                      <w:sz w:val="24"/>
                      <w:highlight w:val="none"/>
                      <w:lang w:val="en-US" w:eastAsia="zh-CN"/>
                    </w:rPr>
                    <w:t>9</w:t>
                  </w:r>
                  <w:r>
                    <w:rPr>
                      <w:rFonts w:ascii="仿宋" w:eastAsia="仿宋" w:hAnsi="仿宋" w:cs="仿宋" w:hint="default"/>
                      <w:sz w:val="24"/>
                      <w:highlight w:val="none"/>
                      <w:lang w:val="en-US" w:eastAsia="zh-CN"/>
                    </w:rPr>
                    <w:t>mm</w:t>
                  </w:r>
                  <w:r>
                    <w:rPr>
                      <w:rFonts w:ascii="仿宋" w:eastAsia="仿宋" w:hAnsi="仿宋" w:cs="仿宋" w:hint="eastAsia"/>
                      <w:sz w:val="24"/>
                      <w:highlight w:val="none"/>
                      <w:lang w:val="en-US" w:eastAsia="zh-CN"/>
                    </w:rPr>
                    <w:t xml:space="preserve"> </w:t>
                  </w:r>
                </w:p>
              </w:tc>
            </w:tr>
          </w:tbl>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ascii="仿宋" w:eastAsia="仿宋" w:hAnsi="仿宋" w:cs="仿宋" w:hint="default"/>
                <w:sz w:val="24"/>
              </w:rPr>
            </w:pPr>
          </w:p>
        </w:tc>
        <w:tc>
          <w:tcPr>
            <w:tcW w:w="885" w:type="dxa"/>
            <w:vMerge/>
            <w:vAlign w:val="center"/>
          </w:tcPr>
          <w:p>
            <w:pPr>
              <w:keepNext w:val="0"/>
              <w:keepLines w:val="0"/>
              <w:pageBreakBefore w:val="0"/>
              <w:widowControl w:val="0"/>
              <w:kinsoku/>
              <w:wordWrap/>
              <w:overflowPunct/>
              <w:topLinePunct w:val="0"/>
              <w:autoSpaceDE/>
              <w:autoSpaceDN/>
              <w:bidi w:val="0"/>
              <w:adjustRightInd/>
              <w:snapToGrid/>
              <w:spacing w:line="192" w:lineRule="auto"/>
              <w:jc w:val="left"/>
              <w:textAlignment w:val="auto"/>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61"/>
          <w:jc w:val="center"/>
        </w:trPr>
        <w:tc>
          <w:tcPr>
            <w:tcW w:w="778" w:type="dxa"/>
            <w:vAlign w:val="center"/>
          </w:tcPr>
          <w:p>
            <w:pPr>
              <w:spacing w:line="36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2</w:t>
            </w:r>
          </w:p>
        </w:tc>
        <w:tc>
          <w:tcPr>
            <w:tcW w:w="16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裂隙照明</w:t>
            </w:r>
          </w:p>
          <w:p>
            <w:pPr>
              <w:spacing w:line="240" w:lineRule="auto"/>
              <w:jc w:val="center"/>
              <w:rPr>
                <w:rFonts w:ascii="仿宋" w:eastAsia="仿宋" w:hAnsi="仿宋" w:cs="仿宋" w:hint="eastAsia"/>
                <w:sz w:val="24"/>
              </w:rPr>
            </w:pPr>
          </w:p>
        </w:tc>
        <w:tc>
          <w:tcPr>
            <w:tcW w:w="6958" w:type="dxa"/>
            <w:vAlign w:val="center"/>
          </w:tcPr>
          <w:p>
            <w:pPr>
              <w:spacing w:line="240" w:lineRule="auto"/>
              <w:jc w:val="left"/>
              <w:rPr>
                <w:rFonts w:ascii="仿宋" w:eastAsia="仿宋" w:hAnsi="仿宋" w:cs="仿宋" w:hint="default"/>
                <w:sz w:val="24"/>
              </w:rPr>
            </w:pPr>
            <w:r>
              <w:rPr>
                <w:rFonts w:ascii="仿宋" w:eastAsia="仿宋" w:hAnsi="仿宋" w:cs="仿宋" w:hint="eastAsia"/>
                <w:sz w:val="24"/>
                <w:lang w:val="en-US" w:eastAsia="zh-CN"/>
              </w:rPr>
              <w:t>2.1、裂隙宽度：0～9mm连续可调。最小宽度：</w:t>
            </w:r>
            <w:r>
              <w:rPr>
                <w:rFonts w:ascii="仿宋" w:eastAsia="仿宋" w:hAnsi="仿宋" w:cs="仿宋" w:hint="eastAsia"/>
                <w:sz w:val="24"/>
                <w:lang w:val="en-US" w:eastAsia="zh-CN"/>
              </w:rPr>
              <w:t>≤</w:t>
            </w:r>
            <w:r>
              <w:rPr>
                <w:rFonts w:ascii="仿宋" w:eastAsia="仿宋" w:hAnsi="仿宋" w:cs="仿宋" w:hint="eastAsia"/>
                <w:sz w:val="24"/>
                <w:lang w:val="en-US" w:eastAsia="zh-CN"/>
              </w:rPr>
              <w:t>0.2mm，最大宽度：9mm ；</w:t>
            </w:r>
          </w:p>
        </w:tc>
        <w:tc>
          <w:tcPr>
            <w:tcW w:w="885" w:type="dxa"/>
            <w:vAlign w:val="center"/>
          </w:tcPr>
          <w:p>
            <w:pPr>
              <w:spacing w:line="360" w:lineRule="auto"/>
              <w:rPr>
                <w:rFonts w:ascii="仿宋" w:eastAsia="仿宋" w:hAnsi="仿宋" w:cs="仿宋" w:hint="eastAsia"/>
                <w:color w:val="FF0000"/>
                <w:sz w:val="24"/>
              </w:rPr>
            </w:pPr>
          </w:p>
        </w:tc>
      </w:tr>
    </w:tbl>
    <w:p>
      <w:pPr>
        <w:sectPr>
          <w:headerReference w:type="default" r:id="rId12"/>
          <w:footerReference w:type="default" r:id="rId13"/>
          <w:type w:val="nextPage"/>
          <w:pgSz w:w="11906" w:h="16838"/>
          <w:pgMar w:top="1440" w:right="1800" w:bottom="1440" w:left="1800" w:header="851" w:footer="992" w:gutter="0"/>
          <w:pgNumType w:fmt="decimal" w:start="5"/>
          <w:cols w:space="708"/>
          <w:titlePg w:val="0"/>
          <w:docGrid w:type="lines" w:linePitch="312"/>
        </w:sectPr>
      </w:pPr>
    </w:p>
    <w:tbl>
      <w:tblPr>
        <w:tblStyle w:val="TableNormal"/>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78"/>
        <w:gridCol w:w="1665"/>
        <w:gridCol w:w="6958"/>
        <w:gridCol w:w="885"/>
      </w:tblGrid>
      <w:tr>
        <w:tblPrEx>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1"/>
          <w:jc w:val="center"/>
        </w:trPr>
        <w:tc>
          <w:tcPr>
            <w:tcW w:w="778" w:type="dxa"/>
            <w:vMerge w:val="restart"/>
            <w:vAlign w:val="center"/>
          </w:tcPr>
          <w:p>
            <w:pPr>
              <w:spacing w:line="240" w:lineRule="auto"/>
              <w:jc w:val="left"/>
            </w:pPr>
          </w:p>
        </w:tc>
        <w:tc>
          <w:tcPr>
            <w:tcW w:w="1665" w:type="dxa"/>
            <w:vMerge w:val="restart"/>
            <w:vAlign w:val="center"/>
          </w:tcPr>
          <w:p>
            <w:pPr>
              <w:spacing w:line="240" w:lineRule="auto"/>
              <w:jc w:val="left"/>
            </w:pPr>
          </w:p>
        </w:tc>
        <w:tc>
          <w:tcPr>
            <w:tcW w:w="6958"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2.2、裂隙长度：0～9mm，其中0～8mm连续可调；</w:t>
            </w:r>
          </w:p>
        </w:tc>
        <w:tc>
          <w:tcPr>
            <w:tcW w:w="885" w:type="dxa"/>
            <w:vMerge w:val="restart"/>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61"/>
          <w:jc w:val="center"/>
        </w:trPr>
        <w:tc>
          <w:tcPr>
            <w:tcW w:w="778" w:type="dxa"/>
            <w:vMerge/>
            <w:vAlign w:val="center"/>
          </w:tcPr>
          <w:p>
            <w:pPr>
              <w:spacing w:line="240" w:lineRule="auto"/>
              <w:jc w:val="left"/>
              <w:rPr>
                <w:rFonts w:ascii="仿宋" w:eastAsia="仿宋" w:hAnsi="仿宋" w:cs="仿宋" w:hint="eastAsia"/>
                <w:sz w:val="24"/>
              </w:rPr>
            </w:pPr>
          </w:p>
        </w:tc>
        <w:tc>
          <w:tcPr>
            <w:tcW w:w="1665" w:type="dxa"/>
            <w:vMerge/>
            <w:vAlign w:val="center"/>
          </w:tcPr>
          <w:p>
            <w:pPr>
              <w:spacing w:line="240" w:lineRule="auto"/>
              <w:jc w:val="left"/>
              <w:rPr>
                <w:rFonts w:ascii="仿宋" w:eastAsia="仿宋" w:hAnsi="仿宋" w:cs="仿宋" w:hint="eastAsia"/>
                <w:sz w:val="24"/>
              </w:rPr>
            </w:pPr>
          </w:p>
        </w:tc>
        <w:tc>
          <w:tcPr>
            <w:tcW w:w="6958" w:type="dxa"/>
            <w:vAlign w:val="center"/>
          </w:tcPr>
          <w:p>
            <w:pPr>
              <w:spacing w:line="240" w:lineRule="auto"/>
              <w:jc w:val="left"/>
              <w:rPr>
                <w:rFonts w:ascii="仿宋" w:eastAsia="仿宋" w:hAnsi="仿宋" w:cs="仿宋" w:hint="default"/>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2.3、孔直径：0.2mm、1mm、2mm、3mm、5mm、8mm、9mm ；</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61"/>
          <w:jc w:val="center"/>
        </w:trPr>
        <w:tc>
          <w:tcPr>
            <w:tcW w:w="778" w:type="dxa"/>
            <w:vMerge/>
            <w:vAlign w:val="center"/>
          </w:tcPr>
          <w:p>
            <w:pPr>
              <w:spacing w:line="240" w:lineRule="auto"/>
              <w:jc w:val="left"/>
              <w:rPr>
                <w:rFonts w:ascii="仿宋" w:eastAsia="仿宋" w:hAnsi="仿宋" w:cs="仿宋" w:hint="eastAsia"/>
                <w:sz w:val="24"/>
              </w:rPr>
            </w:pPr>
          </w:p>
        </w:tc>
        <w:tc>
          <w:tcPr>
            <w:tcW w:w="1665" w:type="dxa"/>
            <w:vMerge/>
            <w:vAlign w:val="center"/>
          </w:tcPr>
          <w:p>
            <w:pPr>
              <w:spacing w:line="240" w:lineRule="auto"/>
              <w:jc w:val="left"/>
              <w:rPr>
                <w:rFonts w:ascii="仿宋" w:eastAsia="仿宋" w:hAnsi="仿宋" w:cs="仿宋" w:hint="eastAsia"/>
                <w:sz w:val="24"/>
              </w:rPr>
            </w:pPr>
          </w:p>
        </w:tc>
        <w:tc>
          <w:tcPr>
            <w:tcW w:w="6958"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2.4、裂隙角度：水平方向：0</w:t>
            </w:r>
            <w:r>
              <w:rPr>
                <w:rFonts w:ascii="仿宋" w:eastAsia="仿宋" w:hAnsi="仿宋" w:cs="仿宋" w:hint="eastAsia"/>
                <w:sz w:val="24"/>
                <w:lang w:val="en-US" w:eastAsia="zh-CN"/>
              </w:rPr>
              <w:t>°</w:t>
            </w:r>
            <w:r>
              <w:rPr>
                <w:rFonts w:ascii="仿宋" w:eastAsia="仿宋" w:hAnsi="仿宋" w:cs="仿宋" w:hint="eastAsia"/>
                <w:sz w:val="24"/>
                <w:lang w:val="en-US" w:eastAsia="zh-CN"/>
              </w:rPr>
              <w:t>～180</w:t>
            </w:r>
            <w:r>
              <w:rPr>
                <w:rFonts w:ascii="仿宋" w:eastAsia="仿宋" w:hAnsi="仿宋" w:cs="仿宋" w:hint="eastAsia"/>
                <w:sz w:val="24"/>
                <w:lang w:val="en-US" w:eastAsia="zh-CN"/>
              </w:rPr>
              <w:t>°</w:t>
            </w:r>
            <w:r>
              <w:rPr>
                <w:rFonts w:ascii="仿宋" w:eastAsia="仿宋" w:hAnsi="仿宋" w:cs="仿宋" w:hint="eastAsia"/>
                <w:sz w:val="24"/>
                <w:lang w:val="en-US" w:eastAsia="zh-CN"/>
              </w:rPr>
              <w:t>连续变换；垂直方向：5</w:t>
            </w:r>
            <w:r>
              <w:rPr>
                <w:rFonts w:ascii="仿宋" w:eastAsia="仿宋" w:hAnsi="仿宋" w:cs="仿宋" w:hint="eastAsia"/>
                <w:sz w:val="24"/>
                <w:lang w:val="en-US" w:eastAsia="zh-CN"/>
              </w:rPr>
              <w:t>°</w:t>
            </w:r>
            <w:r>
              <w:rPr>
                <w:rFonts w:ascii="仿宋" w:eastAsia="仿宋" w:hAnsi="仿宋" w:cs="仿宋" w:hint="eastAsia"/>
                <w:sz w:val="24"/>
                <w:lang w:val="en-US" w:eastAsia="zh-CN"/>
              </w:rPr>
              <w:t>、10</w:t>
            </w:r>
            <w:r>
              <w:rPr>
                <w:rFonts w:ascii="仿宋" w:eastAsia="仿宋" w:hAnsi="仿宋" w:cs="仿宋" w:hint="eastAsia"/>
                <w:sz w:val="24"/>
                <w:lang w:val="en-US" w:eastAsia="zh-CN"/>
              </w:rPr>
              <w:t>°</w:t>
            </w:r>
            <w:r>
              <w:rPr>
                <w:rFonts w:ascii="仿宋" w:eastAsia="仿宋" w:hAnsi="仿宋" w:cs="仿宋" w:hint="eastAsia"/>
                <w:sz w:val="24"/>
                <w:lang w:val="en-US" w:eastAsia="zh-CN"/>
              </w:rPr>
              <w:t>、15</w:t>
            </w:r>
            <w:r>
              <w:rPr>
                <w:rFonts w:ascii="仿宋" w:eastAsia="仿宋" w:hAnsi="仿宋" w:cs="仿宋" w:hint="eastAsia"/>
                <w:sz w:val="24"/>
                <w:lang w:val="en-US" w:eastAsia="zh-CN"/>
              </w:rPr>
              <w:t>°</w:t>
            </w:r>
            <w:r>
              <w:rPr>
                <w:rFonts w:ascii="仿宋" w:eastAsia="仿宋" w:hAnsi="仿宋" w:cs="仿宋" w:hint="eastAsia"/>
                <w:sz w:val="24"/>
                <w:lang w:val="en-US" w:eastAsia="zh-CN"/>
              </w:rPr>
              <w:t>、20</w:t>
            </w:r>
            <w:r>
              <w:rPr>
                <w:rFonts w:ascii="仿宋" w:eastAsia="仿宋" w:hAnsi="仿宋" w:cs="仿宋" w:hint="eastAsia"/>
                <w:sz w:val="24"/>
                <w:lang w:val="en-US" w:eastAsia="zh-CN"/>
              </w:rPr>
              <w:t>°</w:t>
            </w:r>
            <w:r>
              <w:rPr>
                <w:rFonts w:ascii="仿宋" w:eastAsia="仿宋" w:hAnsi="仿宋" w:cs="仿宋" w:hint="eastAsia"/>
                <w:sz w:val="24"/>
                <w:lang w:val="en-US" w:eastAsia="zh-CN"/>
              </w:rPr>
              <w:t>；</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61"/>
          <w:jc w:val="center"/>
        </w:trPr>
        <w:tc>
          <w:tcPr>
            <w:tcW w:w="778" w:type="dxa"/>
            <w:vMerge/>
            <w:vAlign w:val="center"/>
          </w:tcPr>
          <w:p>
            <w:pPr>
              <w:spacing w:line="240" w:lineRule="auto"/>
              <w:jc w:val="left"/>
              <w:rPr>
                <w:rFonts w:ascii="仿宋" w:eastAsia="仿宋" w:hAnsi="仿宋" w:cs="仿宋" w:hint="eastAsia"/>
                <w:sz w:val="24"/>
              </w:rPr>
            </w:pPr>
          </w:p>
        </w:tc>
        <w:tc>
          <w:tcPr>
            <w:tcW w:w="1665" w:type="dxa"/>
            <w:vMerge/>
            <w:vAlign w:val="center"/>
          </w:tcPr>
          <w:p>
            <w:pPr>
              <w:spacing w:line="240" w:lineRule="auto"/>
              <w:jc w:val="left"/>
              <w:rPr>
                <w:rFonts w:ascii="仿宋" w:eastAsia="仿宋" w:hAnsi="仿宋" w:cs="仿宋" w:hint="eastAsia"/>
                <w:sz w:val="24"/>
              </w:rPr>
            </w:pPr>
          </w:p>
        </w:tc>
        <w:tc>
          <w:tcPr>
            <w:tcW w:w="6958"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2.5、固定常用滤光片：UV截止滤光片、红外截止滤光片；可选转换滤光片：蓝色，无赤光，13％灰度、热吸收；</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61"/>
          <w:jc w:val="center"/>
        </w:trPr>
        <w:tc>
          <w:tcPr>
            <w:tcW w:w="778" w:type="dxa"/>
            <w:vMerge/>
            <w:vAlign w:val="center"/>
          </w:tcPr>
          <w:p>
            <w:pPr>
              <w:spacing w:line="240" w:lineRule="auto"/>
              <w:jc w:val="left"/>
              <w:rPr>
                <w:rFonts w:ascii="仿宋" w:eastAsia="仿宋" w:hAnsi="仿宋" w:cs="仿宋" w:hint="eastAsia"/>
                <w:sz w:val="24"/>
              </w:rPr>
            </w:pPr>
          </w:p>
        </w:tc>
        <w:tc>
          <w:tcPr>
            <w:tcW w:w="1665" w:type="dxa"/>
            <w:vMerge/>
            <w:vAlign w:val="center"/>
          </w:tcPr>
          <w:p>
            <w:pPr>
              <w:spacing w:line="240" w:lineRule="auto"/>
              <w:jc w:val="left"/>
              <w:rPr>
                <w:rFonts w:ascii="仿宋" w:eastAsia="仿宋" w:hAnsi="仿宋" w:cs="仿宋" w:hint="eastAsia"/>
                <w:sz w:val="24"/>
              </w:rPr>
            </w:pPr>
          </w:p>
        </w:tc>
        <w:tc>
          <w:tcPr>
            <w:tcW w:w="6958"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2.6、灯：上光源 6V，20W卤素灯。</w:t>
            </w:r>
          </w:p>
        </w:tc>
        <w:tc>
          <w:tcPr>
            <w:tcW w:w="885" w:type="dxa"/>
            <w:vMerge/>
            <w:vAlign w:val="center"/>
          </w:tcPr>
          <w:p>
            <w:pPr>
              <w:spacing w:line="240" w:lineRule="auto"/>
              <w:jc w:val="left"/>
              <w:rPr>
                <w:rFonts w:ascii="仿宋" w:eastAsia="仿宋" w:hAnsi="仿宋" w:cs="仿宋" w:hint="eastAsia"/>
                <w:sz w:val="24"/>
              </w:rPr>
            </w:pPr>
          </w:p>
        </w:tc>
      </w:tr>
    </w:tbl>
    <w:p>
      <w:pPr>
        <w:rPr>
          <w:rFonts w:hint="eastAsia"/>
        </w:rPr>
      </w:pPr>
    </w:p>
    <w:p>
      <w:pPr>
        <w:rPr>
          <w:rFonts w:hint="eastAsia"/>
        </w:rPr>
      </w:pPr>
      <w:r>
        <w:rPr>
          <w:rFonts w:hint="eastAsia"/>
          <w:lang w:val="en-US" w:eastAsia="zh-CN"/>
        </w:rPr>
        <w:t xml:space="preserve"> </w:t>
      </w:r>
    </w:p>
    <w:tbl>
      <w:tblPr>
        <w:tblStyle w:val="TableNormal"/>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0"/>
        <w:gridCol w:w="3935"/>
        <w:gridCol w:w="1486"/>
        <w:gridCol w:w="1323"/>
        <w:gridCol w:w="2482"/>
      </w:tblGrid>
      <w:tr>
        <w:tblPrEx>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3"/>
          <w:jc w:val="center"/>
        </w:trPr>
        <w:tc>
          <w:tcPr>
            <w:tcW w:w="10066" w:type="dxa"/>
            <w:gridSpan w:val="5"/>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color w:val="auto"/>
                <w:sz w:val="24"/>
              </w:rPr>
            </w:pPr>
            <w:r>
              <w:rPr>
                <w:rFonts w:ascii="仿宋" w:eastAsia="仿宋" w:hAnsi="仿宋" w:cs="仿宋" w:hint="eastAsia"/>
                <w:b/>
                <w:color w:val="auto"/>
                <w:sz w:val="24"/>
                <w:highlight w:val="yellow"/>
                <w:lang w:val="en-US" w:eastAsia="zh-CN"/>
              </w:rPr>
              <w:t>裂隙灯显微镜</w:t>
            </w:r>
            <w:r>
              <w:rPr>
                <w:rFonts w:ascii="仿宋" w:eastAsia="仿宋" w:hAnsi="仿宋" w:cs="仿宋" w:hint="eastAsia"/>
                <w:b/>
                <w:color w:val="auto"/>
                <w:sz w:val="24"/>
                <w:highlight w:val="yellow"/>
              </w:rPr>
              <w:t>配置清单</w:t>
            </w:r>
            <w:r>
              <w:rPr>
                <w:rFonts w:ascii="仿宋" w:eastAsia="仿宋" w:hAnsi="仿宋" w:cs="仿宋" w:hint="eastAsia"/>
                <w:b/>
                <w:color w:val="auto"/>
                <w:sz w:val="24"/>
                <w:highlight w:val="yellow"/>
                <w:lang w:val="en-US" w:eastAsia="zh-CN"/>
              </w:rPr>
              <w:t>(1台)</w:t>
            </w:r>
          </w:p>
        </w:tc>
      </w:tr>
      <w:tr>
        <w:tblPrEx>
          <w:jc w:val="center"/>
          <w:tblInd w:w="-419" w:type="dxa"/>
          <w:tblLayout w:type="fixed"/>
          <w:tblCellMar>
            <w:top w:w="0" w:type="dxa"/>
            <w:left w:w="108" w:type="dxa"/>
            <w:bottom w:w="0" w:type="dxa"/>
            <w:right w:w="108" w:type="dxa"/>
          </w:tblCellMar>
          <w:tblLook w:val="0000"/>
        </w:tblPrEx>
        <w:trPr>
          <w:trHeight w:val="339"/>
          <w:jc w:val="center"/>
        </w:trPr>
        <w:tc>
          <w:tcPr>
            <w:tcW w:w="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序号</w:t>
            </w:r>
          </w:p>
        </w:tc>
        <w:tc>
          <w:tcPr>
            <w:tcW w:w="39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产品名称</w:t>
            </w:r>
          </w:p>
        </w:tc>
        <w:tc>
          <w:tcPr>
            <w:tcW w:w="148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单位</w:t>
            </w:r>
          </w:p>
        </w:tc>
        <w:tc>
          <w:tcPr>
            <w:tcW w:w="1323"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数量</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备注</w:t>
            </w:r>
          </w:p>
        </w:tc>
      </w:tr>
      <w:tr>
        <w:tblPrEx>
          <w:jc w:val="center"/>
          <w:tblInd w:w="-419" w:type="dxa"/>
          <w:tblLayout w:type="fixed"/>
          <w:tblCellMar>
            <w:top w:w="0" w:type="dxa"/>
            <w:left w:w="108" w:type="dxa"/>
            <w:bottom w:w="0" w:type="dxa"/>
            <w:right w:w="108" w:type="dxa"/>
          </w:tblCellMar>
          <w:tblLook w:val="0000"/>
        </w:tblPrEx>
        <w:trPr>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1</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裂隙灯显微镜</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个</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5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16倍目镜</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个</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 xml:space="preserve">1 </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4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3</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10倍目镜</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个</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7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4</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lang w:val="fr-FR"/>
              </w:rPr>
            </w:pPr>
            <w:r>
              <w:rPr>
                <w:rFonts w:ascii="仿宋" w:eastAsia="仿宋" w:hAnsi="仿宋" w:cs="仿宋" w:hint="eastAsia"/>
                <w:sz w:val="24"/>
                <w:lang w:val="en-US" w:eastAsia="zh-CN"/>
              </w:rPr>
              <w:t>说明书</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本</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5</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lang w:val="fr-FR"/>
              </w:rPr>
            </w:pPr>
            <w:r>
              <w:rPr>
                <w:rFonts w:ascii="仿宋" w:eastAsia="仿宋" w:hAnsi="仿宋" w:cs="仿宋" w:hint="eastAsia"/>
                <w:sz w:val="24"/>
                <w:lang w:val="en-US" w:eastAsia="zh-CN"/>
              </w:rPr>
              <w:t>颌托纸</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本</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6</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防尘罩</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个</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7</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电动升降桌</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张</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bl>
    <w:p>
      <w:pPr>
        <w:rPr>
          <w:rFonts w:hint="eastAsia"/>
        </w:rPr>
      </w:pPr>
    </w:p>
    <w:p>
      <w:pPr>
        <w:rPr>
          <w:rFonts w:hint="eastAsia"/>
        </w:rPr>
      </w:pPr>
    </w:p>
    <w:p>
      <w:pPr>
        <w:numPr>
          <w:ilvl w:val="0"/>
          <w:numId w:val="0"/>
        </w:numPr>
        <w:autoSpaceDE w:val="0"/>
        <w:autoSpaceDN w:val="0"/>
        <w:spacing w:line="360" w:lineRule="auto"/>
        <w:jc w:val="both"/>
        <w:rPr>
          <w:rFonts w:hint="eastAsia"/>
        </w:rPr>
      </w:pPr>
      <w:r>
        <w:rPr>
          <w:rFonts w:ascii="仿宋" w:eastAsia="仿宋" w:hAnsi="仿宋" w:cs="仿宋" w:hint="eastAsia"/>
          <w:b/>
          <w:bCs/>
          <w:sz w:val="28"/>
          <w:szCs w:val="28"/>
          <w:highlight w:val="yellow"/>
          <w:lang w:val="en-US" w:eastAsia="zh-CN"/>
        </w:rPr>
        <w:t>包01-2 病人监护仪 1台</w:t>
      </w:r>
    </w:p>
    <w:tbl>
      <w:tblPr>
        <w:tblStyle w:val="TableNormal"/>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5"/>
        <w:gridCol w:w="1440"/>
        <w:gridCol w:w="7185"/>
        <w:gridCol w:w="975"/>
      </w:tblGrid>
      <w:tr>
        <w:tblPrEx>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62"/>
        </w:trPr>
        <w:tc>
          <w:tcPr>
            <w:tcW w:w="765" w:type="dxa"/>
          </w:tcPr>
          <w:p>
            <w:pPr>
              <w:spacing w:line="240" w:lineRule="auto"/>
              <w:jc w:val="center"/>
              <w:rPr>
                <w:rFonts w:ascii="仿宋" w:eastAsia="仿宋" w:hAnsi="仿宋" w:cs="仿宋" w:hint="eastAsia"/>
                <w:sz w:val="24"/>
              </w:rPr>
            </w:pPr>
            <w:r>
              <w:rPr>
                <w:rFonts w:ascii="仿宋" w:eastAsia="仿宋" w:hAnsi="仿宋" w:cs="仿宋" w:hint="eastAsia"/>
                <w:sz w:val="24"/>
              </w:rPr>
              <w:t>序号</w:t>
            </w:r>
          </w:p>
        </w:tc>
        <w:tc>
          <w:tcPr>
            <w:tcW w:w="1440" w:type="dxa"/>
          </w:tcPr>
          <w:p>
            <w:pPr>
              <w:spacing w:line="240" w:lineRule="auto"/>
              <w:jc w:val="center"/>
              <w:rPr>
                <w:rFonts w:ascii="仿宋" w:eastAsia="仿宋" w:hAnsi="仿宋" w:cs="仿宋" w:hint="eastAsia"/>
                <w:sz w:val="24"/>
              </w:rPr>
            </w:pPr>
            <w:r>
              <w:rPr>
                <w:rFonts w:ascii="仿宋" w:eastAsia="仿宋" w:hAnsi="仿宋" w:cs="仿宋" w:hint="eastAsia"/>
                <w:sz w:val="24"/>
              </w:rPr>
              <w:t>名称</w:t>
            </w:r>
          </w:p>
        </w:tc>
        <w:tc>
          <w:tcPr>
            <w:tcW w:w="7185" w:type="dxa"/>
          </w:tcPr>
          <w:p>
            <w:pPr>
              <w:spacing w:line="240" w:lineRule="auto"/>
              <w:jc w:val="center"/>
              <w:rPr>
                <w:rFonts w:ascii="仿宋" w:eastAsia="仿宋" w:hAnsi="仿宋" w:cs="仿宋" w:hint="eastAsia"/>
                <w:sz w:val="24"/>
              </w:rPr>
            </w:pPr>
            <w:r>
              <w:rPr>
                <w:rFonts w:ascii="仿宋" w:eastAsia="仿宋" w:hAnsi="仿宋" w:cs="仿宋" w:hint="eastAsia"/>
                <w:sz w:val="24"/>
              </w:rPr>
              <w:t>技术参数/要求</w:t>
            </w:r>
          </w:p>
        </w:tc>
        <w:tc>
          <w:tcPr>
            <w:tcW w:w="975" w:type="dxa"/>
          </w:tcPr>
          <w:p>
            <w:pPr>
              <w:spacing w:line="240" w:lineRule="auto"/>
              <w:jc w:val="center"/>
              <w:rPr>
                <w:rFonts w:ascii="仿宋" w:eastAsia="仿宋" w:hAnsi="仿宋" w:cs="仿宋" w:hint="eastAsia"/>
                <w:sz w:val="24"/>
              </w:rPr>
            </w:pPr>
            <w:r>
              <w:rPr>
                <w:rFonts w:ascii="仿宋" w:eastAsia="仿宋" w:hAnsi="仿宋" w:cs="仿宋" w:hint="eastAsia"/>
                <w:sz w:val="24"/>
              </w:rPr>
              <w:t>备注</w:t>
            </w:r>
          </w:p>
        </w:tc>
      </w:tr>
      <w:tr>
        <w:tblPrEx>
          <w:tblInd w:w="-876" w:type="dxa"/>
          <w:tblLayout w:type="fixed"/>
          <w:tblCellMar>
            <w:top w:w="0" w:type="dxa"/>
            <w:left w:w="108" w:type="dxa"/>
            <w:bottom w:w="0" w:type="dxa"/>
            <w:right w:w="108" w:type="dxa"/>
          </w:tblCellMar>
          <w:tblLook w:val="0000"/>
        </w:tblPrEx>
        <w:trPr>
          <w:trHeight w:val="100"/>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1</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监护仪主机及软件</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1.1设备为插件式设计；</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1.2设备插件插槽数</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4个，方便临床监测参数模块化升级,所有监测参数模块采用红外数据传输，支持热插拔，稳定可靠;</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1.3采用无风扇设计，主机内置可充电锂电池，供电时间</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4小时;</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1.4具有待机模式、隐私模式、插管模式、夜间模式等多种工作模式;</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1.5支持中、英文输入及显示界面;</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1.6提供使用提示功能，包括监测参数的原理、适应症、图形化指示缆线连接等;</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1.7提供图形化报警提示界面，用以指示包括电极片脱落、传感器脱落、缆线脱落、探头脱落等;</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1.8支持计时器功能。</w:t>
            </w:r>
          </w:p>
        </w:tc>
        <w:tc>
          <w:tcPr>
            <w:tcW w:w="975" w:type="dxa"/>
            <w:vAlign w:val="center"/>
          </w:tcPr>
          <w:p>
            <w:pPr>
              <w:spacing w:line="240" w:lineRule="auto"/>
              <w:rPr>
                <w:rFonts w:ascii="仿宋" w:eastAsia="仿宋" w:hAnsi="仿宋" w:cs="仿宋" w:hint="eastAsia"/>
                <w:color w:val="FF0000"/>
                <w:sz w:val="24"/>
              </w:rPr>
            </w:pPr>
          </w:p>
        </w:tc>
      </w:tr>
      <w:tr>
        <w:tblPrEx>
          <w:tblInd w:w="-876" w:type="dxa"/>
          <w:tblLayout w:type="fixed"/>
          <w:tblCellMar>
            <w:top w:w="0" w:type="dxa"/>
            <w:left w:w="108" w:type="dxa"/>
            <w:bottom w:w="0" w:type="dxa"/>
            <w:right w:w="108" w:type="dxa"/>
          </w:tblCellMar>
          <w:tblLook w:val="0000"/>
        </w:tblPrEx>
        <w:trPr>
          <w:trHeight w:val="100"/>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2</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rPr>
              <w:t>监护仪屏幕及显示</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2.1采用</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12英寸彩色液晶触摸屏, 屏幕正面整体采用纯平无边框式设计, 屏幕分辨率</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1280</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 xml:space="preserve"> 800;</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2.2屏幕具有自动感应环境光线调整屏幕亮度功能，采用具有光学胶技术的电容触摸屏，提供多点触摸和手势操作功能;</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2.3屏幕上波形及参数显示位置支持用户自定义;</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2.4具有大字体显示界面，单个屏幕下，大字体显示</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6个监测参数;</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2.5具有动态趋势共存界面，具有多种回顾对比查看界面，可同时打开两个不同的回顾窗口，对比查看;</w:t>
            </w:r>
          </w:p>
        </w:tc>
        <w:tc>
          <w:tcPr>
            <w:tcW w:w="975" w:type="dxa"/>
            <w:vAlign w:val="center"/>
          </w:tcPr>
          <w:p>
            <w:pPr>
              <w:spacing w:line="240" w:lineRule="auto"/>
              <w:jc w:val="left"/>
              <w:rPr>
                <w:rFonts w:ascii="仿宋" w:eastAsia="仿宋" w:hAnsi="仿宋" w:cs="仿宋" w:hint="eastAsia"/>
                <w:bCs/>
                <w:sz w:val="24"/>
              </w:rPr>
            </w:pPr>
          </w:p>
        </w:tc>
      </w:tr>
    </w:tbl>
    <w:p>
      <w:pPr>
        <w:sectPr>
          <w:headerReference w:type="default" r:id="rId14"/>
          <w:footerReference w:type="default" r:id="rId15"/>
          <w:type w:val="nextPage"/>
          <w:pgSz w:w="11906" w:h="16838"/>
          <w:pgMar w:top="1440" w:right="1800" w:bottom="1440" w:left="1800" w:header="851" w:footer="992" w:gutter="0"/>
          <w:pgNumType w:fmt="decimal" w:start="6"/>
          <w:cols w:space="708"/>
          <w:titlePg w:val="0"/>
          <w:docGrid w:type="lines" w:linePitch="312"/>
        </w:sectPr>
      </w:pPr>
    </w:p>
    <w:tbl>
      <w:tblPr>
        <w:tblStyle w:val="TableNormal"/>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5"/>
        <w:gridCol w:w="1440"/>
        <w:gridCol w:w="7185"/>
        <w:gridCol w:w="975"/>
      </w:tblGrid>
      <w:tr>
        <w:tblPrEx>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0"/>
        </w:trPr>
        <w:tc>
          <w:tcPr>
            <w:tcW w:w="765" w:type="dxa"/>
            <w:vAlign w:val="center"/>
          </w:tcPr>
          <w:p/>
        </w:tc>
        <w:tc>
          <w:tcPr>
            <w:tcW w:w="1440" w:type="dxa"/>
            <w:vAlign w:val="center"/>
          </w:tcP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2.6可选配外接拓展显示屏，拓展屏幕可在镜像显示、独立操作两种模式之间自由切换。</w:t>
            </w:r>
          </w:p>
        </w:tc>
        <w:tc>
          <w:tcPr>
            <w:tcW w:w="975" w:type="dxa"/>
            <w:vAlign w:val="center"/>
          </w:tcPr>
          <w:p/>
        </w:tc>
      </w:tr>
      <w:tr>
        <w:tblPrEx>
          <w:tblInd w:w="-876" w:type="dxa"/>
          <w:tblLayout w:type="fixed"/>
          <w:tblCellMar>
            <w:top w:w="0" w:type="dxa"/>
            <w:left w:w="108" w:type="dxa"/>
            <w:bottom w:w="0" w:type="dxa"/>
            <w:right w:w="108" w:type="dxa"/>
          </w:tblCellMar>
          <w:tblLook w:val="0000"/>
        </w:tblPrEx>
        <w:trPr>
          <w:trHeight w:val="151"/>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3</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监测功能</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3.1设备标配多参数转运监测模块具备3/5导ECG、呼吸Resp、血氧饱和度SpO</w:t>
            </w:r>
            <w:r>
              <w:rPr>
                <w:rFonts w:ascii="仿宋" w:eastAsia="仿宋" w:hAnsi="仿宋" w:cs="仿宋" w:hint="eastAsia"/>
                <w:sz w:val="24"/>
                <w:szCs w:val="24"/>
                <w:vertAlign w:val="subscript"/>
                <w:lang w:val="en-US" w:eastAsia="zh-CN"/>
              </w:rPr>
              <w:t>2</w:t>
            </w:r>
            <w:r>
              <w:rPr>
                <w:rFonts w:ascii="仿宋" w:eastAsia="仿宋" w:hAnsi="仿宋" w:cs="仿宋" w:hint="eastAsia"/>
                <w:sz w:val="24"/>
                <w:szCs w:val="24"/>
                <w:lang w:val="en-US" w:eastAsia="zh-CN"/>
              </w:rPr>
              <w:t>、脉搏PR、无创血压NIBP、双通道体温2Temp；</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3.2可升级多功能转运监护仪模块，可与插件式监护仪形成子母机，采用</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4寸触摸屏可同屏显示4通道波形；监测参数包括心电、呼吸、心率、无创血压、SPO</w:t>
            </w:r>
            <w:r>
              <w:rPr>
                <w:rFonts w:ascii="仿宋" w:eastAsia="仿宋" w:hAnsi="仿宋" w:cs="仿宋" w:hint="eastAsia"/>
                <w:sz w:val="24"/>
                <w:szCs w:val="24"/>
                <w:vertAlign w:val="subscript"/>
                <w:lang w:val="en-US" w:eastAsia="zh-CN"/>
              </w:rPr>
              <w:t>2</w:t>
            </w:r>
            <w:r>
              <w:rPr>
                <w:rFonts w:ascii="仿宋" w:eastAsia="仿宋" w:hAnsi="仿宋" w:cs="仿宋" w:hint="eastAsia"/>
                <w:sz w:val="24"/>
                <w:szCs w:val="24"/>
                <w:lang w:val="en-US" w:eastAsia="zh-CN"/>
              </w:rPr>
              <w:t>、脉搏、双体温、双IBP，电池续航时间</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4小时，重量</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1KG;</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3.3监护仪支持选配升级多通道有创压（IBP）、双血氧（SpO</w:t>
            </w:r>
            <w:r>
              <w:rPr>
                <w:rFonts w:ascii="仿宋" w:eastAsia="仿宋" w:hAnsi="仿宋" w:cs="仿宋" w:hint="eastAsia"/>
                <w:sz w:val="24"/>
                <w:szCs w:val="24"/>
                <w:vertAlign w:val="subscript"/>
                <w:lang w:val="en-US" w:eastAsia="zh-CN"/>
              </w:rPr>
              <w:t>2</w:t>
            </w:r>
            <w:r>
              <w:rPr>
                <w:rFonts w:ascii="仿宋" w:eastAsia="仿宋" w:hAnsi="仿宋" w:cs="仿宋" w:hint="eastAsia"/>
                <w:sz w:val="24"/>
                <w:szCs w:val="24"/>
                <w:lang w:val="en-US" w:eastAsia="zh-CN"/>
              </w:rPr>
              <w:t>）、呼气末二氧化碳（CO</w:t>
            </w:r>
            <w:r>
              <w:rPr>
                <w:rFonts w:ascii="仿宋" w:eastAsia="仿宋" w:hAnsi="仿宋" w:cs="仿宋" w:hint="eastAsia"/>
                <w:sz w:val="24"/>
                <w:szCs w:val="24"/>
                <w:vertAlign w:val="subscript"/>
                <w:lang w:val="en-US" w:eastAsia="zh-CN"/>
              </w:rPr>
              <w:t>2</w:t>
            </w:r>
            <w:r>
              <w:rPr>
                <w:rFonts w:ascii="仿宋" w:eastAsia="仿宋" w:hAnsi="仿宋" w:cs="仿宋" w:hint="eastAsia"/>
                <w:sz w:val="24"/>
                <w:szCs w:val="24"/>
                <w:lang w:val="en-US" w:eastAsia="zh-CN"/>
              </w:rPr>
              <w:t>）、有创心排量CO、无创心排量ICG、连续心排量（PiCCO）、中心静脉氧饱和度（ScVO</w:t>
            </w:r>
            <w:r>
              <w:rPr>
                <w:rFonts w:ascii="仿宋" w:eastAsia="仿宋" w:hAnsi="仿宋" w:cs="仿宋" w:hint="eastAsia"/>
                <w:sz w:val="24"/>
                <w:szCs w:val="24"/>
                <w:vertAlign w:val="subscript"/>
                <w:lang w:val="en-US" w:eastAsia="zh-CN"/>
              </w:rPr>
              <w:t>2</w:t>
            </w:r>
            <w:r>
              <w:rPr>
                <w:rFonts w:ascii="仿宋" w:eastAsia="仿宋" w:hAnsi="仿宋" w:cs="仿宋" w:hint="eastAsia"/>
                <w:sz w:val="24"/>
                <w:szCs w:val="24"/>
                <w:lang w:val="en-US" w:eastAsia="zh-CN"/>
              </w:rPr>
              <w:t>）、肌松（NMT），4通道脑电（EEG），脑电双频指数（BISx及BISx4）、组织血氧（rSO</w:t>
            </w:r>
            <w:r>
              <w:rPr>
                <w:rFonts w:ascii="仿宋" w:eastAsia="仿宋" w:hAnsi="仿宋" w:cs="仿宋" w:hint="eastAsia"/>
                <w:sz w:val="24"/>
                <w:szCs w:val="24"/>
                <w:vertAlign w:val="subscript"/>
                <w:lang w:val="en-US" w:eastAsia="zh-CN"/>
              </w:rPr>
              <w:t>2</w:t>
            </w:r>
            <w:r>
              <w:rPr>
                <w:rFonts w:ascii="仿宋" w:eastAsia="仿宋" w:hAnsi="仿宋" w:cs="仿宋" w:hint="eastAsia"/>
                <w:sz w:val="24"/>
                <w:szCs w:val="24"/>
                <w:lang w:val="en-US" w:eastAsia="zh-CN"/>
              </w:rPr>
              <w:t>）、麻醉气体等监测功能模块以及床旁设备数据连接模块。</w:t>
            </w:r>
          </w:p>
        </w:tc>
        <w:tc>
          <w:tcPr>
            <w:tcW w:w="975" w:type="dxa"/>
            <w:vAlign w:val="center"/>
          </w:tcPr>
          <w:p>
            <w:pPr>
              <w:spacing w:line="240" w:lineRule="auto"/>
              <w:jc w:val="left"/>
              <w:rPr>
                <w:rFonts w:ascii="仿宋" w:eastAsia="仿宋" w:hAnsi="仿宋" w:cs="仿宋" w:hint="eastAsia"/>
                <w:bCs/>
                <w:sz w:val="24"/>
              </w:rPr>
            </w:pPr>
          </w:p>
        </w:tc>
      </w:tr>
      <w:tr>
        <w:tblPrEx>
          <w:tblInd w:w="-876" w:type="dxa"/>
          <w:tblLayout w:type="fixed"/>
          <w:tblCellMar>
            <w:top w:w="0" w:type="dxa"/>
            <w:left w:w="108" w:type="dxa"/>
            <w:bottom w:w="0" w:type="dxa"/>
            <w:right w:w="108" w:type="dxa"/>
          </w:tblCellMar>
          <w:tblLook w:val="0000"/>
        </w:tblPrEx>
        <w:trPr>
          <w:trHeight w:val="151"/>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4</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rPr>
              <w:t>ECG监护</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4.1标配3/5导ECG，支持3/5导联类型自动识别;</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4.2屏幕支持显示多达12导联ECG波形;</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4.3具备导联脱落智能检测，屏幕支持导联脱落位置的图形化报警提示;</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4.4波形扫描速度：支持50mm/s、25mm/s、12.5mm/s、6.25mm/s;</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4.5具有监护、手术、诊断、ST四种滤波方式;</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4.6具备ECG多导同步分析功能，同时分析</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2个心电导联，在导联I 受到干扰情况下心律失常、心率等参数仍能准确监测，有效减少误报警和漏报警;</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4.7提供不少于23种心律失常分析，包括房颤分析;</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4.8支持QT/QTc显示查询功能;</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4.9支持ST图形化功能，支持ST绝对值报警、相对值报警两种方式。</w:t>
            </w:r>
          </w:p>
        </w:tc>
        <w:tc>
          <w:tcPr>
            <w:tcW w:w="975" w:type="dxa"/>
            <w:vAlign w:val="center"/>
          </w:tcPr>
          <w:p>
            <w:pPr>
              <w:spacing w:line="240" w:lineRule="auto"/>
              <w:jc w:val="both"/>
              <w:rPr>
                <w:rFonts w:ascii="仿宋" w:eastAsia="仿宋" w:hAnsi="仿宋" w:cs="仿宋" w:hint="eastAsia"/>
                <w:bCs/>
                <w:sz w:val="24"/>
              </w:rPr>
            </w:pPr>
          </w:p>
        </w:tc>
      </w:tr>
      <w:tr>
        <w:tblPrEx>
          <w:tblInd w:w="-876" w:type="dxa"/>
          <w:tblLayout w:type="fixed"/>
          <w:tblCellMar>
            <w:top w:w="0" w:type="dxa"/>
            <w:left w:w="108" w:type="dxa"/>
            <w:bottom w:w="0" w:type="dxa"/>
            <w:right w:w="108" w:type="dxa"/>
          </w:tblCellMar>
          <w:tblLook w:val="0000"/>
        </w:tblPrEx>
        <w:trPr>
          <w:trHeight w:val="307"/>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5</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Resp监护</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5.1采用胸阻抗法，呼吸测量</w:t>
            </w:r>
            <w:r>
              <w:rPr>
                <w:rFonts w:ascii="仿宋" w:eastAsia="仿宋" w:hAnsi="仿宋" w:cs="仿宋" w:hint="eastAsia"/>
                <w:sz w:val="24"/>
                <w:szCs w:val="24"/>
                <w:lang w:val="en-US" w:eastAsia="zh-CN"/>
              </w:rPr>
              <w:t>Ⅰ</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Ⅱ</w:t>
            </w:r>
            <w:r>
              <w:rPr>
                <w:rFonts w:ascii="仿宋" w:eastAsia="仿宋" w:hAnsi="仿宋" w:cs="仿宋" w:hint="eastAsia"/>
                <w:sz w:val="24"/>
                <w:szCs w:val="24"/>
                <w:lang w:val="en-US" w:eastAsia="zh-CN"/>
              </w:rPr>
              <w:t>导联可选;</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5.2具备窒息报警功能，窒息时间可调</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40秒。</w:t>
            </w:r>
          </w:p>
        </w:tc>
        <w:tc>
          <w:tcPr>
            <w:tcW w:w="975" w:type="dxa"/>
            <w:vAlign w:val="center"/>
          </w:tcPr>
          <w:p>
            <w:pPr>
              <w:spacing w:line="240" w:lineRule="auto"/>
              <w:rPr>
                <w:rFonts w:ascii="仿宋" w:eastAsia="仿宋" w:hAnsi="仿宋" w:cs="仿宋" w:hint="eastAsia"/>
                <w:color w:val="FF0000"/>
                <w:sz w:val="24"/>
              </w:rPr>
            </w:pPr>
          </w:p>
        </w:tc>
      </w:tr>
      <w:tr>
        <w:tblPrEx>
          <w:tblInd w:w="-876" w:type="dxa"/>
          <w:tblLayout w:type="fixed"/>
          <w:tblCellMar>
            <w:top w:w="0" w:type="dxa"/>
            <w:left w:w="108" w:type="dxa"/>
            <w:bottom w:w="0" w:type="dxa"/>
            <w:right w:w="108" w:type="dxa"/>
          </w:tblCellMar>
          <w:tblLook w:val="0000"/>
        </w:tblPrEx>
        <w:trPr>
          <w:trHeight w:val="307"/>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6</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rPr>
              <w:t>SpO</w:t>
            </w:r>
            <w:r>
              <w:rPr>
                <w:rFonts w:ascii="仿宋" w:eastAsia="仿宋" w:hAnsi="仿宋" w:cs="仿宋" w:hint="eastAsia"/>
                <w:sz w:val="24"/>
                <w:szCs w:val="24"/>
                <w:vertAlign w:val="subscript"/>
              </w:rPr>
              <w:t>2</w:t>
            </w:r>
            <w:r>
              <w:rPr>
                <w:rFonts w:ascii="仿宋" w:eastAsia="仿宋" w:hAnsi="仿宋" w:cs="仿宋" w:hint="eastAsia"/>
                <w:sz w:val="24"/>
                <w:szCs w:val="24"/>
              </w:rPr>
              <w:t>监护</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6.1具有PI血氧灌注指数监测功能，可显示灌注指数数值，测量范围：0.05%～20%;</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6.2血氧监测具有抗运动干扰、抗弱灌注技术。</w:t>
            </w:r>
          </w:p>
        </w:tc>
        <w:tc>
          <w:tcPr>
            <w:tcW w:w="975" w:type="dxa"/>
            <w:vAlign w:val="center"/>
          </w:tcPr>
          <w:p>
            <w:pPr>
              <w:spacing w:line="240" w:lineRule="auto"/>
              <w:jc w:val="left"/>
              <w:rPr>
                <w:rFonts w:ascii="仿宋" w:eastAsia="仿宋" w:hAnsi="仿宋" w:cs="仿宋" w:hint="eastAsia"/>
                <w:bCs/>
                <w:sz w:val="24"/>
              </w:rPr>
            </w:pPr>
          </w:p>
        </w:tc>
      </w:tr>
      <w:tr>
        <w:tblPrEx>
          <w:tblInd w:w="-876" w:type="dxa"/>
          <w:tblLayout w:type="fixed"/>
          <w:tblCellMar>
            <w:top w:w="0" w:type="dxa"/>
            <w:left w:w="108" w:type="dxa"/>
            <w:bottom w:w="0" w:type="dxa"/>
            <w:right w:w="108" w:type="dxa"/>
          </w:tblCellMar>
          <w:tblLook w:val="0000"/>
        </w:tblPrEx>
        <w:trPr>
          <w:trHeight w:val="90"/>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7</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eastAsia="zh-CN"/>
              </w:rPr>
              <w:t>NIBP监护</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7.1支持手动测量、自动间隔测量和连续测量，具有过压保护功能;</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7.2具备辅助静脉穿刺功能。</w:t>
            </w:r>
          </w:p>
        </w:tc>
        <w:tc>
          <w:tcPr>
            <w:tcW w:w="975" w:type="dxa"/>
            <w:vAlign w:val="center"/>
          </w:tcPr>
          <w:p>
            <w:pPr>
              <w:spacing w:line="240" w:lineRule="auto"/>
              <w:rPr>
                <w:rFonts w:ascii="仿宋" w:eastAsia="仿宋" w:hAnsi="仿宋" w:cs="仿宋" w:hint="eastAsia"/>
                <w:color w:val="FF0000"/>
                <w:sz w:val="24"/>
              </w:rPr>
            </w:pPr>
          </w:p>
        </w:tc>
      </w:tr>
      <w:tr>
        <w:tblPrEx>
          <w:tblInd w:w="-876" w:type="dxa"/>
          <w:tblLayout w:type="fixed"/>
          <w:tblCellMar>
            <w:top w:w="0" w:type="dxa"/>
            <w:left w:w="108" w:type="dxa"/>
            <w:bottom w:w="0" w:type="dxa"/>
            <w:right w:w="108" w:type="dxa"/>
          </w:tblCellMar>
          <w:tblLook w:val="0000"/>
        </w:tblPrEx>
        <w:trPr>
          <w:trHeight w:val="90"/>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8</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Temp监护</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8.1</w:t>
            </w:r>
            <w:r>
              <w:rPr>
                <w:rFonts w:ascii="仿宋" w:eastAsia="仿宋" w:hAnsi="仿宋" w:cs="仿宋" w:hint="eastAsia"/>
                <w:sz w:val="24"/>
                <w:szCs w:val="24"/>
                <w:lang w:eastAsia="zh-CN"/>
              </w:rPr>
              <w:t>支持双通道体温测量并提供温差显示</w:t>
            </w:r>
            <w:r>
              <w:rPr>
                <w:rFonts w:ascii="仿宋" w:eastAsia="仿宋" w:hAnsi="仿宋" w:cs="仿宋" w:hint="eastAsia"/>
                <w:sz w:val="24"/>
                <w:szCs w:val="24"/>
                <w:lang w:val="en-US" w:eastAsia="zh-CN"/>
              </w:rPr>
              <w:t>;</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8.2</w:t>
            </w:r>
            <w:r>
              <w:rPr>
                <w:rFonts w:ascii="仿宋" w:eastAsia="仿宋" w:hAnsi="仿宋" w:cs="仿宋" w:hint="eastAsia"/>
                <w:sz w:val="24"/>
                <w:szCs w:val="24"/>
                <w:lang w:eastAsia="zh-CN"/>
              </w:rPr>
              <w:t>测量范围：0</w:t>
            </w:r>
            <w:r>
              <w:rPr>
                <w:rFonts w:ascii="仿宋" w:eastAsia="仿宋" w:hAnsi="仿宋" w:cs="仿宋" w:hint="eastAsia"/>
                <w:sz w:val="24"/>
                <w:szCs w:val="24"/>
                <w:lang w:eastAsia="zh-CN"/>
              </w:rPr>
              <w:t>℃</w:t>
            </w:r>
            <w:r>
              <w:rPr>
                <w:rFonts w:ascii="仿宋" w:eastAsia="仿宋" w:hAnsi="仿宋" w:cs="仿宋" w:hint="eastAsia"/>
                <w:sz w:val="24"/>
                <w:szCs w:val="24"/>
                <w:lang w:eastAsia="zh-CN"/>
              </w:rPr>
              <w:t>～50</w:t>
            </w:r>
            <w:r>
              <w:rPr>
                <w:rFonts w:ascii="仿宋" w:eastAsia="仿宋" w:hAnsi="仿宋" w:cs="仿宋" w:hint="eastAsia"/>
                <w:sz w:val="24"/>
                <w:szCs w:val="24"/>
                <w:lang w:eastAsia="zh-CN"/>
              </w:rPr>
              <w:t>℃</w:t>
            </w:r>
            <w:r>
              <w:rPr>
                <w:rFonts w:ascii="仿宋" w:eastAsia="仿宋" w:hAnsi="仿宋" w:cs="仿宋" w:hint="eastAsia"/>
                <w:sz w:val="24"/>
                <w:szCs w:val="24"/>
                <w:lang w:eastAsia="zh-CN"/>
              </w:rPr>
              <w:t>。</w:t>
            </w:r>
          </w:p>
        </w:tc>
        <w:tc>
          <w:tcPr>
            <w:tcW w:w="975" w:type="dxa"/>
            <w:vAlign w:val="center"/>
          </w:tcPr>
          <w:p>
            <w:pPr>
              <w:spacing w:line="240" w:lineRule="auto"/>
              <w:rPr>
                <w:rFonts w:ascii="仿宋" w:eastAsia="仿宋" w:hAnsi="仿宋" w:cs="仿宋" w:hint="eastAsia"/>
                <w:color w:val="FF0000"/>
                <w:sz w:val="24"/>
              </w:rPr>
            </w:pPr>
          </w:p>
        </w:tc>
      </w:tr>
      <w:tr>
        <w:tblPrEx>
          <w:tblInd w:w="-876" w:type="dxa"/>
          <w:tblLayout w:type="fixed"/>
          <w:tblCellMar>
            <w:top w:w="0" w:type="dxa"/>
            <w:left w:w="108" w:type="dxa"/>
            <w:bottom w:w="0" w:type="dxa"/>
            <w:right w:w="108" w:type="dxa"/>
          </w:tblCellMar>
          <w:tblLook w:val="0000"/>
        </w:tblPrEx>
        <w:trPr>
          <w:trHeight w:val="384"/>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9</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IBP监护</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9.1可升级多通道有创压监测;</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9.2支持颅内压（ICP）、脑灌注压（CPP）、肺动脉楔压（PAWP）测量显示;</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9.3支持脉搏压力变化（PPV）测量显示，PPV测量范围：0%～50%;</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9.4支持多通道IBP波形叠加显示。</w:t>
            </w:r>
          </w:p>
        </w:tc>
        <w:tc>
          <w:tcPr>
            <w:tcW w:w="975" w:type="dxa"/>
            <w:vAlign w:val="center"/>
          </w:tcPr>
          <w:p>
            <w:pPr>
              <w:spacing w:line="240" w:lineRule="auto"/>
              <w:rPr>
                <w:rFonts w:ascii="仿宋" w:eastAsia="仿宋" w:hAnsi="仿宋" w:cs="仿宋" w:hint="eastAsia"/>
                <w:color w:val="FF0000"/>
                <w:sz w:val="24"/>
              </w:rPr>
            </w:pPr>
          </w:p>
        </w:tc>
      </w:tr>
      <w:tr>
        <w:tblPrEx>
          <w:tblInd w:w="-876" w:type="dxa"/>
          <w:tblLayout w:type="fixed"/>
          <w:tblCellMar>
            <w:top w:w="0" w:type="dxa"/>
            <w:left w:w="108" w:type="dxa"/>
            <w:bottom w:w="0" w:type="dxa"/>
            <w:right w:w="108" w:type="dxa"/>
          </w:tblCellMar>
          <w:tblLook w:val="0000"/>
        </w:tblPrEx>
        <w:trPr>
          <w:trHeight w:val="384"/>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10</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可升级PiCCO微创连续血流动力学监护</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10.1 PiCCO微创连续血流动力学监测，提供重点参数蛛网图显示界面;</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10.2提供PiCCO决策树分析显示界面;</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10.3提供被动抬腿实验（PLR）等容量负荷实验显示界面;</w:t>
            </w:r>
          </w:p>
        </w:tc>
        <w:tc>
          <w:tcPr>
            <w:tcW w:w="975" w:type="dxa"/>
            <w:vAlign w:val="center"/>
          </w:tcPr>
          <w:p>
            <w:pPr>
              <w:spacing w:line="240" w:lineRule="auto"/>
              <w:rPr>
                <w:rFonts w:ascii="仿宋" w:eastAsia="仿宋" w:hAnsi="仿宋" w:cs="仿宋" w:hint="eastAsia"/>
                <w:color w:val="FF0000"/>
                <w:sz w:val="24"/>
              </w:rPr>
            </w:pPr>
          </w:p>
        </w:tc>
      </w:tr>
    </w:tbl>
    <w:p>
      <w:pPr>
        <w:sectPr>
          <w:headerReference w:type="default" r:id="rId16"/>
          <w:footerReference w:type="default" r:id="rId17"/>
          <w:type w:val="nextPage"/>
          <w:pgSz w:w="11906" w:h="16838"/>
          <w:pgMar w:top="1440" w:right="1800" w:bottom="1440" w:left="1800" w:header="851" w:footer="992" w:gutter="0"/>
          <w:pgNumType w:fmt="decimal" w:start="7"/>
          <w:cols w:space="708"/>
          <w:titlePg w:val="0"/>
          <w:docGrid w:type="lines" w:linePitch="312"/>
        </w:sectPr>
      </w:pPr>
    </w:p>
    <w:tbl>
      <w:tblPr>
        <w:tblStyle w:val="TableNormal"/>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5"/>
        <w:gridCol w:w="1440"/>
        <w:gridCol w:w="7185"/>
        <w:gridCol w:w="975"/>
      </w:tblGrid>
      <w:tr>
        <w:tblPrEx>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4"/>
        </w:trPr>
        <w:tc>
          <w:tcPr>
            <w:tcW w:w="765" w:type="dxa"/>
            <w:vAlign w:val="center"/>
          </w:tcPr>
          <w:p/>
        </w:tc>
        <w:tc>
          <w:tcPr>
            <w:tcW w:w="1440" w:type="dxa"/>
            <w:vAlign w:val="center"/>
          </w:tcP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10.4提供Frank-Starling曲线显示界面；</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10.5提供血流动力学参数关系图显示界面;</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10.6支持血液动力学参数显示和图形化动态显示;</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10.7支持输出量、前负荷、后负荷、收缩性、器官功能血液动力学功能;</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10.8监测显示参数包括：连续心排量（CCO）、连续心排指数（CCI）、心排量（C.O.）、心脏指数（C.I.）、每搏射血量（SV）、每博射血指数（SVI）、心率（HR）、全心射血分数（GEF）、心功能指数（CFI）、全心舒张末期容量（GEDV）、全心舒张末期容量指数（GEDI）、胸腔内血容量（ITBV）、胸腔内血容量指数（ITBI）、每搏量变化（SVV）、脉搏压变化（PPV）、心输出功率（CPO）、心功率指数（CPI）、血管外肺水指数（ELWI）等;</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10.9可升级无创心排量ICG,无创、便捷、经济的心排量监测技术，24个血流动力学参数实时更新显示;</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10.10可升级NMT肌松监测;</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10.11 NMT肌松监测模块，采用三轴加速度传感器技术，具有自动搜索最佳电流功能，为肌松药使用提供参考。</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10.12肌松测量四种测量模式选择：四个成串刺激 (TOF)、单刺激(ST)、双短强直刺激 (DBS) 和强直后计数 (PTC)。</w:t>
            </w:r>
          </w:p>
        </w:tc>
        <w:tc>
          <w:tcPr>
            <w:tcW w:w="975" w:type="dxa"/>
            <w:vAlign w:val="center"/>
          </w:tcPr>
          <w:p/>
        </w:tc>
      </w:tr>
      <w:tr>
        <w:tblPrEx>
          <w:tblInd w:w="-876" w:type="dxa"/>
          <w:tblLayout w:type="fixed"/>
          <w:tblCellMar>
            <w:top w:w="0" w:type="dxa"/>
            <w:left w:w="108" w:type="dxa"/>
            <w:bottom w:w="0" w:type="dxa"/>
            <w:right w:w="108" w:type="dxa"/>
          </w:tblCellMar>
          <w:tblLook w:val="0000"/>
        </w:tblPrEx>
        <w:trPr>
          <w:trHeight w:val="384"/>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highlight w:val="none"/>
                <w:lang w:val="en-US" w:eastAsia="zh-CN"/>
              </w:rPr>
              <w:t>11</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可升级BIS意识深度监测</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highlight w:val="yellow"/>
                <w:lang w:val="en-US" w:eastAsia="zh-CN"/>
              </w:rPr>
              <w:t>▲</w:t>
            </w:r>
            <w:r>
              <w:rPr>
                <w:rFonts w:ascii="仿宋" w:eastAsia="仿宋" w:hAnsi="仿宋" w:cs="仿宋" w:hint="eastAsia"/>
                <w:sz w:val="24"/>
                <w:szCs w:val="24"/>
                <w:lang w:val="en-US" w:eastAsia="zh-CN"/>
              </w:rPr>
              <w:t>11.1麻醉意识深度监测BIS模块，提供麻醉深度和镇静深度的客观监测指标;</w:t>
            </w:r>
          </w:p>
          <w:p>
            <w:pPr>
              <w:spacing w:line="240" w:lineRule="auto"/>
              <w:jc w:val="left"/>
              <w:rPr>
                <w:rFonts w:ascii="仿宋" w:eastAsia="仿宋" w:hAnsi="仿宋" w:cs="仿宋" w:hint="eastAsia"/>
                <w:sz w:val="24"/>
              </w:rPr>
            </w:pPr>
            <w:r>
              <w:rPr>
                <w:rFonts w:ascii="仿宋" w:eastAsia="仿宋" w:hAnsi="仿宋" w:cs="仿宋" w:hint="eastAsia"/>
                <w:sz w:val="24"/>
                <w:szCs w:val="24"/>
                <w:highlight w:val="yellow"/>
                <w:lang w:val="en-US" w:eastAsia="zh-CN"/>
              </w:rPr>
              <w:t>▲</w:t>
            </w:r>
            <w:r>
              <w:rPr>
                <w:rFonts w:ascii="仿宋" w:eastAsia="仿宋" w:hAnsi="仿宋" w:cs="仿宋" w:hint="eastAsia"/>
                <w:sz w:val="24"/>
                <w:szCs w:val="24"/>
                <w:lang w:val="en-US" w:eastAsia="zh-CN"/>
              </w:rPr>
              <w:t>11.2监测参数包括：脑电双频谱指数BIS、抑制比SR、肌电活动EMG、双导EEG、信号质量指数SQI、频谱边缘频率SEF等。</w:t>
            </w:r>
          </w:p>
        </w:tc>
        <w:tc>
          <w:tcPr>
            <w:tcW w:w="975" w:type="dxa"/>
            <w:vAlign w:val="center"/>
          </w:tcPr>
          <w:p>
            <w:pPr>
              <w:spacing w:line="240" w:lineRule="auto"/>
              <w:rPr>
                <w:rFonts w:ascii="仿宋" w:eastAsia="仿宋" w:hAnsi="仿宋" w:cs="仿宋" w:hint="eastAsia"/>
                <w:color w:val="FF0000"/>
                <w:sz w:val="24"/>
              </w:rPr>
            </w:pPr>
          </w:p>
        </w:tc>
      </w:tr>
      <w:tr>
        <w:tblPrEx>
          <w:tblInd w:w="-876" w:type="dxa"/>
          <w:tblLayout w:type="fixed"/>
          <w:tblCellMar>
            <w:top w:w="0" w:type="dxa"/>
            <w:left w:w="108" w:type="dxa"/>
            <w:bottom w:w="0" w:type="dxa"/>
            <w:right w:w="108" w:type="dxa"/>
          </w:tblCellMar>
          <w:tblLook w:val="0000"/>
        </w:tblPrEx>
        <w:trPr>
          <w:trHeight w:val="775"/>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12</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可升级脑电监测模块</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脑电监测模块，</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4通道波形，可监测参数SEF/MF/PPF/SR/TP/EMG/相对功率(</w:t>
            </w:r>
            <w:r>
              <w:rPr>
                <w:rFonts w:ascii="仿宋" w:eastAsia="仿宋" w:hAnsi="仿宋" w:cs="仿宋" w:hint="eastAsia"/>
                <w:sz w:val="24"/>
                <w:szCs w:val="24"/>
                <w:lang w:val="en-US" w:eastAsia="zh-CN"/>
              </w:rPr>
              <w:t>αβθδ</w:t>
            </w:r>
            <w:r>
              <w:rPr>
                <w:rFonts w:ascii="仿宋" w:eastAsia="仿宋" w:hAnsi="仿宋" w:cs="仿宋" w:hint="eastAsia"/>
                <w:sz w:val="24"/>
                <w:szCs w:val="24"/>
                <w:lang w:val="en-US" w:eastAsia="zh-CN"/>
              </w:rPr>
              <w:t>).</w:t>
            </w:r>
          </w:p>
        </w:tc>
        <w:tc>
          <w:tcPr>
            <w:tcW w:w="975" w:type="dxa"/>
            <w:vAlign w:val="center"/>
          </w:tcPr>
          <w:p>
            <w:pPr>
              <w:spacing w:line="240" w:lineRule="auto"/>
              <w:rPr>
                <w:rFonts w:ascii="仿宋" w:eastAsia="仿宋" w:hAnsi="仿宋" w:cs="仿宋" w:hint="eastAsia"/>
                <w:color w:val="FF0000"/>
                <w:sz w:val="24"/>
              </w:rPr>
            </w:pPr>
          </w:p>
        </w:tc>
      </w:tr>
      <w:tr>
        <w:tblPrEx>
          <w:tblInd w:w="-876" w:type="dxa"/>
          <w:tblLayout w:type="fixed"/>
          <w:tblCellMar>
            <w:top w:w="0" w:type="dxa"/>
            <w:left w:w="108" w:type="dxa"/>
            <w:bottom w:w="0" w:type="dxa"/>
            <w:right w:w="108" w:type="dxa"/>
          </w:tblCellMar>
          <w:tblLook w:val="0000"/>
        </w:tblPrEx>
        <w:trPr>
          <w:trHeight w:val="90"/>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13</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rPr>
              <w:t>报警功能</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13.1支持声、光报警，报警音量可调;</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13.2报警信息同时在屏幕上方及相关参数区域同时提示;</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13.3生理参数报警上、下限可调，报警级别支持自定义;</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13.4监护仪支持报警事件回顾及自动记录功能。</w:t>
            </w:r>
          </w:p>
        </w:tc>
        <w:tc>
          <w:tcPr>
            <w:tcW w:w="975" w:type="dxa"/>
            <w:vAlign w:val="center"/>
          </w:tcPr>
          <w:p>
            <w:pPr>
              <w:spacing w:line="240" w:lineRule="auto"/>
              <w:jc w:val="both"/>
              <w:rPr>
                <w:rFonts w:ascii="仿宋" w:eastAsia="仿宋" w:hAnsi="仿宋" w:cs="仿宋" w:hint="eastAsia"/>
                <w:bCs/>
                <w:sz w:val="24"/>
              </w:rPr>
            </w:pPr>
          </w:p>
        </w:tc>
      </w:tr>
      <w:tr>
        <w:tblPrEx>
          <w:tblInd w:w="-876" w:type="dxa"/>
          <w:tblLayout w:type="fixed"/>
          <w:tblCellMar>
            <w:top w:w="0" w:type="dxa"/>
            <w:left w:w="108" w:type="dxa"/>
            <w:bottom w:w="0" w:type="dxa"/>
            <w:right w:w="108" w:type="dxa"/>
          </w:tblCellMar>
          <w:tblLook w:val="0000"/>
        </w:tblPrEx>
        <w:trPr>
          <w:trHeight w:val="339"/>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14</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数据存储</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14.1支持掉电存储功能;</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14.2支持全息波形回顾</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48小时;</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14.3支持NIBP测量结果存储</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1000组;</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14.4支持趋势回顾</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120小时;</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14.5支持呼吸氧合图回顾</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40小时;</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14.5支持ST分析回顾</w:t>
            </w:r>
            <w:r>
              <w:rPr>
                <w:rFonts w:ascii="仿宋" w:eastAsia="仿宋" w:hAnsi="仿宋" w:cs="仿宋" w:hint="eastAsia"/>
                <w:sz w:val="24"/>
                <w:szCs w:val="24"/>
                <w:lang w:val="en-US" w:eastAsia="zh-CN"/>
              </w:rPr>
              <w:t>≥</w:t>
            </w:r>
            <w:r>
              <w:rPr>
                <w:rFonts w:ascii="仿宋" w:eastAsia="仿宋" w:hAnsi="仿宋" w:cs="仿宋" w:hint="eastAsia"/>
                <w:sz w:val="24"/>
                <w:szCs w:val="24"/>
                <w:lang w:val="en-US" w:eastAsia="zh-CN"/>
              </w:rPr>
              <w:t>40小时。</w:t>
            </w:r>
          </w:p>
        </w:tc>
        <w:tc>
          <w:tcPr>
            <w:tcW w:w="975" w:type="dxa"/>
            <w:vAlign w:val="center"/>
          </w:tcPr>
          <w:p>
            <w:pPr>
              <w:spacing w:line="240" w:lineRule="auto"/>
              <w:rPr>
                <w:rFonts w:ascii="仿宋" w:eastAsia="仿宋" w:hAnsi="仿宋" w:cs="仿宋" w:hint="eastAsia"/>
                <w:color w:val="FF0000"/>
                <w:sz w:val="24"/>
              </w:rPr>
            </w:pPr>
          </w:p>
        </w:tc>
      </w:tr>
      <w:tr>
        <w:tblPrEx>
          <w:tblInd w:w="-876" w:type="dxa"/>
          <w:tblLayout w:type="fixed"/>
          <w:tblCellMar>
            <w:top w:w="0" w:type="dxa"/>
            <w:left w:w="108" w:type="dxa"/>
            <w:bottom w:w="0" w:type="dxa"/>
            <w:right w:w="108" w:type="dxa"/>
          </w:tblCellMar>
          <w:tblLook w:val="0000"/>
        </w:tblPrEx>
        <w:trPr>
          <w:trHeight w:val="339"/>
        </w:trPr>
        <w:tc>
          <w:tcPr>
            <w:tcW w:w="765"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szCs w:val="24"/>
                <w:lang w:val="en-US" w:eastAsia="zh-CN"/>
              </w:rPr>
              <w:t>15</w:t>
            </w:r>
          </w:p>
        </w:tc>
        <w:tc>
          <w:tcPr>
            <w:tcW w:w="1440"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可升级rSO</w:t>
            </w:r>
            <w:r>
              <w:rPr>
                <w:rFonts w:ascii="仿宋" w:eastAsia="仿宋" w:hAnsi="仿宋" w:cs="仿宋" w:hint="eastAsia"/>
                <w:sz w:val="24"/>
                <w:szCs w:val="24"/>
                <w:vertAlign w:val="subscript"/>
                <w:lang w:val="en-US" w:eastAsia="zh-CN"/>
              </w:rPr>
              <w:t>2</w:t>
            </w:r>
            <w:r>
              <w:rPr>
                <w:rFonts w:ascii="仿宋" w:eastAsia="仿宋" w:hAnsi="仿宋" w:cs="仿宋" w:hint="eastAsia"/>
                <w:sz w:val="24"/>
                <w:szCs w:val="24"/>
                <w:lang w:val="en-US" w:eastAsia="zh-CN"/>
              </w:rPr>
              <w:t>监测</w:t>
            </w:r>
          </w:p>
        </w:tc>
        <w:tc>
          <w:tcPr>
            <w:tcW w:w="718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15.1提供模块化组织氧饱和度监测;</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15.2 rSO</w:t>
            </w:r>
            <w:r>
              <w:rPr>
                <w:rFonts w:ascii="仿宋" w:eastAsia="仿宋" w:hAnsi="仿宋" w:cs="仿宋" w:hint="eastAsia"/>
                <w:sz w:val="24"/>
                <w:szCs w:val="24"/>
                <w:vertAlign w:val="subscript"/>
                <w:lang w:val="en-US" w:eastAsia="zh-CN"/>
              </w:rPr>
              <w:t>2</w:t>
            </w:r>
            <w:r>
              <w:rPr>
                <w:rFonts w:ascii="仿宋" w:eastAsia="仿宋" w:hAnsi="仿宋" w:cs="仿宋" w:hint="eastAsia"/>
                <w:sz w:val="24"/>
                <w:szCs w:val="24"/>
                <w:lang w:val="en-US" w:eastAsia="zh-CN"/>
              </w:rPr>
              <w:t>测量是无创、持续的;</w:t>
            </w:r>
          </w:p>
          <w:p>
            <w:pPr>
              <w:spacing w:line="240" w:lineRule="auto"/>
              <w:jc w:val="left"/>
              <w:rPr>
                <w:rFonts w:ascii="仿宋" w:eastAsia="仿宋" w:hAnsi="仿宋" w:cs="仿宋" w:hint="eastAsia"/>
                <w:sz w:val="24"/>
              </w:rPr>
            </w:pPr>
            <w:r>
              <w:rPr>
                <w:rFonts w:ascii="仿宋" w:eastAsia="仿宋" w:hAnsi="仿宋" w:cs="仿宋" w:hint="eastAsia"/>
                <w:sz w:val="24"/>
                <w:szCs w:val="24"/>
                <w:lang w:val="en-US" w:eastAsia="zh-CN"/>
              </w:rPr>
              <w:t>15.3可以扩展到4通道监测。</w:t>
            </w:r>
          </w:p>
        </w:tc>
        <w:tc>
          <w:tcPr>
            <w:tcW w:w="975" w:type="dxa"/>
            <w:vAlign w:val="center"/>
          </w:tcPr>
          <w:p>
            <w:pPr>
              <w:spacing w:line="240" w:lineRule="auto"/>
              <w:rPr>
                <w:rFonts w:ascii="仿宋" w:eastAsia="仿宋" w:hAnsi="仿宋" w:cs="仿宋" w:hint="eastAsia"/>
                <w:color w:val="FF0000"/>
                <w:sz w:val="24"/>
              </w:rPr>
            </w:pPr>
          </w:p>
        </w:tc>
      </w:tr>
    </w:tbl>
    <w:p/>
    <w:tbl>
      <w:tblPr>
        <w:tblStyle w:val="TableNormal"/>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0"/>
        <w:gridCol w:w="3935"/>
        <w:gridCol w:w="1486"/>
        <w:gridCol w:w="1323"/>
        <w:gridCol w:w="2482"/>
      </w:tblGrid>
      <w:tr>
        <w:tblPrEx>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3"/>
          <w:jc w:val="center"/>
        </w:trPr>
        <w:tc>
          <w:tcPr>
            <w:tcW w:w="10066" w:type="dxa"/>
            <w:gridSpan w:val="5"/>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color w:val="auto"/>
                <w:sz w:val="24"/>
              </w:rPr>
            </w:pPr>
            <w:r>
              <w:rPr>
                <w:rFonts w:ascii="仿宋" w:eastAsia="仿宋" w:hAnsi="仿宋" w:cs="仿宋" w:hint="eastAsia"/>
                <w:b/>
                <w:color w:val="auto"/>
                <w:sz w:val="24"/>
                <w:highlight w:val="yellow"/>
                <w:lang w:val="en-US" w:eastAsia="zh-CN"/>
              </w:rPr>
              <w:t>病人监护仪</w:t>
            </w:r>
            <w:r>
              <w:rPr>
                <w:rFonts w:ascii="仿宋" w:eastAsia="仿宋" w:hAnsi="仿宋" w:cs="仿宋" w:hint="eastAsia"/>
                <w:b/>
                <w:color w:val="auto"/>
                <w:sz w:val="24"/>
                <w:highlight w:val="yellow"/>
              </w:rPr>
              <w:t>配置清单</w:t>
            </w:r>
            <w:r>
              <w:rPr>
                <w:rFonts w:ascii="仿宋" w:eastAsia="仿宋" w:hAnsi="仿宋" w:cs="仿宋" w:hint="eastAsia"/>
                <w:b/>
                <w:color w:val="auto"/>
                <w:sz w:val="24"/>
                <w:highlight w:val="yellow"/>
                <w:lang w:val="en-US" w:eastAsia="zh-CN"/>
              </w:rPr>
              <w:t>(1台)</w:t>
            </w:r>
          </w:p>
        </w:tc>
      </w:tr>
      <w:tr>
        <w:tblPrEx>
          <w:jc w:val="center"/>
          <w:tblInd w:w="-419" w:type="dxa"/>
          <w:tblLayout w:type="fixed"/>
          <w:tblCellMar>
            <w:top w:w="0" w:type="dxa"/>
            <w:left w:w="108" w:type="dxa"/>
            <w:bottom w:w="0" w:type="dxa"/>
            <w:right w:w="108" w:type="dxa"/>
          </w:tblCellMar>
          <w:tblLook w:val="0000"/>
        </w:tblPrEx>
        <w:trPr>
          <w:trHeight w:val="339"/>
          <w:jc w:val="center"/>
        </w:trPr>
        <w:tc>
          <w:tcPr>
            <w:tcW w:w="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序号</w:t>
            </w:r>
          </w:p>
        </w:tc>
        <w:tc>
          <w:tcPr>
            <w:tcW w:w="39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产品名称</w:t>
            </w:r>
          </w:p>
        </w:tc>
        <w:tc>
          <w:tcPr>
            <w:tcW w:w="148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单位</w:t>
            </w:r>
          </w:p>
        </w:tc>
        <w:tc>
          <w:tcPr>
            <w:tcW w:w="1323"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数量</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备注</w:t>
            </w:r>
          </w:p>
        </w:tc>
      </w:tr>
      <w:tr>
        <w:tblPrEx>
          <w:jc w:val="center"/>
          <w:tblInd w:w="-419" w:type="dxa"/>
          <w:tblLayout w:type="fixed"/>
          <w:tblCellMar>
            <w:top w:w="0" w:type="dxa"/>
            <w:left w:w="108" w:type="dxa"/>
            <w:bottom w:w="0" w:type="dxa"/>
            <w:right w:w="108" w:type="dxa"/>
          </w:tblCellMar>
          <w:tblLook w:val="0000"/>
        </w:tblPrEx>
        <w:trPr>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sz w:val="24"/>
                <w:lang w:eastAsia="zh-CN"/>
              </w:rPr>
              <w:t>1</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主机</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台</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sz w:val="24"/>
              </w:rPr>
            </w:pPr>
            <w:r>
              <w:rPr>
                <w:rFonts w:ascii="仿宋" w:eastAsia="仿宋" w:hAnsi="仿宋" w:cs="仿宋" w:hint="eastAsia"/>
                <w:bCs/>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 w:eastAsia="仿宋" w:hAnsi="仿宋" w:cs="仿宋" w:hint="eastAsia"/>
                <w:bCs/>
                <w:iCs/>
                <w:sz w:val="24"/>
              </w:rPr>
            </w:pPr>
          </w:p>
        </w:tc>
      </w:tr>
    </w:tbl>
    <w:p>
      <w:pPr>
        <w:sectPr>
          <w:headerReference w:type="default" r:id="rId18"/>
          <w:footerReference w:type="default" r:id="rId19"/>
          <w:type w:val="nextPage"/>
          <w:pgSz w:w="11906" w:h="16838"/>
          <w:pgMar w:top="1440" w:right="1800" w:bottom="1440" w:left="1800" w:header="851" w:footer="992" w:gutter="0"/>
          <w:pgNumType w:fmt="decimal" w:start="8"/>
          <w:cols w:space="708"/>
          <w:titlePg w:val="0"/>
          <w:docGrid w:type="lines" w:linePitch="312"/>
        </w:sectPr>
      </w:pPr>
    </w:p>
    <w:tbl>
      <w:tblPr>
        <w:tblStyle w:val="TableNormal"/>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0"/>
        <w:gridCol w:w="3935"/>
        <w:gridCol w:w="1486"/>
        <w:gridCol w:w="1323"/>
        <w:gridCol w:w="2482"/>
      </w:tblGrid>
      <w:tr>
        <w:tblPrEx>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5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sz w:val="24"/>
                <w:lang w:eastAsia="zh-CN"/>
              </w:rPr>
              <w:t>2</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多参数模块</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4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sz w:val="24"/>
                <w:lang w:val="en-US" w:eastAsia="zh-CN"/>
              </w:rPr>
              <w:t>3</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三芯电源线</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根</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7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sz w:val="24"/>
                <w:lang w:val="en-US" w:eastAsia="zh-CN"/>
              </w:rPr>
              <w:t>4</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lang w:val="fr-FR"/>
              </w:rPr>
            </w:pPr>
            <w:r>
              <w:rPr>
                <w:rFonts w:ascii="仿宋" w:eastAsia="仿宋" w:hAnsi="仿宋" w:cs="仿宋" w:hint="eastAsia"/>
                <w:bCs/>
                <w:sz w:val="24"/>
                <w:lang w:eastAsia="zh-CN"/>
              </w:rPr>
              <w:t>心电导联线组件</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 w:eastAsia="仿宋" w:hAnsi="仿宋" w:cs="仿宋" w:hint="eastAsia"/>
                <w:bCs/>
                <w:iCs/>
                <w:sz w:val="24"/>
              </w:rPr>
            </w:pPr>
            <w:r>
              <w:rPr>
                <w:rFonts w:ascii="仿宋" w:eastAsia="仿宋" w:hAnsi="仿宋" w:cs="仿宋" w:hint="eastAsia"/>
                <w:bCs/>
                <w:sz w:val="24"/>
                <w:lang w:eastAsia="zh-CN"/>
              </w:rPr>
              <w:t>5导分体式</w:t>
            </w: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sz w:val="24"/>
                <w:lang w:val="en-US" w:eastAsia="zh-CN"/>
              </w:rPr>
              <w:t>5</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lang w:val="fr-FR"/>
              </w:rPr>
            </w:pPr>
            <w:r>
              <w:rPr>
                <w:rFonts w:ascii="仿宋" w:eastAsia="仿宋" w:hAnsi="仿宋" w:cs="仿宋" w:hint="eastAsia"/>
                <w:bCs/>
                <w:sz w:val="24"/>
                <w:lang w:eastAsia="zh-CN"/>
              </w:rPr>
              <w:t>心电电极</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sz w:val="24"/>
              </w:rPr>
            </w:pPr>
            <w:r>
              <w:rPr>
                <w:rFonts w:ascii="仿宋" w:eastAsia="仿宋" w:hAnsi="仿宋" w:cs="仿宋" w:hint="eastAsia"/>
                <w:bCs/>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 w:eastAsia="仿宋" w:hAnsi="仿宋" w:cs="仿宋" w:hint="eastAsia"/>
                <w:bCs/>
                <w:iCs/>
                <w:sz w:val="24"/>
              </w:rPr>
            </w:pPr>
            <w:r>
              <w:rPr>
                <w:rFonts w:ascii="仿宋" w:eastAsia="仿宋" w:hAnsi="仿宋" w:cs="仿宋" w:hint="eastAsia"/>
                <w:bCs/>
                <w:sz w:val="24"/>
                <w:lang w:eastAsia="zh-CN"/>
              </w:rPr>
              <w:t>5片装</w:t>
            </w: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sz w:val="24"/>
                <w:lang w:val="en-US" w:eastAsia="zh-CN"/>
              </w:rPr>
              <w:t>6</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血氧主电缆</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根</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sz w:val="24"/>
              </w:rPr>
            </w:pPr>
            <w:r>
              <w:rPr>
                <w:rFonts w:ascii="仿宋" w:eastAsia="仿宋" w:hAnsi="仿宋" w:cs="仿宋" w:hint="eastAsia"/>
                <w:bCs/>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 w:eastAsia="仿宋" w:hAnsi="仿宋" w:cs="仿宋" w:hint="eastAsia"/>
                <w:bCs/>
                <w:iCs/>
                <w:sz w:val="24"/>
              </w:rPr>
            </w:pPr>
            <w:r>
              <w:rPr>
                <w:rFonts w:ascii="仿宋" w:eastAsia="仿宋" w:hAnsi="仿宋" w:cs="仿宋" w:hint="eastAsia"/>
                <w:bCs/>
                <w:sz w:val="24"/>
                <w:lang w:eastAsia="zh-CN"/>
              </w:rPr>
              <w:t>7针式</w:t>
            </w: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sz w:val="24"/>
                <w:lang w:val="en-US" w:eastAsia="zh-CN"/>
              </w:rPr>
              <w:t>7</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成人血氧探头</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个</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sz w:val="24"/>
              </w:rPr>
            </w:pPr>
            <w:r>
              <w:rPr>
                <w:rFonts w:ascii="仿宋" w:eastAsia="仿宋" w:hAnsi="仿宋" w:cs="仿宋" w:hint="eastAsia"/>
                <w:bCs/>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sz w:val="24"/>
                <w:lang w:val="en-US" w:eastAsia="zh-CN"/>
              </w:rPr>
              <w:t>8</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无创血压导气管</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根</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 w:eastAsia="仿宋" w:hAnsi="仿宋" w:cs="仿宋" w:hint="eastAsia"/>
                <w:bCs/>
                <w:iCs/>
                <w:sz w:val="24"/>
              </w:rPr>
            </w:pPr>
            <w:r>
              <w:rPr>
                <w:rFonts w:ascii="仿宋" w:eastAsia="仿宋" w:hAnsi="仿宋" w:cs="仿宋" w:hint="eastAsia"/>
                <w:bCs/>
                <w:sz w:val="24"/>
                <w:lang w:eastAsia="zh-CN"/>
              </w:rPr>
              <w:t>直插式插头</w:t>
            </w: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sz w:val="24"/>
                <w:lang w:val="en-US" w:eastAsia="zh-CN"/>
              </w:rPr>
              <w:t>9</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成人血压袖套</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个</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sz w:val="24"/>
                <w:lang w:val="en-US" w:eastAsia="zh-CN"/>
              </w:rPr>
              <w:t>10</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双有创血压模块</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个</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sz w:val="24"/>
                <w:lang w:val="en-US" w:eastAsia="zh-CN"/>
              </w:rPr>
              <w:t>11</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电池</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sz w:val="24"/>
                <w:lang w:val="en-US" w:eastAsia="zh-CN"/>
              </w:rPr>
              <w:t>12</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使用说明书</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eastAsia="zh-CN"/>
              </w:rPr>
              <w:t>本</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sz w:val="24"/>
              </w:rPr>
            </w:pPr>
            <w:r>
              <w:rPr>
                <w:rFonts w:ascii="仿宋" w:eastAsia="仿宋" w:hAnsi="仿宋" w:cs="仿宋" w:hint="eastAsia"/>
                <w:bCs/>
                <w:sz w:val="24"/>
                <w:lang w:val="en-US" w:eastAsia="zh-CN"/>
              </w:rPr>
              <w:t>1</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 w:eastAsia="仿宋" w:hAnsi="仿宋" w:cs="仿宋" w:hint="eastAsia"/>
                <w:bCs/>
                <w:iCs/>
                <w:sz w:val="24"/>
              </w:rPr>
            </w:pPr>
          </w:p>
        </w:tc>
      </w:tr>
    </w:tbl>
    <w:p>
      <w:pPr>
        <w:rPr>
          <w:rFonts w:hint="eastAsia"/>
        </w:rPr>
      </w:pPr>
    </w:p>
    <w:p>
      <w:pPr>
        <w:numPr>
          <w:ilvl w:val="0"/>
          <w:numId w:val="0"/>
        </w:numPr>
        <w:autoSpaceDE w:val="0"/>
        <w:autoSpaceDN w:val="0"/>
        <w:spacing w:line="360" w:lineRule="auto"/>
        <w:jc w:val="both"/>
        <w:rPr>
          <w:rFonts w:ascii="仿宋" w:eastAsia="仿宋" w:hAnsi="仿宋" w:cs="仿宋" w:hint="default"/>
          <w:b/>
          <w:bCs/>
          <w:sz w:val="28"/>
          <w:szCs w:val="28"/>
          <w:highlight w:val="yellow"/>
        </w:rPr>
      </w:pPr>
      <w:r>
        <w:rPr>
          <w:rFonts w:ascii="仿宋" w:eastAsia="仿宋" w:hAnsi="仿宋" w:cs="仿宋" w:hint="eastAsia"/>
          <w:b/>
          <w:bCs/>
          <w:sz w:val="28"/>
          <w:szCs w:val="28"/>
          <w:highlight w:val="yellow"/>
          <w:lang w:val="en-US" w:eastAsia="zh-CN"/>
        </w:rPr>
        <w:t xml:space="preserve">包02-1 除颤监护仪 2台 </w:t>
      </w:r>
    </w:p>
    <w:tbl>
      <w:tblPr>
        <w:tblStyle w:val="TableNormal"/>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4"/>
        <w:gridCol w:w="1507"/>
        <w:gridCol w:w="7145"/>
        <w:gridCol w:w="885"/>
      </w:tblGrid>
      <w:tr>
        <w:tblPrEx>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764" w:type="dxa"/>
          </w:tcPr>
          <w:p>
            <w:pPr>
              <w:spacing w:line="360" w:lineRule="auto"/>
              <w:jc w:val="center"/>
              <w:rPr>
                <w:rFonts w:ascii="仿宋" w:eastAsia="仿宋" w:hAnsi="仿宋" w:cs="仿宋" w:hint="eastAsia"/>
                <w:sz w:val="24"/>
              </w:rPr>
            </w:pPr>
            <w:r>
              <w:rPr>
                <w:rFonts w:ascii="仿宋" w:eastAsia="仿宋" w:hAnsi="仿宋" w:cs="仿宋" w:hint="eastAsia"/>
                <w:sz w:val="24"/>
              </w:rPr>
              <w:t>序号</w:t>
            </w:r>
          </w:p>
        </w:tc>
        <w:tc>
          <w:tcPr>
            <w:tcW w:w="1507" w:type="dxa"/>
          </w:tcPr>
          <w:p>
            <w:pPr>
              <w:spacing w:line="360" w:lineRule="auto"/>
              <w:jc w:val="center"/>
              <w:rPr>
                <w:rFonts w:ascii="仿宋" w:eastAsia="仿宋" w:hAnsi="仿宋" w:cs="仿宋" w:hint="eastAsia"/>
                <w:sz w:val="24"/>
              </w:rPr>
            </w:pPr>
            <w:r>
              <w:rPr>
                <w:rFonts w:ascii="仿宋" w:eastAsia="仿宋" w:hAnsi="仿宋" w:cs="仿宋" w:hint="eastAsia"/>
                <w:sz w:val="24"/>
              </w:rPr>
              <w:t>名称</w:t>
            </w:r>
          </w:p>
        </w:tc>
        <w:tc>
          <w:tcPr>
            <w:tcW w:w="7145" w:type="dxa"/>
          </w:tcPr>
          <w:p>
            <w:pPr>
              <w:spacing w:line="360" w:lineRule="auto"/>
              <w:jc w:val="center"/>
              <w:rPr>
                <w:rFonts w:ascii="仿宋" w:eastAsia="仿宋" w:hAnsi="仿宋" w:cs="仿宋" w:hint="eastAsia"/>
                <w:sz w:val="24"/>
              </w:rPr>
            </w:pPr>
            <w:r>
              <w:rPr>
                <w:rFonts w:ascii="仿宋" w:eastAsia="仿宋" w:hAnsi="仿宋" w:cs="仿宋" w:hint="eastAsia"/>
                <w:sz w:val="24"/>
              </w:rPr>
              <w:t>技术参数/要求</w:t>
            </w:r>
          </w:p>
        </w:tc>
        <w:tc>
          <w:tcPr>
            <w:tcW w:w="885" w:type="dxa"/>
          </w:tcPr>
          <w:p>
            <w:pPr>
              <w:spacing w:line="360" w:lineRule="auto"/>
              <w:jc w:val="center"/>
              <w:rPr>
                <w:rFonts w:ascii="仿宋" w:eastAsia="仿宋" w:hAnsi="仿宋" w:cs="仿宋" w:hint="eastAsia"/>
                <w:sz w:val="24"/>
              </w:rPr>
            </w:pPr>
            <w:r>
              <w:rPr>
                <w:rFonts w:ascii="仿宋" w:eastAsia="仿宋" w:hAnsi="仿宋" w:cs="仿宋" w:hint="eastAsia"/>
                <w:sz w:val="24"/>
              </w:rPr>
              <w:t>备注</w:t>
            </w:r>
          </w:p>
        </w:tc>
      </w:tr>
      <w:tr>
        <w:tblPrEx>
          <w:jc w:val="center"/>
          <w:tblInd w:w="-389" w:type="dxa"/>
          <w:tblLayout w:type="fixed"/>
          <w:tblCellMar>
            <w:top w:w="0" w:type="dxa"/>
            <w:left w:w="108" w:type="dxa"/>
            <w:bottom w:w="0" w:type="dxa"/>
            <w:right w:w="108" w:type="dxa"/>
          </w:tblCellMar>
          <w:tblLook w:val="0000"/>
        </w:tblPrEx>
        <w:trPr>
          <w:jc w:val="center"/>
        </w:trPr>
        <w:tc>
          <w:tcPr>
            <w:tcW w:w="764"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1</w:t>
            </w:r>
          </w:p>
        </w:tc>
        <w:tc>
          <w:tcPr>
            <w:tcW w:w="1507"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重量</w:t>
            </w: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eastAsia="zh-CN"/>
              </w:rPr>
              <w:t>▲</w:t>
            </w:r>
            <w:r>
              <w:rPr>
                <w:rFonts w:ascii="仿宋" w:eastAsia="仿宋" w:hAnsi="仿宋" w:cs="仿宋" w:hint="eastAsia"/>
                <w:sz w:val="24"/>
                <w:lang w:eastAsia="zh-CN"/>
              </w:rPr>
              <w:t>1、重量</w:t>
            </w:r>
            <w:r>
              <w:rPr>
                <w:rFonts w:ascii="仿宋" w:eastAsia="仿宋" w:hAnsi="仿宋" w:cs="仿宋" w:hint="eastAsia"/>
                <w:sz w:val="24"/>
                <w:lang w:eastAsia="zh-CN"/>
              </w:rPr>
              <w:t>≤</w:t>
            </w:r>
            <w:r>
              <w:rPr>
                <w:rFonts w:ascii="仿宋" w:eastAsia="仿宋" w:hAnsi="仿宋" w:cs="仿宋" w:hint="eastAsia"/>
                <w:sz w:val="24"/>
                <w:lang w:eastAsia="zh-CN"/>
              </w:rPr>
              <w:t>6.1kg，含电池、体外板和心电导联线。</w:t>
            </w:r>
          </w:p>
        </w:tc>
        <w:tc>
          <w:tcPr>
            <w:tcW w:w="885" w:type="dxa"/>
          </w:tcPr>
          <w:p>
            <w:pPr>
              <w:spacing w:line="360" w:lineRule="auto"/>
              <w:jc w:val="center"/>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restart"/>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2</w:t>
            </w:r>
          </w:p>
        </w:tc>
        <w:tc>
          <w:tcPr>
            <w:tcW w:w="1507"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显示</w:t>
            </w:r>
          </w:p>
        </w:tc>
        <w:tc>
          <w:tcPr>
            <w:tcW w:w="7145" w:type="dxa"/>
            <w:vAlign w:val="center"/>
          </w:tcPr>
          <w:p>
            <w:pPr>
              <w:spacing w:line="240" w:lineRule="auto"/>
              <w:jc w:val="both"/>
              <w:rPr>
                <w:rFonts w:ascii="仿宋" w:eastAsia="仿宋" w:hAnsi="仿宋" w:cs="仿宋" w:hint="default"/>
                <w:sz w:val="24"/>
              </w:rPr>
            </w:pPr>
            <w:r>
              <w:rPr>
                <w:rFonts w:ascii="仿宋" w:eastAsia="仿宋" w:hAnsi="仿宋" w:cs="仿宋" w:hint="eastAsia"/>
                <w:sz w:val="24"/>
                <w:lang w:eastAsia="zh-CN"/>
              </w:rPr>
              <w:t>▲</w:t>
            </w:r>
            <w:r>
              <w:rPr>
                <w:rFonts w:ascii="仿宋" w:eastAsia="仿宋" w:hAnsi="仿宋" w:cs="仿宋" w:hint="eastAsia"/>
                <w:sz w:val="24"/>
                <w:lang w:eastAsia="zh-CN"/>
              </w:rPr>
              <w:t>2</w:t>
            </w:r>
            <w:r>
              <w:rPr>
                <w:rFonts w:ascii="仿宋" w:eastAsia="仿宋" w:hAnsi="仿宋" w:cs="仿宋" w:hint="eastAsia"/>
                <w:sz w:val="24"/>
                <w:lang w:val="en-US" w:eastAsia="zh-CN"/>
              </w:rPr>
              <w:t>.1</w:t>
            </w:r>
            <w:r>
              <w:rPr>
                <w:rFonts w:ascii="仿宋" w:eastAsia="仿宋" w:hAnsi="仿宋" w:cs="仿宋" w:hint="eastAsia"/>
                <w:sz w:val="24"/>
                <w:lang w:eastAsia="zh-CN"/>
              </w:rPr>
              <w:t>、彩色TFT显示屏</w:t>
            </w:r>
            <w:r>
              <w:rPr>
                <w:rFonts w:ascii="仿宋" w:eastAsia="仿宋" w:hAnsi="仿宋" w:cs="仿宋" w:hint="eastAsia"/>
                <w:sz w:val="24"/>
                <w:lang w:val="en-US" w:eastAsia="zh-CN"/>
              </w:rPr>
              <w:t>,</w:t>
            </w:r>
            <w:r>
              <w:rPr>
                <w:rFonts w:ascii="仿宋" w:eastAsia="仿宋" w:hAnsi="仿宋" w:cs="仿宋" w:hint="eastAsia"/>
                <w:sz w:val="24"/>
                <w:lang w:eastAsia="zh-CN"/>
              </w:rPr>
              <w:t>≥</w:t>
            </w:r>
            <w:r>
              <w:rPr>
                <w:rFonts w:ascii="仿宋" w:eastAsia="仿宋" w:hAnsi="仿宋" w:cs="仿宋" w:hint="eastAsia"/>
                <w:sz w:val="24"/>
                <w:lang w:eastAsia="zh-CN"/>
              </w:rPr>
              <w:t>6英寸, 分辨率800</w:t>
            </w:r>
            <w:r>
              <w:rPr>
                <w:rFonts w:ascii="仿宋" w:eastAsia="仿宋" w:hAnsi="仿宋" w:cs="仿宋" w:hint="eastAsia"/>
                <w:sz w:val="24"/>
                <w:lang w:eastAsia="zh-CN"/>
              </w:rPr>
              <w:t>×</w:t>
            </w:r>
            <w:r>
              <w:rPr>
                <w:rFonts w:ascii="仿宋" w:eastAsia="仿宋" w:hAnsi="仿宋" w:cs="仿宋" w:hint="eastAsia"/>
                <w:sz w:val="24"/>
                <w:lang w:eastAsia="zh-CN"/>
              </w:rPr>
              <w:t>600像素，可显示</w:t>
            </w:r>
            <w:r>
              <w:rPr>
                <w:rFonts w:ascii="仿宋" w:eastAsia="仿宋" w:hAnsi="仿宋" w:cs="仿宋" w:hint="eastAsia"/>
                <w:sz w:val="24"/>
                <w:lang w:eastAsia="zh-CN"/>
              </w:rPr>
              <w:t>≥</w:t>
            </w:r>
            <w:r>
              <w:rPr>
                <w:rFonts w:ascii="仿宋" w:eastAsia="仿宋" w:hAnsi="仿宋" w:cs="仿宋" w:hint="eastAsia"/>
                <w:sz w:val="24"/>
                <w:lang w:eastAsia="zh-CN"/>
              </w:rPr>
              <w:t>3通道监护参数波形，有高对比度显示界面；</w:t>
            </w:r>
          </w:p>
        </w:tc>
        <w:tc>
          <w:tcPr>
            <w:tcW w:w="885" w:type="dxa"/>
            <w:vMerge w:val="restart"/>
            <w:vAlign w:val="center"/>
          </w:tcPr>
          <w:p>
            <w:pPr>
              <w:spacing w:line="360" w:lineRule="auto"/>
              <w:jc w:val="center"/>
              <w:rPr>
                <w:rFonts w:ascii="仿宋" w:eastAsia="仿宋" w:hAnsi="仿宋" w:cs="仿宋" w:hint="eastAsia"/>
                <w:color w:val="FF0000"/>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default"/>
                <w:sz w:val="24"/>
              </w:rPr>
            </w:pPr>
            <w:r>
              <w:rPr>
                <w:rFonts w:ascii="仿宋" w:eastAsia="仿宋" w:hAnsi="仿宋" w:cs="仿宋" w:hint="eastAsia"/>
                <w:sz w:val="24"/>
                <w:lang w:val="en-US" w:eastAsia="zh-CN"/>
              </w:rPr>
              <w:t>2.2</w:t>
            </w:r>
            <w:r>
              <w:rPr>
                <w:rFonts w:ascii="仿宋" w:eastAsia="仿宋" w:hAnsi="仿宋" w:cs="仿宋" w:hint="eastAsia"/>
                <w:sz w:val="24"/>
                <w:lang w:eastAsia="zh-CN"/>
              </w:rPr>
              <w:t>、支持中文操作界面；</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2.3</w:t>
            </w:r>
            <w:r>
              <w:rPr>
                <w:rFonts w:ascii="仿宋" w:eastAsia="仿宋" w:hAnsi="仿宋" w:cs="仿宋" w:hint="eastAsia"/>
                <w:sz w:val="24"/>
                <w:lang w:eastAsia="zh-CN"/>
              </w:rPr>
              <w:t>、屏幕显示心电波形扫描时间</w:t>
            </w:r>
            <w:r>
              <w:rPr>
                <w:rFonts w:ascii="仿宋" w:eastAsia="仿宋" w:hAnsi="仿宋" w:cs="仿宋" w:hint="eastAsia"/>
                <w:sz w:val="24"/>
                <w:lang w:eastAsia="zh-CN"/>
              </w:rPr>
              <w:t>≥</w:t>
            </w:r>
            <w:r>
              <w:rPr>
                <w:rFonts w:ascii="仿宋" w:eastAsia="仿宋" w:hAnsi="仿宋" w:cs="仿宋" w:hint="eastAsia"/>
                <w:sz w:val="24"/>
                <w:lang w:eastAsia="zh-CN"/>
              </w:rPr>
              <w:t>16s；</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eastAsia="zh-CN"/>
              </w:rPr>
              <w:t>▲</w:t>
            </w:r>
            <w:r>
              <w:rPr>
                <w:rFonts w:ascii="仿宋" w:eastAsia="仿宋" w:hAnsi="仿宋" w:cs="仿宋" w:hint="eastAsia"/>
                <w:sz w:val="24"/>
                <w:lang w:val="en-US" w:eastAsia="zh-CN"/>
              </w:rPr>
              <w:t>2.4</w:t>
            </w:r>
            <w:r>
              <w:rPr>
                <w:rFonts w:ascii="仿宋" w:eastAsia="仿宋" w:hAnsi="仿宋" w:cs="仿宋" w:hint="eastAsia"/>
                <w:sz w:val="24"/>
                <w:lang w:eastAsia="zh-CN"/>
              </w:rPr>
              <w:t>、支持病人接触状态和阻抗值实时显示。</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restart"/>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3</w:t>
            </w:r>
          </w:p>
        </w:tc>
        <w:tc>
          <w:tcPr>
            <w:tcW w:w="1507"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除颤功能</w:t>
            </w: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eastAsia="zh-CN"/>
              </w:rPr>
              <w:t>▲</w:t>
            </w:r>
            <w:r>
              <w:rPr>
                <w:rFonts w:ascii="仿宋" w:eastAsia="仿宋" w:hAnsi="仿宋" w:cs="仿宋" w:hint="eastAsia"/>
                <w:sz w:val="24"/>
                <w:lang w:val="en-US" w:eastAsia="zh-CN"/>
              </w:rPr>
              <w:t>3.1</w:t>
            </w:r>
            <w:r>
              <w:rPr>
                <w:rFonts w:ascii="仿宋" w:eastAsia="仿宋" w:hAnsi="仿宋" w:cs="仿宋" w:hint="eastAsia"/>
                <w:sz w:val="24"/>
                <w:lang w:eastAsia="zh-CN"/>
              </w:rPr>
              <w:t>、具备手动除颤、心电监护、呼吸监护、自动体外除颤（AED）功能，AED功能适用于8岁以下人群；</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3.2</w:t>
            </w:r>
            <w:r>
              <w:rPr>
                <w:rFonts w:ascii="仿宋" w:eastAsia="仿宋" w:hAnsi="仿宋" w:cs="仿宋" w:hint="eastAsia"/>
                <w:sz w:val="24"/>
                <w:lang w:eastAsia="zh-CN"/>
              </w:rPr>
              <w:t>、除颤采用双相波技术，具备自动阻抗补偿功能；</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3.3</w:t>
            </w:r>
            <w:r>
              <w:rPr>
                <w:rFonts w:ascii="仿宋" w:eastAsia="仿宋" w:hAnsi="仿宋" w:cs="仿宋" w:hint="eastAsia"/>
                <w:sz w:val="24"/>
                <w:lang w:eastAsia="zh-CN"/>
              </w:rPr>
              <w:t>、手动除颤分为同步和非同步两种方式，能量分20档以上，可通过体外电极板进行能量选择，最大能量可达360J</w:t>
            </w:r>
            <w:r>
              <w:rPr>
                <w:rFonts w:ascii="仿宋" w:eastAsia="仿宋" w:hAnsi="仿宋" w:cs="仿宋" w:hint="eastAsia"/>
                <w:sz w:val="24"/>
                <w:lang w:val="en-US" w:eastAsia="zh-CN"/>
              </w:rPr>
              <w:t xml:space="preserve"> </w:t>
            </w:r>
            <w:r>
              <w:rPr>
                <w:rFonts w:ascii="仿宋" w:eastAsia="仿宋" w:hAnsi="仿宋" w:cs="仿宋" w:hint="eastAsia"/>
                <w:sz w:val="24"/>
                <w:lang w:eastAsia="zh-CN"/>
              </w:rPr>
              <w:t>；</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default"/>
                <w:sz w:val="24"/>
              </w:rPr>
            </w:pPr>
            <w:r>
              <w:rPr>
                <w:rFonts w:ascii="仿宋" w:eastAsia="仿宋" w:hAnsi="仿宋" w:cs="仿宋" w:hint="eastAsia"/>
                <w:sz w:val="24"/>
                <w:lang w:val="en-US" w:eastAsia="zh-CN"/>
              </w:rPr>
              <w:t>3.4</w:t>
            </w:r>
            <w:r>
              <w:rPr>
                <w:rFonts w:ascii="仿宋" w:eastAsia="仿宋" w:hAnsi="仿宋" w:cs="仿宋" w:hint="eastAsia"/>
                <w:sz w:val="24"/>
                <w:lang w:eastAsia="zh-CN"/>
              </w:rPr>
              <w:t>、可配置体内除颤手柄，体内手动除颤能力选择：1/2/3/4/5/6/7/8/9/10/15/20/30/50J</w:t>
            </w:r>
            <w:r>
              <w:rPr>
                <w:rFonts w:ascii="仿宋" w:eastAsia="仿宋" w:hAnsi="仿宋" w:cs="仿宋" w:hint="eastAsia"/>
                <w:sz w:val="24"/>
                <w:lang w:val="en-US" w:eastAsia="zh-CN"/>
              </w:rPr>
              <w:t xml:space="preserve"> ；</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3.5</w:t>
            </w:r>
            <w:r>
              <w:rPr>
                <w:rFonts w:ascii="仿宋" w:eastAsia="仿宋" w:hAnsi="仿宋" w:cs="仿宋" w:hint="eastAsia"/>
                <w:sz w:val="24"/>
                <w:lang w:eastAsia="zh-CN"/>
              </w:rPr>
              <w:t>、AED除颤功能提供中文语音和中文提醒功能，对于抢救过程支持自动录音功能，记录时长</w:t>
            </w:r>
            <w:r>
              <w:rPr>
                <w:rFonts w:ascii="仿宋" w:eastAsia="仿宋" w:hAnsi="仿宋" w:cs="仿宋" w:hint="eastAsia"/>
                <w:sz w:val="24"/>
                <w:lang w:eastAsia="zh-CN"/>
              </w:rPr>
              <w:t>≥</w:t>
            </w:r>
            <w:r>
              <w:rPr>
                <w:rFonts w:ascii="仿宋" w:eastAsia="仿宋" w:hAnsi="仿宋" w:cs="仿宋" w:hint="eastAsia"/>
                <w:sz w:val="24"/>
                <w:lang w:eastAsia="zh-CN"/>
              </w:rPr>
              <w:t>60min</w:t>
            </w:r>
            <w:r>
              <w:rPr>
                <w:rFonts w:ascii="仿宋" w:eastAsia="仿宋" w:hAnsi="仿宋" w:cs="仿宋" w:hint="eastAsia"/>
                <w:sz w:val="24"/>
                <w:lang w:val="en-US" w:eastAsia="zh-CN"/>
              </w:rPr>
              <w:t xml:space="preserve"> </w:t>
            </w:r>
            <w:r>
              <w:rPr>
                <w:rFonts w:ascii="仿宋" w:eastAsia="仿宋" w:hAnsi="仿宋" w:cs="仿宋" w:hint="eastAsia"/>
                <w:sz w:val="24"/>
                <w:lang w:eastAsia="zh-CN"/>
              </w:rPr>
              <w:t>。</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restart"/>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4</w:t>
            </w:r>
          </w:p>
        </w:tc>
        <w:tc>
          <w:tcPr>
            <w:tcW w:w="1507"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除颤电极板</w:t>
            </w:r>
          </w:p>
        </w:tc>
        <w:tc>
          <w:tcPr>
            <w:tcW w:w="7145" w:type="dxa"/>
            <w:vAlign w:val="center"/>
          </w:tcPr>
          <w:p>
            <w:pPr>
              <w:spacing w:line="240" w:lineRule="auto"/>
              <w:jc w:val="both"/>
              <w:rPr>
                <w:rFonts w:ascii="仿宋" w:eastAsia="仿宋" w:hAnsi="仿宋" w:cs="仿宋" w:hint="default"/>
                <w:sz w:val="24"/>
              </w:rPr>
            </w:pPr>
            <w:r>
              <w:rPr>
                <w:rFonts w:ascii="仿宋" w:eastAsia="仿宋" w:hAnsi="仿宋" w:cs="仿宋" w:hint="eastAsia"/>
                <w:sz w:val="24"/>
                <w:lang w:eastAsia="zh-CN"/>
              </w:rPr>
              <w:t>▲</w:t>
            </w:r>
            <w:r>
              <w:rPr>
                <w:rFonts w:ascii="仿宋" w:eastAsia="仿宋" w:hAnsi="仿宋" w:cs="仿宋" w:hint="eastAsia"/>
                <w:sz w:val="24"/>
                <w:lang w:val="en-US" w:eastAsia="zh-CN"/>
              </w:rPr>
              <w:t>4.1</w:t>
            </w:r>
            <w:r>
              <w:rPr>
                <w:rFonts w:ascii="仿宋" w:eastAsia="仿宋" w:hAnsi="仿宋" w:cs="仿宋" w:hint="eastAsia"/>
                <w:sz w:val="24"/>
                <w:lang w:eastAsia="zh-CN"/>
              </w:rPr>
              <w:t>、支持至少三种尺寸体内除颤电极板，适用不同病人类型；</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4.2</w:t>
            </w:r>
            <w:r>
              <w:rPr>
                <w:rFonts w:ascii="仿宋" w:eastAsia="仿宋" w:hAnsi="仿宋" w:cs="仿宋" w:hint="eastAsia"/>
                <w:sz w:val="24"/>
                <w:lang w:eastAsia="zh-CN"/>
              </w:rPr>
              <w:t>、体外除颤电极板同时支持成人和小儿，一体化设计，支持快速切换；</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default"/>
                <w:sz w:val="24"/>
              </w:rPr>
            </w:pPr>
            <w:r>
              <w:rPr>
                <w:rFonts w:ascii="仿宋" w:eastAsia="仿宋" w:hAnsi="仿宋" w:cs="仿宋" w:hint="eastAsia"/>
                <w:sz w:val="24"/>
                <w:lang w:val="en-US" w:eastAsia="zh-CN"/>
              </w:rPr>
              <w:t>4.3</w:t>
            </w:r>
            <w:r>
              <w:rPr>
                <w:rFonts w:ascii="仿宋" w:eastAsia="仿宋" w:hAnsi="仿宋" w:cs="仿宋" w:hint="eastAsia"/>
                <w:sz w:val="24"/>
                <w:lang w:eastAsia="zh-CN"/>
              </w:rPr>
              <w:t>、电极板支持能量选择，充电和放电三步操作，满足单人除颤操作。</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restart"/>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5</w:t>
            </w:r>
          </w:p>
        </w:tc>
        <w:tc>
          <w:tcPr>
            <w:tcW w:w="1507"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时间要求</w:t>
            </w: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5.1</w:t>
            </w:r>
            <w:r>
              <w:rPr>
                <w:rFonts w:ascii="仿宋" w:eastAsia="仿宋" w:hAnsi="仿宋" w:cs="仿宋" w:hint="eastAsia"/>
                <w:sz w:val="24"/>
                <w:lang w:eastAsia="zh-CN"/>
              </w:rPr>
              <w:t>、开机时间</w:t>
            </w:r>
            <w:r>
              <w:rPr>
                <w:rFonts w:ascii="仿宋" w:eastAsia="仿宋" w:hAnsi="仿宋" w:cs="仿宋" w:hint="eastAsia"/>
                <w:sz w:val="24"/>
                <w:lang w:eastAsia="zh-CN"/>
              </w:rPr>
              <w:t>≤</w:t>
            </w:r>
            <w:r>
              <w:rPr>
                <w:rFonts w:ascii="仿宋" w:eastAsia="仿宋" w:hAnsi="仿宋" w:cs="仿宋" w:hint="eastAsia"/>
                <w:sz w:val="24"/>
                <w:lang w:eastAsia="zh-CN"/>
              </w:rPr>
              <w:t>2s，符合临床使用；</w:t>
            </w:r>
          </w:p>
        </w:tc>
        <w:tc>
          <w:tcPr>
            <w:tcW w:w="885" w:type="dxa"/>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51"/>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5.2</w:t>
            </w:r>
            <w:r>
              <w:rPr>
                <w:rFonts w:ascii="仿宋" w:eastAsia="仿宋" w:hAnsi="仿宋" w:cs="仿宋" w:hint="eastAsia"/>
                <w:sz w:val="24"/>
                <w:lang w:eastAsia="zh-CN"/>
              </w:rPr>
              <w:t>、除颤充电迅速，充电至200J</w:t>
            </w:r>
            <w:r>
              <w:rPr>
                <w:rFonts w:ascii="仿宋" w:eastAsia="仿宋" w:hAnsi="仿宋" w:cs="仿宋" w:hint="eastAsia"/>
                <w:sz w:val="24"/>
                <w:lang w:eastAsia="zh-CN"/>
              </w:rPr>
              <w:t>≤</w:t>
            </w:r>
            <w:r>
              <w:rPr>
                <w:rFonts w:ascii="仿宋" w:eastAsia="仿宋" w:hAnsi="仿宋" w:cs="仿宋" w:hint="eastAsia"/>
                <w:sz w:val="24"/>
                <w:lang w:eastAsia="zh-CN"/>
              </w:rPr>
              <w:t>4s；</w:t>
            </w:r>
          </w:p>
        </w:tc>
        <w:tc>
          <w:tcPr>
            <w:tcW w:w="885" w:type="dxa"/>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Merge/>
            <w:vAlign w:val="center"/>
          </w:tcPr>
          <w:p>
            <w:pPr>
              <w:spacing w:line="240" w:lineRule="auto"/>
              <w:jc w:val="center"/>
              <w:rPr>
                <w:rFonts w:ascii="仿宋" w:eastAsia="仿宋" w:hAnsi="仿宋" w:cs="仿宋" w:hint="default"/>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default"/>
                <w:sz w:val="24"/>
              </w:rPr>
            </w:pPr>
            <w:r>
              <w:rPr>
                <w:rFonts w:ascii="仿宋" w:eastAsia="仿宋" w:hAnsi="仿宋" w:cs="仿宋" w:hint="eastAsia"/>
                <w:sz w:val="24"/>
                <w:lang w:eastAsia="zh-CN"/>
              </w:rPr>
              <w:t>▲</w:t>
            </w:r>
            <w:r>
              <w:rPr>
                <w:rFonts w:ascii="仿宋" w:eastAsia="仿宋" w:hAnsi="仿宋" w:cs="仿宋" w:hint="eastAsia"/>
                <w:sz w:val="24"/>
                <w:lang w:val="en-US" w:eastAsia="zh-CN"/>
              </w:rPr>
              <w:t>5.3</w:t>
            </w:r>
            <w:r>
              <w:rPr>
                <w:rFonts w:ascii="仿宋" w:eastAsia="仿宋" w:hAnsi="仿宋" w:cs="仿宋" w:hint="eastAsia"/>
                <w:sz w:val="24"/>
                <w:lang w:eastAsia="zh-CN"/>
              </w:rPr>
              <w:t>、除颤后心电基线恢复时间</w:t>
            </w:r>
            <w:r>
              <w:rPr>
                <w:rFonts w:ascii="仿宋" w:eastAsia="仿宋" w:hAnsi="仿宋" w:cs="仿宋" w:hint="eastAsia"/>
                <w:sz w:val="24"/>
                <w:lang w:eastAsia="zh-CN"/>
              </w:rPr>
              <w:t>≤</w:t>
            </w:r>
            <w:r>
              <w:rPr>
                <w:rFonts w:ascii="仿宋" w:eastAsia="仿宋" w:hAnsi="仿宋" w:cs="仿宋" w:hint="eastAsia"/>
                <w:sz w:val="24"/>
                <w:lang w:eastAsia="zh-CN"/>
              </w:rPr>
              <w:t>2.5s；</w:t>
            </w:r>
          </w:p>
        </w:tc>
        <w:tc>
          <w:tcPr>
            <w:tcW w:w="885" w:type="dxa"/>
            <w:vMerge w:val="restart"/>
            <w:vAlign w:val="center"/>
          </w:tcPr>
          <w:p>
            <w:pPr>
              <w:spacing w:line="360" w:lineRule="auto"/>
              <w:jc w:val="center"/>
              <w:rPr>
                <w:rFonts w:ascii="仿宋" w:eastAsia="仿宋" w:hAnsi="仿宋" w:cs="仿宋" w:hint="eastAsia"/>
                <w:color w:val="FF0000"/>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5.4</w:t>
            </w:r>
            <w:r>
              <w:rPr>
                <w:rFonts w:ascii="仿宋" w:eastAsia="仿宋" w:hAnsi="仿宋" w:cs="仿宋" w:hint="eastAsia"/>
                <w:sz w:val="24"/>
                <w:lang w:eastAsia="zh-CN"/>
              </w:rPr>
              <w:t>、从开始AED分析到放电准备就绪</w:t>
            </w:r>
            <w:r>
              <w:rPr>
                <w:rFonts w:ascii="仿宋" w:eastAsia="仿宋" w:hAnsi="仿宋" w:cs="仿宋" w:hint="eastAsia"/>
                <w:sz w:val="24"/>
                <w:lang w:eastAsia="zh-CN"/>
              </w:rPr>
              <w:t>≤</w:t>
            </w:r>
            <w:r>
              <w:rPr>
                <w:rFonts w:ascii="仿宋" w:eastAsia="仿宋" w:hAnsi="仿宋" w:cs="仿宋" w:hint="eastAsia"/>
                <w:sz w:val="24"/>
                <w:lang w:eastAsia="zh-CN"/>
              </w:rPr>
              <w:t>10s。</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404"/>
          <w:jc w:val="center"/>
        </w:trPr>
        <w:tc>
          <w:tcPr>
            <w:tcW w:w="764" w:type="dxa"/>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6</w:t>
            </w:r>
          </w:p>
        </w:tc>
        <w:tc>
          <w:tcPr>
            <w:tcW w:w="1507"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体外起搏功能</w:t>
            </w: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eastAsia="zh-CN"/>
              </w:rPr>
              <w:t>支持配置体外起搏功能，起搏分为固定和按需两种模式</w:t>
            </w:r>
            <w:r>
              <w:rPr>
                <w:rFonts w:ascii="仿宋" w:eastAsia="仿宋" w:hAnsi="仿宋" w:cs="仿宋" w:hint="eastAsia"/>
                <w:sz w:val="24"/>
                <w:lang w:val="en-US" w:eastAsia="zh-CN"/>
              </w:rPr>
              <w:t>,</w:t>
            </w:r>
            <w:r>
              <w:rPr>
                <w:rFonts w:ascii="仿宋" w:eastAsia="仿宋" w:hAnsi="仿宋" w:cs="仿宋" w:hint="eastAsia"/>
                <w:sz w:val="24"/>
                <w:lang w:eastAsia="zh-CN"/>
              </w:rPr>
              <w:t>具备降速起搏功能。</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90"/>
          <w:jc w:val="center"/>
        </w:trPr>
        <w:tc>
          <w:tcPr>
            <w:tcW w:w="764" w:type="dxa"/>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7</w:t>
            </w:r>
          </w:p>
        </w:tc>
        <w:tc>
          <w:tcPr>
            <w:tcW w:w="1507" w:type="dxa"/>
            <w:vAlign w:val="center"/>
          </w:tcPr>
          <w:p>
            <w:pPr>
              <w:spacing w:after="0" w:line="240" w:lineRule="auto"/>
              <w:jc w:val="center"/>
              <w:rPr>
                <w:rFonts w:ascii="仿宋" w:eastAsia="仿宋" w:hAnsi="仿宋" w:cs="仿宋" w:hint="eastAsia"/>
                <w:sz w:val="24"/>
              </w:rPr>
            </w:pPr>
          </w:p>
        </w:tc>
        <w:tc>
          <w:tcPr>
            <w:tcW w:w="7145" w:type="dxa"/>
            <w:vAlign w:val="center"/>
          </w:tcPr>
          <w:p>
            <w:pPr>
              <w:spacing w:after="0" w:line="240" w:lineRule="auto"/>
              <w:jc w:val="both"/>
              <w:rPr>
                <w:rFonts w:ascii="仿宋" w:eastAsia="仿宋" w:hAnsi="仿宋" w:cs="仿宋" w:hint="eastAsia"/>
                <w:sz w:val="24"/>
              </w:rPr>
            </w:pPr>
            <w:r>
              <w:rPr>
                <w:rFonts w:ascii="仿宋" w:eastAsia="仿宋" w:hAnsi="仿宋" w:cs="仿宋" w:hint="eastAsia"/>
                <w:sz w:val="24"/>
                <w:lang w:eastAsia="zh-CN"/>
              </w:rPr>
              <w:t>支持配置CPR辅助功能，CPR传感器设计符合2015</w:t>
            </w:r>
          </w:p>
        </w:tc>
        <w:tc>
          <w:tcPr>
            <w:tcW w:w="885" w:type="dxa"/>
            <w:vMerge/>
            <w:vAlign w:val="center"/>
          </w:tcPr>
          <w:p>
            <w:pPr>
              <w:spacing w:line="240" w:lineRule="auto"/>
              <w:jc w:val="left"/>
              <w:rPr>
                <w:rFonts w:ascii="仿宋" w:eastAsia="仿宋" w:hAnsi="仿宋" w:cs="仿宋" w:hint="eastAsia"/>
                <w:sz w:val="24"/>
              </w:rPr>
            </w:pPr>
          </w:p>
        </w:tc>
      </w:tr>
    </w:tbl>
    <w:p>
      <w:pPr>
        <w:sectPr>
          <w:headerReference w:type="default" r:id="rId20"/>
          <w:footerReference w:type="default" r:id="rId21"/>
          <w:type w:val="nextPage"/>
          <w:pgSz w:w="11906" w:h="16838"/>
          <w:pgMar w:top="1440" w:right="1800" w:bottom="1440" w:left="1800" w:header="851" w:footer="992" w:gutter="0"/>
          <w:pgNumType w:fmt="decimal" w:start="9"/>
          <w:cols w:space="708"/>
          <w:titlePg w:val="0"/>
          <w:docGrid w:type="lines" w:linePitch="312"/>
        </w:sectPr>
      </w:pPr>
    </w:p>
    <w:tbl>
      <w:tblPr>
        <w:tblStyle w:val="TableNormal"/>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4"/>
        <w:gridCol w:w="1507"/>
        <w:gridCol w:w="7145"/>
        <w:gridCol w:w="885"/>
      </w:tblGrid>
      <w:tr>
        <w:tblPrEx>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764" w:type="dxa"/>
            <w:vAlign w:val="center"/>
          </w:tcPr>
          <w:p/>
        </w:tc>
        <w:tc>
          <w:tcPr>
            <w:tcW w:w="1507" w:type="dxa"/>
            <w:vAlign w:val="center"/>
          </w:tcPr>
          <w:p>
            <w:pPr>
              <w:spacing w:before="0" w:line="240" w:lineRule="auto"/>
              <w:jc w:val="center"/>
              <w:rPr>
                <w:rFonts w:ascii="仿宋" w:eastAsia="仿宋" w:hAnsi="仿宋" w:cs="仿宋" w:hint="eastAsia"/>
                <w:sz w:val="24"/>
              </w:rPr>
            </w:pPr>
            <w:r>
              <w:rPr>
                <w:rFonts w:ascii="仿宋" w:eastAsia="仿宋" w:hAnsi="仿宋" w:cs="仿宋" w:hint="eastAsia"/>
                <w:sz w:val="24"/>
                <w:lang w:eastAsia="zh-CN"/>
              </w:rPr>
              <w:t>CPR辅助功能</w:t>
            </w:r>
          </w:p>
        </w:tc>
        <w:tc>
          <w:tcPr>
            <w:tcW w:w="7145" w:type="dxa"/>
            <w:vAlign w:val="center"/>
          </w:tcPr>
          <w:p>
            <w:pPr>
              <w:spacing w:before="0" w:line="240" w:lineRule="auto"/>
              <w:jc w:val="both"/>
              <w:rPr>
                <w:rFonts w:ascii="仿宋" w:eastAsia="仿宋" w:hAnsi="仿宋" w:cs="仿宋" w:hint="eastAsia"/>
                <w:sz w:val="24"/>
              </w:rPr>
            </w:pPr>
            <w:r>
              <w:rPr>
                <w:rFonts w:ascii="仿宋" w:eastAsia="仿宋" w:hAnsi="仿宋" w:cs="仿宋" w:hint="eastAsia"/>
                <w:sz w:val="24"/>
                <w:lang w:eastAsia="zh-CN"/>
              </w:rPr>
              <w:t xml:space="preserve"> AHA/ERC指南，提供即时的按压反馈，设备界面提供按压深度和按压频率实时参数显示。</w:t>
            </w:r>
          </w:p>
        </w:tc>
        <w:tc>
          <w:tcPr>
            <w:tcW w:w="885" w:type="dxa"/>
            <w:vMerge w:val="restart"/>
            <w:vAlign w:val="center"/>
          </w:tc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Merge w:val="restart"/>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8</w:t>
            </w:r>
          </w:p>
        </w:tc>
        <w:tc>
          <w:tcPr>
            <w:tcW w:w="1507"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监护功能</w:t>
            </w: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8.1</w:t>
            </w:r>
            <w:r>
              <w:rPr>
                <w:rFonts w:ascii="仿宋" w:eastAsia="仿宋" w:hAnsi="仿宋" w:cs="仿宋" w:hint="eastAsia"/>
                <w:sz w:val="24"/>
                <w:lang w:eastAsia="zh-CN"/>
              </w:rPr>
              <w:t>、心电波形速度支持50 mm/s、25 mm/s、12.5 mm/s、6.25 mm/s；</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Merge/>
            <w:vAlign w:val="center"/>
          </w:tcPr>
          <w:p>
            <w:pPr>
              <w:spacing w:line="240" w:lineRule="auto"/>
              <w:jc w:val="center"/>
              <w:rPr>
                <w:rFonts w:ascii="仿宋" w:eastAsia="仿宋" w:hAnsi="仿宋" w:cs="仿宋" w:hint="default"/>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8.2</w:t>
            </w:r>
            <w:r>
              <w:rPr>
                <w:rFonts w:ascii="仿宋" w:eastAsia="仿宋" w:hAnsi="仿宋" w:cs="仿宋" w:hint="eastAsia"/>
                <w:sz w:val="24"/>
                <w:lang w:eastAsia="zh-CN"/>
              </w:rPr>
              <w:t>、通过心电电极片可监测的心律失常分析种类</w:t>
            </w:r>
            <w:r>
              <w:rPr>
                <w:rFonts w:ascii="仿宋" w:eastAsia="仿宋" w:hAnsi="仿宋" w:cs="仿宋" w:hint="eastAsia"/>
                <w:sz w:val="24"/>
                <w:lang w:eastAsia="zh-CN"/>
              </w:rPr>
              <w:t>≥</w:t>
            </w:r>
            <w:r>
              <w:rPr>
                <w:rFonts w:ascii="仿宋" w:eastAsia="仿宋" w:hAnsi="仿宋" w:cs="仿宋" w:hint="eastAsia"/>
                <w:sz w:val="24"/>
                <w:lang w:eastAsia="zh-CN"/>
              </w:rPr>
              <w:t>24种；</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8.3</w:t>
            </w:r>
            <w:r>
              <w:rPr>
                <w:rFonts w:ascii="仿宋" w:eastAsia="仿宋" w:hAnsi="仿宋" w:cs="仿宋" w:hint="eastAsia"/>
                <w:sz w:val="24"/>
                <w:lang w:eastAsia="zh-CN"/>
              </w:rPr>
              <w:t>、可选配监护功能：血氧饱和度、无创血压、呼吸末二氧化碳；</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eastAsia="zh-CN"/>
              </w:rPr>
              <w:t>▲</w:t>
            </w:r>
            <w:r>
              <w:rPr>
                <w:rFonts w:ascii="仿宋" w:eastAsia="仿宋" w:hAnsi="仿宋" w:cs="仿宋" w:hint="eastAsia"/>
                <w:sz w:val="24"/>
                <w:lang w:val="en-US" w:eastAsia="zh-CN"/>
              </w:rPr>
              <w:t>8.4</w:t>
            </w:r>
            <w:r>
              <w:rPr>
                <w:rFonts w:ascii="仿宋" w:eastAsia="仿宋" w:hAnsi="仿宋" w:cs="仿宋" w:hint="eastAsia"/>
                <w:sz w:val="24"/>
                <w:lang w:eastAsia="zh-CN"/>
              </w:rPr>
              <w:t>、提供的监护参数适用于成人，小儿和新生儿，并通过国家三类注册、CE认证；</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Merge/>
            <w:vAlign w:val="center"/>
          </w:tcPr>
          <w:p>
            <w:pPr>
              <w:spacing w:line="240" w:lineRule="auto"/>
              <w:jc w:val="center"/>
              <w:rPr>
                <w:rFonts w:ascii="仿宋" w:eastAsia="仿宋" w:hAnsi="仿宋" w:cs="仿宋" w:hint="default"/>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8.5</w:t>
            </w:r>
            <w:r>
              <w:rPr>
                <w:rFonts w:ascii="仿宋" w:eastAsia="仿宋" w:hAnsi="仿宋" w:cs="仿宋" w:hint="eastAsia"/>
                <w:sz w:val="24"/>
                <w:lang w:eastAsia="zh-CN"/>
              </w:rPr>
              <w:t>、无创血压收缩压测量范围：25-290mmHg（成人）、25-240mmHg（小儿）、25-140mmHg（新生儿），舒张压测量范围：10-250mmHg（成人）、10-200mmHg（小儿），10-115mmHg（新生儿）。</w:t>
            </w:r>
          </w:p>
        </w:tc>
        <w:tc>
          <w:tcPr>
            <w:tcW w:w="885" w:type="dxa"/>
            <w:vMerge/>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Merge w:val="restart"/>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9</w:t>
            </w:r>
          </w:p>
        </w:tc>
        <w:tc>
          <w:tcPr>
            <w:tcW w:w="1507"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网络功能</w:t>
            </w: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9.1</w:t>
            </w:r>
            <w:r>
              <w:rPr>
                <w:rFonts w:ascii="仿宋" w:eastAsia="仿宋" w:hAnsi="仿宋" w:cs="仿宋" w:hint="eastAsia"/>
                <w:sz w:val="24"/>
                <w:lang w:eastAsia="zh-CN"/>
              </w:rPr>
              <w:t>、支持连接中央站，与科室床旁监护仪共用监护网络；</w:t>
            </w:r>
          </w:p>
        </w:tc>
        <w:tc>
          <w:tcPr>
            <w:tcW w:w="885" w:type="dxa"/>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9.2</w:t>
            </w:r>
            <w:r>
              <w:rPr>
                <w:rFonts w:ascii="仿宋" w:eastAsia="仿宋" w:hAnsi="仿宋" w:cs="仿宋" w:hint="eastAsia"/>
                <w:sz w:val="24"/>
                <w:lang w:eastAsia="zh-CN"/>
              </w:rPr>
              <w:t>、支持提供IHE HL7协议，满足院前院内急救系统的联网通信。</w:t>
            </w:r>
          </w:p>
        </w:tc>
        <w:tc>
          <w:tcPr>
            <w:tcW w:w="885" w:type="dxa"/>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10</w:t>
            </w:r>
          </w:p>
        </w:tc>
        <w:tc>
          <w:tcPr>
            <w:tcW w:w="1507"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外置电池</w:t>
            </w: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eastAsia="zh-CN"/>
              </w:rPr>
              <w:t>标配1块外置智能锂电池，可支持200J除颤</w:t>
            </w:r>
            <w:r>
              <w:rPr>
                <w:rFonts w:ascii="仿宋" w:eastAsia="仿宋" w:hAnsi="仿宋" w:cs="仿宋" w:hint="eastAsia"/>
                <w:sz w:val="24"/>
                <w:lang w:eastAsia="zh-CN"/>
              </w:rPr>
              <w:t>≥</w:t>
            </w:r>
            <w:r>
              <w:rPr>
                <w:rFonts w:ascii="仿宋" w:eastAsia="仿宋" w:hAnsi="仿宋" w:cs="仿宋" w:hint="eastAsia"/>
                <w:sz w:val="24"/>
                <w:lang w:eastAsia="zh-CN"/>
              </w:rPr>
              <w:t>300次。</w:t>
            </w:r>
          </w:p>
        </w:tc>
        <w:tc>
          <w:tcPr>
            <w:tcW w:w="885" w:type="dxa"/>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11</w:t>
            </w:r>
          </w:p>
        </w:tc>
        <w:tc>
          <w:tcPr>
            <w:tcW w:w="1507"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报警功能</w:t>
            </w: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eastAsia="zh-CN"/>
              </w:rPr>
              <w:t>具备生理报警和技术报警功能，通过声音、文字和灯光3种方式进行报警。</w:t>
            </w:r>
          </w:p>
        </w:tc>
        <w:tc>
          <w:tcPr>
            <w:tcW w:w="885" w:type="dxa"/>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12</w:t>
            </w:r>
          </w:p>
        </w:tc>
        <w:tc>
          <w:tcPr>
            <w:tcW w:w="1507"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记录仪</w:t>
            </w: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eastAsia="zh-CN"/>
              </w:rPr>
              <w:t>配置50mm记录纸记录仪，可自动打印除颤记录，单次波形记录时间最大不小于30s，支持连续波形记录。</w:t>
            </w:r>
          </w:p>
        </w:tc>
        <w:tc>
          <w:tcPr>
            <w:tcW w:w="885" w:type="dxa"/>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13</w:t>
            </w:r>
          </w:p>
        </w:tc>
        <w:tc>
          <w:tcPr>
            <w:tcW w:w="1507"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存储</w:t>
            </w:r>
          </w:p>
        </w:tc>
        <w:tc>
          <w:tcPr>
            <w:tcW w:w="7145" w:type="dxa"/>
            <w:vAlign w:val="center"/>
          </w:tcPr>
          <w:p>
            <w:pPr>
              <w:spacing w:line="240" w:lineRule="auto"/>
              <w:jc w:val="both"/>
              <w:rPr>
                <w:rFonts w:ascii="仿宋" w:eastAsia="仿宋" w:hAnsi="仿宋" w:cs="仿宋" w:hint="default"/>
                <w:sz w:val="24"/>
              </w:rPr>
            </w:pPr>
            <w:r>
              <w:rPr>
                <w:rFonts w:ascii="仿宋" w:eastAsia="仿宋" w:hAnsi="仿宋" w:cs="仿宋" w:hint="eastAsia"/>
                <w:sz w:val="24"/>
                <w:lang w:eastAsia="zh-CN"/>
              </w:rPr>
              <w:t>可存储24小时连续ECG波形，数据可导出至电脑查看。</w:t>
            </w:r>
          </w:p>
        </w:tc>
        <w:tc>
          <w:tcPr>
            <w:tcW w:w="885" w:type="dxa"/>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Merge w:val="restart"/>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14</w:t>
            </w:r>
          </w:p>
        </w:tc>
        <w:tc>
          <w:tcPr>
            <w:tcW w:w="1507"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自检功能</w:t>
            </w: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14.1</w:t>
            </w:r>
            <w:r>
              <w:rPr>
                <w:rFonts w:ascii="仿宋" w:eastAsia="仿宋" w:hAnsi="仿宋" w:cs="仿宋" w:hint="eastAsia"/>
                <w:sz w:val="24"/>
                <w:lang w:eastAsia="zh-CN"/>
              </w:rPr>
              <w:t>、关机状态下设备支持每天定时自动运行自检（含监护模块和治疗模块），支持定期自动大能量自检（最大放电能量）；</w:t>
            </w:r>
          </w:p>
        </w:tc>
        <w:tc>
          <w:tcPr>
            <w:tcW w:w="885" w:type="dxa"/>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Merge/>
            <w:vAlign w:val="center"/>
          </w:tcPr>
          <w:p>
            <w:pPr>
              <w:spacing w:line="240" w:lineRule="auto"/>
              <w:jc w:val="center"/>
              <w:rPr>
                <w:rFonts w:ascii="仿宋" w:eastAsia="仿宋" w:hAnsi="仿宋" w:cs="仿宋" w:hint="eastAsia"/>
                <w:sz w:val="24"/>
              </w:rPr>
            </w:pPr>
          </w:p>
        </w:tc>
        <w:tc>
          <w:tcPr>
            <w:tcW w:w="1507"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val="en-US" w:eastAsia="zh-CN"/>
              </w:rPr>
              <w:t>14.2</w:t>
            </w:r>
            <w:r>
              <w:rPr>
                <w:rFonts w:ascii="仿宋" w:eastAsia="仿宋" w:hAnsi="仿宋" w:cs="仿宋" w:hint="eastAsia"/>
                <w:sz w:val="24"/>
                <w:lang w:eastAsia="zh-CN"/>
              </w:rPr>
              <w:t>、设备自检后支持对于自检报告进行自动打印或按需打印。</w:t>
            </w:r>
          </w:p>
        </w:tc>
        <w:tc>
          <w:tcPr>
            <w:tcW w:w="885" w:type="dxa"/>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15</w:t>
            </w:r>
          </w:p>
        </w:tc>
        <w:tc>
          <w:tcPr>
            <w:tcW w:w="1507"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防水</w:t>
            </w: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eastAsia="zh-CN"/>
              </w:rPr>
              <w:t>具备良好的防尘防水性能，防尘防水级别IP44。</w:t>
            </w:r>
          </w:p>
        </w:tc>
        <w:tc>
          <w:tcPr>
            <w:tcW w:w="885" w:type="dxa"/>
            <w:vAlign w:val="center"/>
          </w:tcPr>
          <w:p>
            <w:pPr>
              <w:spacing w:line="240" w:lineRule="auto"/>
              <w:jc w:val="left"/>
              <w:rPr>
                <w:rFonts w:ascii="仿宋" w:eastAsia="仿宋" w:hAnsi="仿宋" w:cs="仿宋" w:hint="eastAsia"/>
                <w:sz w:val="24"/>
              </w:rPr>
            </w:pPr>
          </w:p>
        </w:tc>
      </w:tr>
      <w:tr>
        <w:tblPrEx>
          <w:jc w:val="center"/>
          <w:tblInd w:w="-389" w:type="dxa"/>
          <w:tblLayout w:type="fixed"/>
          <w:tblCellMar>
            <w:top w:w="0" w:type="dxa"/>
            <w:left w:w="108" w:type="dxa"/>
            <w:bottom w:w="0" w:type="dxa"/>
            <w:right w:w="108" w:type="dxa"/>
          </w:tblCellMar>
          <w:tblLook w:val="0000"/>
        </w:tblPrEx>
        <w:trPr>
          <w:trHeight w:val="187"/>
          <w:jc w:val="center"/>
        </w:trPr>
        <w:tc>
          <w:tcPr>
            <w:tcW w:w="764" w:type="dxa"/>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16</w:t>
            </w:r>
          </w:p>
        </w:tc>
        <w:tc>
          <w:tcPr>
            <w:tcW w:w="1507"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抗跌落性能</w:t>
            </w:r>
          </w:p>
        </w:tc>
        <w:tc>
          <w:tcPr>
            <w:tcW w:w="7145" w:type="dxa"/>
            <w:vAlign w:val="center"/>
          </w:tcPr>
          <w:p>
            <w:pPr>
              <w:spacing w:line="240" w:lineRule="auto"/>
              <w:jc w:val="both"/>
              <w:rPr>
                <w:rFonts w:ascii="仿宋" w:eastAsia="仿宋" w:hAnsi="仿宋" w:cs="仿宋" w:hint="eastAsia"/>
                <w:sz w:val="24"/>
              </w:rPr>
            </w:pPr>
            <w:r>
              <w:rPr>
                <w:rFonts w:ascii="仿宋" w:eastAsia="仿宋" w:hAnsi="仿宋" w:cs="仿宋" w:hint="eastAsia"/>
                <w:sz w:val="24"/>
                <w:lang w:eastAsia="zh-CN"/>
              </w:rPr>
              <w:t>具备优异的抗跌落性能，满足救护车标准EN1789 中6.3.4.3 关于跌落试验的要求，裸机可承受6面0.75m跌落冲击。</w:t>
            </w:r>
          </w:p>
        </w:tc>
        <w:tc>
          <w:tcPr>
            <w:tcW w:w="885" w:type="dxa"/>
            <w:vAlign w:val="center"/>
          </w:tcPr>
          <w:p>
            <w:pPr>
              <w:spacing w:line="240" w:lineRule="auto"/>
              <w:jc w:val="left"/>
              <w:rPr>
                <w:rFonts w:ascii="仿宋" w:eastAsia="仿宋" w:hAnsi="仿宋" w:cs="仿宋" w:hint="eastAsia"/>
                <w:sz w:val="24"/>
              </w:rPr>
            </w:pPr>
          </w:p>
        </w:tc>
      </w:tr>
    </w:tbl>
    <w:p>
      <w:pPr>
        <w:snapToGrid w:val="0"/>
        <w:spacing w:line="440" w:lineRule="exact"/>
        <w:jc w:val="left"/>
        <w:rPr>
          <w:rFonts w:ascii="仿宋" w:eastAsia="仿宋" w:hAnsi="仿宋" w:cs="仿宋" w:hint="eastAsia"/>
          <w:b/>
          <w:sz w:val="24"/>
        </w:rPr>
      </w:pPr>
    </w:p>
    <w:tbl>
      <w:tblPr>
        <w:tblStyle w:val="TableNormal"/>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0"/>
        <w:gridCol w:w="3935"/>
        <w:gridCol w:w="1486"/>
        <w:gridCol w:w="1323"/>
        <w:gridCol w:w="2482"/>
      </w:tblGrid>
      <w:tr>
        <w:tblPrEx>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3"/>
          <w:jc w:val="center"/>
        </w:trPr>
        <w:tc>
          <w:tcPr>
            <w:tcW w:w="10066" w:type="dxa"/>
            <w:gridSpan w:val="5"/>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color w:val="auto"/>
                <w:sz w:val="24"/>
              </w:rPr>
            </w:pPr>
            <w:r>
              <w:rPr>
                <w:rFonts w:ascii="仿宋" w:eastAsia="仿宋" w:hAnsi="仿宋" w:cs="仿宋" w:hint="eastAsia"/>
                <w:b/>
                <w:color w:val="auto"/>
                <w:sz w:val="24"/>
                <w:highlight w:val="yellow"/>
                <w:lang w:val="en-US" w:eastAsia="zh-CN"/>
              </w:rPr>
              <w:t xml:space="preserve"> 除颤监护仪</w:t>
            </w:r>
            <w:r>
              <w:rPr>
                <w:rFonts w:ascii="仿宋" w:eastAsia="仿宋" w:hAnsi="仿宋" w:cs="仿宋" w:hint="eastAsia"/>
                <w:b/>
                <w:color w:val="auto"/>
                <w:sz w:val="24"/>
                <w:highlight w:val="yellow"/>
              </w:rPr>
              <w:t>配置清单</w:t>
            </w:r>
            <w:r>
              <w:rPr>
                <w:rFonts w:ascii="仿宋" w:eastAsia="仿宋" w:hAnsi="仿宋" w:cs="仿宋" w:hint="eastAsia"/>
                <w:b/>
                <w:color w:val="auto"/>
                <w:sz w:val="24"/>
                <w:highlight w:val="yellow"/>
                <w:lang w:val="en-US" w:eastAsia="zh-CN"/>
              </w:rPr>
              <w:t>(2台)</w:t>
            </w:r>
          </w:p>
        </w:tc>
      </w:tr>
      <w:tr>
        <w:tblPrEx>
          <w:jc w:val="center"/>
          <w:tblInd w:w="-419" w:type="dxa"/>
          <w:tblLayout w:type="fixed"/>
          <w:tblCellMar>
            <w:top w:w="0" w:type="dxa"/>
            <w:left w:w="108" w:type="dxa"/>
            <w:bottom w:w="0" w:type="dxa"/>
            <w:right w:w="108" w:type="dxa"/>
          </w:tblCellMar>
          <w:tblLook w:val="0000"/>
        </w:tblPrEx>
        <w:trPr>
          <w:trHeight w:val="339"/>
          <w:jc w:val="center"/>
        </w:trPr>
        <w:tc>
          <w:tcPr>
            <w:tcW w:w="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序号</w:t>
            </w:r>
          </w:p>
        </w:tc>
        <w:tc>
          <w:tcPr>
            <w:tcW w:w="39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产品名称</w:t>
            </w:r>
          </w:p>
        </w:tc>
        <w:tc>
          <w:tcPr>
            <w:tcW w:w="148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单位</w:t>
            </w:r>
          </w:p>
        </w:tc>
        <w:tc>
          <w:tcPr>
            <w:tcW w:w="1323"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数量</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备注</w:t>
            </w:r>
          </w:p>
        </w:tc>
      </w:tr>
      <w:tr>
        <w:tblPrEx>
          <w:jc w:val="center"/>
          <w:tblInd w:w="-419" w:type="dxa"/>
          <w:tblLayout w:type="fixed"/>
          <w:tblCellMar>
            <w:top w:w="0" w:type="dxa"/>
            <w:left w:w="108" w:type="dxa"/>
            <w:bottom w:w="0" w:type="dxa"/>
            <w:right w:w="108" w:type="dxa"/>
          </w:tblCellMar>
          <w:tblLook w:val="0000"/>
        </w:tblPrEx>
        <w:trPr>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1</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主机</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台</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5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心电导联线</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4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3</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手动除颤电极手柄</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7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4</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lang w:val="fr-FR"/>
              </w:rPr>
            </w:pPr>
            <w:r>
              <w:rPr>
                <w:rFonts w:ascii="仿宋" w:eastAsia="仿宋" w:hAnsi="仿宋" w:cs="仿宋" w:hint="eastAsia"/>
                <w:bCs/>
                <w:iCs/>
                <w:sz w:val="24"/>
                <w:szCs w:val="24"/>
                <w:lang w:val="en-US" w:eastAsia="zh-CN"/>
              </w:rPr>
              <w:t>锂电池</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5</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lang w:val="fr-FR"/>
              </w:rPr>
            </w:pPr>
            <w:r>
              <w:rPr>
                <w:rFonts w:ascii="仿宋" w:eastAsia="仿宋" w:hAnsi="仿宋" w:cs="仿宋" w:hint="eastAsia"/>
                <w:bCs/>
                <w:iCs/>
                <w:sz w:val="24"/>
                <w:szCs w:val="24"/>
                <w:lang w:val="en-US" w:eastAsia="zh-CN"/>
              </w:rPr>
              <w:t>三芯电源线</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根</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8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6</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lang w:val="fr-FR"/>
              </w:rPr>
            </w:pPr>
            <w:r>
              <w:rPr>
                <w:rFonts w:ascii="仿宋" w:eastAsia="仿宋" w:hAnsi="仿宋" w:cs="仿宋" w:hint="eastAsia"/>
                <w:bCs/>
                <w:iCs/>
                <w:sz w:val="24"/>
                <w:szCs w:val="24"/>
                <w:lang w:val="en-US" w:eastAsia="zh-CN"/>
              </w:rPr>
              <w:t>使用说明书</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bl>
    <w:p>
      <w:pPr>
        <w:rPr>
          <w:rFonts w:hint="eastAsia"/>
        </w:rPr>
      </w:pPr>
    </w:p>
    <w:p>
      <w:pPr>
        <w:numPr>
          <w:ilvl w:val="0"/>
          <w:numId w:val="0"/>
        </w:numPr>
        <w:autoSpaceDE w:val="0"/>
        <w:autoSpaceDN w:val="0"/>
        <w:spacing w:line="360" w:lineRule="auto"/>
        <w:jc w:val="both"/>
        <w:rPr>
          <w:rFonts w:ascii="仿宋" w:eastAsia="仿宋" w:hAnsi="仿宋" w:cs="仿宋" w:hint="default"/>
          <w:b/>
          <w:bCs/>
          <w:sz w:val="28"/>
          <w:szCs w:val="28"/>
          <w:highlight w:val="yellow"/>
        </w:rPr>
      </w:pPr>
      <w:r>
        <w:rPr>
          <w:rFonts w:ascii="仿宋" w:eastAsia="仿宋" w:hAnsi="仿宋" w:cs="仿宋" w:hint="eastAsia"/>
          <w:b/>
          <w:bCs/>
          <w:sz w:val="28"/>
          <w:szCs w:val="28"/>
          <w:highlight w:val="yellow"/>
          <w:lang w:val="en-US" w:eastAsia="zh-CN"/>
        </w:rPr>
        <w:t xml:space="preserve">包02-2 病人监护仪 4台 </w:t>
      </w:r>
    </w:p>
    <w:tbl>
      <w:tblPr>
        <w:tblStyle w:val="TableNormal"/>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00"/>
        <w:gridCol w:w="1224"/>
        <w:gridCol w:w="7236"/>
        <w:gridCol w:w="754"/>
      </w:tblGrid>
      <w:tr>
        <w:tblPrEx>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6"/>
          <w:jc w:val="center"/>
        </w:trPr>
        <w:tc>
          <w:tcPr>
            <w:tcW w:w="800"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rPr>
              <w:t>序号</w:t>
            </w:r>
          </w:p>
        </w:tc>
        <w:tc>
          <w:tcPr>
            <w:tcW w:w="1224"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rPr>
              <w:t>名称</w:t>
            </w:r>
          </w:p>
        </w:tc>
        <w:tc>
          <w:tcPr>
            <w:tcW w:w="7236"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rPr>
              <w:t>技术参数/要求</w:t>
            </w:r>
          </w:p>
        </w:tc>
        <w:tc>
          <w:tcPr>
            <w:tcW w:w="754"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rPr>
              <w:t>备注</w:t>
            </w:r>
          </w:p>
        </w:tc>
      </w:tr>
      <w:tr>
        <w:tblPrEx>
          <w:jc w:val="center"/>
          <w:tblInd w:w="-389" w:type="dxa"/>
          <w:tblLayout w:type="fixed"/>
          <w:tblCellMar>
            <w:top w:w="0" w:type="dxa"/>
            <w:left w:w="108" w:type="dxa"/>
            <w:bottom w:w="0" w:type="dxa"/>
            <w:right w:w="108" w:type="dxa"/>
          </w:tblCellMar>
          <w:tblLook w:val="0000"/>
        </w:tblPrEx>
        <w:trPr>
          <w:trHeight w:val="158"/>
          <w:jc w:val="center"/>
        </w:trPr>
        <w:tc>
          <w:tcPr>
            <w:tcW w:w="800" w:type="dxa"/>
            <w:vMerge w:val="restart"/>
            <w:vAlign w:val="center"/>
          </w:tcPr>
          <w:p>
            <w:pPr>
              <w:spacing w:line="240" w:lineRule="auto"/>
              <w:jc w:val="center"/>
              <w:rPr>
                <w:rFonts w:eastAsia="宋体" w:hint="default"/>
              </w:rPr>
            </w:pPr>
            <w:r>
              <w:rPr>
                <w:rFonts w:ascii="仿宋" w:eastAsia="仿宋" w:hAnsi="仿宋" w:cs="仿宋" w:hint="eastAsia"/>
                <w:sz w:val="24"/>
                <w:lang w:val="en-US" w:eastAsia="zh-CN"/>
              </w:rPr>
              <w:t>1</w:t>
            </w:r>
          </w:p>
        </w:tc>
        <w:tc>
          <w:tcPr>
            <w:tcW w:w="1224"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整机要求</w:t>
            </w:r>
          </w:p>
        </w:tc>
        <w:tc>
          <w:tcPr>
            <w:tcW w:w="7236"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1.1、一体化便携监护仪，整机无风扇设计，配置提手,方便移动；</w:t>
            </w:r>
          </w:p>
        </w:tc>
        <w:tc>
          <w:tcPr>
            <w:tcW w:w="754" w:type="dxa"/>
            <w:vAlign w:val="center"/>
          </w:tcPr>
          <w:p>
            <w:pPr>
              <w:spacing w:line="240" w:lineRule="auto"/>
              <w:rPr>
                <w:rFonts w:ascii="仿宋" w:eastAsia="仿宋" w:hAnsi="仿宋" w:cs="仿宋" w:hint="eastAsia"/>
                <w:color w:val="FF0000"/>
                <w:sz w:val="24"/>
              </w:rPr>
            </w:pPr>
          </w:p>
        </w:tc>
      </w:tr>
      <w:tr>
        <w:tblPrEx>
          <w:jc w:val="center"/>
          <w:tblInd w:w="-389" w:type="dxa"/>
          <w:tblLayout w:type="fixed"/>
          <w:tblCellMar>
            <w:top w:w="0" w:type="dxa"/>
            <w:left w:w="108" w:type="dxa"/>
            <w:bottom w:w="0" w:type="dxa"/>
            <w:right w:w="108" w:type="dxa"/>
          </w:tblCellMar>
          <w:tblLook w:val="0000"/>
        </w:tblPrEx>
        <w:trPr>
          <w:trHeight w:val="718"/>
          <w:jc w:val="center"/>
        </w:trPr>
        <w:tc>
          <w:tcPr>
            <w:tcW w:w="800" w:type="dxa"/>
            <w:vMerge/>
            <w:vAlign w:val="center"/>
          </w:tcPr>
          <w:p>
            <w:pPr>
              <w:spacing w:line="240" w:lineRule="auto"/>
              <w:jc w:val="center"/>
              <w:rPr>
                <w:rFonts w:ascii="仿宋" w:eastAsia="仿宋" w:hAnsi="仿宋" w:cs="仿宋" w:hint="default"/>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1.2、配备</w:t>
            </w:r>
            <w:r>
              <w:rPr>
                <w:rFonts w:ascii="仿宋" w:eastAsia="仿宋" w:hAnsi="仿宋" w:cs="仿宋" w:hint="eastAsia"/>
                <w:sz w:val="24"/>
                <w:lang w:val="en-US" w:eastAsia="zh-CN"/>
              </w:rPr>
              <w:t>≥</w:t>
            </w:r>
            <w:r>
              <w:rPr>
                <w:rFonts w:ascii="仿宋" w:eastAsia="仿宋" w:hAnsi="仿宋" w:cs="仿宋" w:hint="eastAsia"/>
                <w:sz w:val="24"/>
                <w:lang w:val="en-US" w:eastAsia="zh-CN"/>
              </w:rPr>
              <w:t>10.1英寸彩色液晶触摸屏，分辨率</w:t>
            </w:r>
            <w:r>
              <w:rPr>
                <w:rFonts w:ascii="仿宋" w:eastAsia="仿宋" w:hAnsi="仿宋" w:cs="仿宋" w:hint="eastAsia"/>
                <w:sz w:val="24"/>
                <w:lang w:val="en-US" w:eastAsia="zh-CN"/>
              </w:rPr>
              <w:t>≥</w:t>
            </w:r>
            <w:r>
              <w:rPr>
                <w:rFonts w:ascii="仿宋" w:eastAsia="仿宋" w:hAnsi="仿宋" w:cs="仿宋" w:hint="eastAsia"/>
                <w:sz w:val="24"/>
                <w:lang w:val="en-US" w:eastAsia="zh-CN"/>
              </w:rPr>
              <w:t>1280*800像素，</w:t>
            </w:r>
            <w:r>
              <w:rPr>
                <w:rFonts w:ascii="仿宋" w:eastAsia="仿宋" w:hAnsi="仿宋" w:cs="仿宋" w:hint="eastAsia"/>
                <w:sz w:val="24"/>
                <w:lang w:val="en-US" w:eastAsia="zh-CN"/>
              </w:rPr>
              <w:t>≥</w:t>
            </w:r>
            <w:r>
              <w:rPr>
                <w:rFonts w:ascii="仿宋" w:eastAsia="仿宋" w:hAnsi="仿宋" w:cs="仿宋" w:hint="eastAsia"/>
                <w:sz w:val="24"/>
                <w:lang w:val="en-US" w:eastAsia="zh-CN"/>
              </w:rPr>
              <w:t>8通道波形显示；</w:t>
            </w:r>
          </w:p>
        </w:tc>
        <w:tc>
          <w:tcPr>
            <w:tcW w:w="754" w:type="dxa"/>
            <w:vAlign w:val="center"/>
          </w:tcPr>
          <w:p>
            <w:pPr>
              <w:spacing w:line="240" w:lineRule="auto"/>
              <w:rPr>
                <w:rFonts w:ascii="仿宋" w:eastAsia="仿宋" w:hAnsi="仿宋" w:cs="仿宋" w:hint="eastAsia"/>
                <w:color w:val="FF0000"/>
                <w:sz w:val="24"/>
              </w:rPr>
            </w:pPr>
          </w:p>
        </w:tc>
      </w:tr>
      <w:tr>
        <w:tblPrEx>
          <w:jc w:val="center"/>
          <w:tblInd w:w="-389" w:type="dxa"/>
          <w:tblLayout w:type="fixed"/>
          <w:tblCellMar>
            <w:top w:w="0" w:type="dxa"/>
            <w:left w:w="108" w:type="dxa"/>
            <w:bottom w:w="0" w:type="dxa"/>
            <w:right w:w="108" w:type="dxa"/>
          </w:tblCellMar>
          <w:tblLook w:val="0000"/>
        </w:tblPrEx>
        <w:trPr>
          <w:trHeight w:val="215"/>
          <w:jc w:val="center"/>
        </w:trPr>
        <w:tc>
          <w:tcPr>
            <w:tcW w:w="800" w:type="dxa"/>
            <w:vMerge/>
            <w:vAlign w:val="center"/>
          </w:tcPr>
          <w:p>
            <w:pPr>
              <w:spacing w:line="240" w:lineRule="auto"/>
              <w:jc w:val="center"/>
              <w:rPr>
                <w:rFonts w:ascii="仿宋" w:eastAsia="仿宋" w:hAnsi="仿宋" w:cs="仿宋" w:hint="default"/>
                <w:bCs/>
                <w:iCs/>
                <w:sz w:val="24"/>
              </w:rPr>
            </w:pPr>
          </w:p>
        </w:tc>
        <w:tc>
          <w:tcPr>
            <w:tcW w:w="1224" w:type="dxa"/>
            <w:vMerge/>
            <w:vAlign w:val="center"/>
          </w:tcPr>
          <w:p>
            <w:pPr>
              <w:spacing w:line="240" w:lineRule="auto"/>
              <w:jc w:val="left"/>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1.3、显示屏幕采用电容屏非电阻屏并支持亮度自动调节；</w:t>
            </w:r>
          </w:p>
        </w:tc>
        <w:tc>
          <w:tcPr>
            <w:tcW w:w="754" w:type="dxa"/>
            <w:vAlign w:val="center"/>
          </w:tcPr>
          <w:p>
            <w:pPr>
              <w:spacing w:line="240" w:lineRule="auto"/>
              <w:rPr>
                <w:rFonts w:ascii="仿宋" w:eastAsia="仿宋" w:hAnsi="仿宋" w:cs="仿宋" w:hint="eastAsia"/>
                <w:color w:val="FF0000"/>
                <w:sz w:val="24"/>
              </w:rPr>
            </w:pPr>
          </w:p>
        </w:tc>
      </w:tr>
    </w:tbl>
    <w:p>
      <w:pPr>
        <w:sectPr>
          <w:headerReference w:type="default" r:id="rId22"/>
          <w:footerReference w:type="default" r:id="rId23"/>
          <w:type w:val="nextPage"/>
          <w:pgSz w:w="11906" w:h="16838"/>
          <w:pgMar w:top="1440" w:right="1800" w:bottom="1440" w:left="1800" w:header="851" w:footer="992" w:gutter="0"/>
          <w:pgNumType w:fmt="decimal" w:start="10"/>
          <w:cols w:space="708"/>
          <w:titlePg w:val="0"/>
          <w:docGrid w:type="lines" w:linePitch="312"/>
        </w:sectPr>
      </w:pPr>
    </w:p>
    <w:tbl>
      <w:tblPr>
        <w:tblStyle w:val="TableNormal"/>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00"/>
        <w:gridCol w:w="1224"/>
        <w:gridCol w:w="7236"/>
        <w:gridCol w:w="754"/>
      </w:tblGrid>
      <w:tr>
        <w:tblPrEx>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76"/>
          <w:jc w:val="center"/>
        </w:trPr>
        <w:tc>
          <w:tcPr>
            <w:tcW w:w="800" w:type="dxa"/>
            <w:vMerge w:val="restart"/>
            <w:vAlign w:val="center"/>
          </w:tcPr>
          <w:p>
            <w:pPr>
              <w:spacing w:line="240" w:lineRule="auto"/>
              <w:jc w:val="center"/>
              <w:rPr>
                <w:rFonts w:ascii="仿宋" w:eastAsia="仿宋" w:hAnsi="仿宋" w:cs="仿宋" w:hint="default"/>
                <w:bCs/>
                <w:iCs/>
                <w:sz w:val="24"/>
              </w:rPr>
            </w:pPr>
          </w:p>
        </w:tc>
        <w:tc>
          <w:tcPr>
            <w:tcW w:w="1224" w:type="dxa"/>
            <w:vMerge w:val="restart"/>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1.4、屏幕可倾斜10～15度，符合人机工程学，便于临床观察和操作；</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181"/>
          <w:jc w:val="center"/>
        </w:trPr>
        <w:tc>
          <w:tcPr>
            <w:tcW w:w="800" w:type="dxa"/>
            <w:vMerge/>
            <w:vAlign w:val="center"/>
          </w:tcPr>
          <w:p>
            <w:pPr>
              <w:spacing w:line="240" w:lineRule="auto"/>
              <w:jc w:val="center"/>
              <w:rPr>
                <w:rFonts w:ascii="仿宋" w:eastAsia="仿宋" w:hAnsi="仿宋" w:cs="仿宋" w:hint="default"/>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1.5、支持遥控器无线远程操作；</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603"/>
          <w:jc w:val="center"/>
        </w:trPr>
        <w:tc>
          <w:tcPr>
            <w:tcW w:w="800" w:type="dxa"/>
            <w:vMerge/>
            <w:vAlign w:val="center"/>
          </w:tcPr>
          <w:p>
            <w:pPr>
              <w:spacing w:line="240" w:lineRule="auto"/>
              <w:jc w:val="center"/>
              <w:rPr>
                <w:rFonts w:eastAsia="宋体" w:hint="default"/>
              </w:rPr>
            </w:pPr>
          </w:p>
        </w:tc>
        <w:tc>
          <w:tcPr>
            <w:tcW w:w="1224" w:type="dxa"/>
            <w:vMerge/>
            <w:vAlign w:val="center"/>
          </w:tcPr>
          <w:p>
            <w:pPr>
              <w:spacing w:line="240" w:lineRule="auto"/>
              <w:jc w:val="center"/>
            </w:pPr>
          </w:p>
        </w:tc>
        <w:tc>
          <w:tcPr>
            <w:tcW w:w="7236"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1.6、内置锂电池，插槽式设计，无需螺丝刀工具就可快速拆卸和安装；</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124"/>
          <w:jc w:val="center"/>
        </w:trPr>
        <w:tc>
          <w:tcPr>
            <w:tcW w:w="800" w:type="dxa"/>
            <w:vMerge/>
            <w:vAlign w:val="center"/>
          </w:tcPr>
          <w:p>
            <w:pPr>
              <w:spacing w:line="240" w:lineRule="auto"/>
              <w:jc w:val="center"/>
              <w:rPr>
                <w:rFonts w:eastAsia="宋体" w:hint="default"/>
              </w:rPr>
            </w:pPr>
          </w:p>
        </w:tc>
        <w:tc>
          <w:tcPr>
            <w:tcW w:w="1224" w:type="dxa"/>
            <w:vMerge/>
            <w:vAlign w:val="center"/>
          </w:tcPr>
          <w:p>
            <w:pPr>
              <w:spacing w:line="240" w:lineRule="auto"/>
              <w:jc w:val="center"/>
            </w:pPr>
          </w:p>
        </w:tc>
        <w:tc>
          <w:tcPr>
            <w:tcW w:w="7236"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1.7、安全规格：ECG, TEMP, IBP, SpO</w:t>
            </w:r>
            <w:r>
              <w:rPr>
                <w:rFonts w:ascii="仿宋" w:eastAsia="仿宋" w:hAnsi="仿宋" w:cs="仿宋" w:hint="eastAsia"/>
                <w:sz w:val="24"/>
                <w:vertAlign w:val="subscript"/>
                <w:lang w:val="en-US" w:eastAsia="zh-CN"/>
              </w:rPr>
              <w:t>2</w:t>
            </w:r>
            <w:r>
              <w:rPr>
                <w:rFonts w:ascii="仿宋" w:eastAsia="仿宋" w:hAnsi="仿宋" w:cs="仿宋" w:hint="eastAsia"/>
                <w:sz w:val="24"/>
                <w:lang w:val="en-US" w:eastAsia="zh-CN"/>
              </w:rPr>
              <w:t xml:space="preserve"> , NIBP监测参数抗电击程度为防除颤CF型；</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251"/>
          <w:jc w:val="center"/>
        </w:trPr>
        <w:tc>
          <w:tcPr>
            <w:tcW w:w="800" w:type="dxa"/>
            <w:vMerge/>
            <w:vAlign w:val="center"/>
          </w:tcPr>
          <w:p>
            <w:pPr>
              <w:spacing w:line="240" w:lineRule="auto"/>
              <w:jc w:val="center"/>
              <w:rPr>
                <w:rFonts w:eastAsia="宋体" w:hint="default"/>
              </w:rPr>
            </w:pPr>
          </w:p>
        </w:tc>
        <w:tc>
          <w:tcPr>
            <w:tcW w:w="1224" w:type="dxa"/>
            <w:vMerge/>
            <w:vAlign w:val="center"/>
          </w:tcPr>
          <w:p>
            <w:pPr>
              <w:spacing w:line="240" w:lineRule="auto"/>
              <w:jc w:val="center"/>
            </w:pPr>
          </w:p>
        </w:tc>
        <w:tc>
          <w:tcPr>
            <w:tcW w:w="7236"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1.8、使用年限</w:t>
            </w:r>
            <w:r>
              <w:rPr>
                <w:rFonts w:ascii="仿宋" w:eastAsia="仿宋" w:hAnsi="仿宋" w:cs="仿宋" w:hint="eastAsia"/>
                <w:sz w:val="24"/>
                <w:lang w:val="en-US" w:eastAsia="zh-CN"/>
              </w:rPr>
              <w:t>≥</w:t>
            </w:r>
            <w:r>
              <w:rPr>
                <w:rFonts w:ascii="仿宋" w:eastAsia="仿宋" w:hAnsi="仿宋" w:cs="仿宋" w:hint="eastAsia"/>
                <w:sz w:val="24"/>
                <w:lang w:val="en-US" w:eastAsia="zh-CN"/>
              </w:rPr>
              <w:t>8年；</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146"/>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1.9、清洁维护可使用的清洁剂</w:t>
            </w:r>
            <w:r>
              <w:rPr>
                <w:rFonts w:ascii="仿宋" w:eastAsia="仿宋" w:hAnsi="仿宋" w:cs="仿宋" w:hint="eastAsia"/>
                <w:sz w:val="24"/>
                <w:lang w:val="en-US" w:eastAsia="zh-CN"/>
              </w:rPr>
              <w:t>≥</w:t>
            </w:r>
            <w:r>
              <w:rPr>
                <w:rFonts w:ascii="仿宋" w:eastAsia="仿宋" w:hAnsi="仿宋" w:cs="仿宋" w:hint="eastAsia"/>
                <w:sz w:val="24"/>
                <w:lang w:val="en-US" w:eastAsia="zh-CN"/>
              </w:rPr>
              <w:t>40种；</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90"/>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1.10、防水等级</w:t>
            </w:r>
            <w:r>
              <w:rPr>
                <w:rFonts w:ascii="仿宋" w:eastAsia="仿宋" w:hAnsi="仿宋" w:cs="仿宋" w:hint="eastAsia"/>
                <w:sz w:val="24"/>
                <w:lang w:val="en-US" w:eastAsia="zh-CN"/>
              </w:rPr>
              <w:t>≥</w:t>
            </w:r>
            <w:r>
              <w:rPr>
                <w:rFonts w:ascii="仿宋" w:eastAsia="仿宋" w:hAnsi="仿宋" w:cs="仿宋" w:hint="eastAsia"/>
                <w:sz w:val="24"/>
                <w:lang w:val="en-US" w:eastAsia="zh-CN"/>
              </w:rPr>
              <w:t>IPX2；</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1.11、抗跌落设计：整机通过0.75米6面跌落测试。</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restart"/>
            <w:vAlign w:val="center"/>
          </w:tcPr>
          <w:p>
            <w:pPr>
              <w:spacing w:line="240" w:lineRule="auto"/>
              <w:jc w:val="center"/>
              <w:rPr>
                <w:rFonts w:eastAsia="宋体" w:hint="default"/>
              </w:rPr>
            </w:pPr>
            <w:r>
              <w:rPr>
                <w:rFonts w:ascii="仿宋" w:eastAsia="仿宋" w:hAnsi="仿宋" w:cs="仿宋" w:hint="eastAsia"/>
                <w:bCs/>
                <w:iCs/>
                <w:sz w:val="24"/>
                <w:szCs w:val="24"/>
                <w:lang w:val="en-US" w:eastAsia="zh-CN"/>
              </w:rPr>
              <w:t>2</w:t>
            </w:r>
          </w:p>
        </w:tc>
        <w:tc>
          <w:tcPr>
            <w:tcW w:w="1224" w:type="dxa"/>
            <w:vMerge w:val="restart"/>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监测参数</w:t>
            </w: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2.1、配置3/5导心电，呼吸，无创血压，血氧饱和度，脉搏和双通道体温参数监测；</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2.2、心电监护支持心率，ST段测量，心律失常分析，QT/QTc连续实时测量和对应报警功能；</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w:t>
            </w:r>
            <w:r>
              <w:rPr>
                <w:rFonts w:ascii="仿宋" w:eastAsia="仿宋" w:hAnsi="仿宋" w:cs="仿宋" w:hint="eastAsia"/>
                <w:bCs/>
                <w:iCs/>
                <w:sz w:val="24"/>
                <w:szCs w:val="24"/>
                <w:lang w:val="en-US" w:eastAsia="zh-CN"/>
              </w:rPr>
              <w:t>2.3、心电算法通过AHA/MIT-BIH数据库验证；</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2.4、心电波形扫描速度至少支持6.25mm/s、12.5 mm/s、25 mm/s和50 mm/s；</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2.5、可提供窗口支持心脏下壁，侧壁和前壁对应多个ST片段的同屏实时显示，提供参考片段和实时片段的对比查看；</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2.6、支持</w:t>
            </w:r>
            <w:r>
              <w:rPr>
                <w:rFonts w:ascii="仿宋" w:eastAsia="仿宋" w:hAnsi="仿宋" w:cs="仿宋" w:hint="eastAsia"/>
                <w:bCs/>
                <w:iCs/>
                <w:sz w:val="24"/>
                <w:szCs w:val="24"/>
                <w:lang w:val="en-US" w:eastAsia="zh-CN"/>
              </w:rPr>
              <w:t>≥</w:t>
            </w:r>
            <w:r>
              <w:rPr>
                <w:rFonts w:ascii="仿宋" w:eastAsia="仿宋" w:hAnsi="仿宋" w:cs="仿宋" w:hint="eastAsia"/>
                <w:bCs/>
                <w:iCs/>
                <w:sz w:val="24"/>
                <w:szCs w:val="24"/>
                <w:lang w:val="en-US" w:eastAsia="zh-CN"/>
              </w:rPr>
              <w:t>20种心律失常分析,包括房颤分析；</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2.7、QT和QTc实时监测参数测量范围：200～800 ms；</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2.8、支持升级提供过去24小时心电概览报告查看与打印，包括心率统计结果，心律失常统计结果，ST统计和QT/QTc统计结果；</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2.9、支持SpO</w:t>
            </w:r>
            <w:r>
              <w:rPr>
                <w:rFonts w:ascii="仿宋" w:eastAsia="仿宋" w:hAnsi="仿宋" w:cs="仿宋" w:hint="eastAsia"/>
                <w:bCs/>
                <w:iCs/>
                <w:sz w:val="24"/>
                <w:szCs w:val="24"/>
                <w:vertAlign w:val="subscript"/>
                <w:lang w:val="en-US" w:eastAsia="zh-CN"/>
              </w:rPr>
              <w:t>2</w:t>
            </w:r>
            <w:r>
              <w:rPr>
                <w:rFonts w:ascii="仿宋" w:eastAsia="仿宋" w:hAnsi="仿宋" w:cs="仿宋" w:hint="eastAsia"/>
                <w:bCs/>
                <w:iCs/>
                <w:sz w:val="24"/>
                <w:szCs w:val="24"/>
                <w:lang w:val="en-US" w:eastAsia="zh-CN"/>
              </w:rPr>
              <w:t>,PR和PI参数的实时监测，适用于成人，小儿和新生儿；</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w:t>
            </w:r>
            <w:r>
              <w:rPr>
                <w:rFonts w:ascii="仿宋" w:eastAsia="仿宋" w:hAnsi="仿宋" w:cs="仿宋" w:hint="eastAsia"/>
                <w:bCs/>
                <w:iCs/>
                <w:sz w:val="24"/>
                <w:szCs w:val="24"/>
                <w:lang w:val="en-US" w:eastAsia="zh-CN"/>
              </w:rPr>
              <w:t>2.10、支持指套式血氧探头，IPX7防水等级，支持液体浸泡消毒和清洁；</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2.11、配置无创血压测量，适用于成人、小儿和新生儿；</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2.12、支持手动，自动，连续和序列4种测量模式，并提供24小时血压统计结果，满足临床应用；</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2.13、无创血压成人测量范围：收缩压：25～290mmHg，舒张压：10～250mmHg，平均压：15～260mmHg；</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2.14、支持辅助静脉穿刺功能；</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eastAsia="宋体" w:hint="eastAsia"/>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2.15、支持双通道体温和温差参数的监测, 并可根据需要更改体温通道标名。</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restart"/>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3</w:t>
            </w:r>
          </w:p>
        </w:tc>
        <w:tc>
          <w:tcPr>
            <w:tcW w:w="1224" w:type="dxa"/>
            <w:vMerge w:val="restart"/>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系统功能</w:t>
            </w: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w:t>
            </w:r>
            <w:r>
              <w:rPr>
                <w:rFonts w:ascii="仿宋" w:eastAsia="仿宋" w:hAnsi="仿宋" w:cs="仿宋" w:hint="eastAsia"/>
                <w:bCs/>
                <w:iCs/>
                <w:sz w:val="24"/>
                <w:szCs w:val="24"/>
                <w:lang w:val="en-US" w:eastAsia="zh-CN"/>
              </w:rPr>
              <w:t>3.1、支持所有监测参数报警限一键自动设置功能，满足医护团队快速管理患者报警需求，用户手册提供报警限自动设置规则；</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3.2、支持肾功能计算功能；</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3.3、支持图形化技术报警指示功能，帮助临床快速识别报警来源；</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3.4、支持</w:t>
            </w:r>
            <w:r>
              <w:rPr>
                <w:rFonts w:ascii="仿宋" w:eastAsia="仿宋" w:hAnsi="仿宋" w:cs="仿宋" w:hint="eastAsia"/>
                <w:bCs/>
                <w:iCs/>
                <w:sz w:val="24"/>
                <w:szCs w:val="24"/>
                <w:lang w:val="en-US" w:eastAsia="zh-CN"/>
              </w:rPr>
              <w:t>≥</w:t>
            </w:r>
            <w:r>
              <w:rPr>
                <w:rFonts w:ascii="仿宋" w:eastAsia="仿宋" w:hAnsi="仿宋" w:cs="仿宋" w:hint="eastAsia"/>
                <w:bCs/>
                <w:iCs/>
                <w:sz w:val="24"/>
                <w:szCs w:val="24"/>
                <w:lang w:val="en-US" w:eastAsia="zh-CN"/>
              </w:rPr>
              <w:t>120小时趋势图和趋势表回顾，支持选择不同趋势组回顾；</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after="0"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3.5、支持</w:t>
            </w:r>
            <w:r>
              <w:rPr>
                <w:rFonts w:ascii="仿宋" w:eastAsia="仿宋" w:hAnsi="仿宋" w:cs="仿宋" w:hint="eastAsia"/>
                <w:bCs/>
                <w:iCs/>
                <w:sz w:val="24"/>
                <w:szCs w:val="24"/>
                <w:lang w:val="en-US" w:eastAsia="zh-CN"/>
              </w:rPr>
              <w:t>≥</w:t>
            </w:r>
          </w:p>
        </w:tc>
        <w:tc>
          <w:tcPr>
            <w:tcW w:w="754" w:type="dxa"/>
            <w:vAlign w:val="center"/>
          </w:tcPr>
          <w:p>
            <w:pPr>
              <w:spacing w:line="240" w:lineRule="auto"/>
              <w:jc w:val="left"/>
              <w:rPr>
                <w:rFonts w:ascii="仿宋" w:eastAsia="仿宋" w:hAnsi="仿宋" w:cs="仿宋" w:hint="eastAsia"/>
                <w:bCs/>
                <w:iCs/>
                <w:sz w:val="24"/>
              </w:rPr>
            </w:pPr>
          </w:p>
        </w:tc>
      </w:tr>
    </w:tbl>
    <w:p>
      <w:pPr>
        <w:sectPr>
          <w:headerReference w:type="default" r:id="rId24"/>
          <w:footerReference w:type="default" r:id="rId25"/>
          <w:type w:val="nextPage"/>
          <w:pgSz w:w="11906" w:h="16838"/>
          <w:pgMar w:top="1440" w:right="1800" w:bottom="1440" w:left="1800" w:header="851" w:footer="992" w:gutter="0"/>
          <w:pgNumType w:fmt="decimal" w:start="11"/>
          <w:cols w:space="708"/>
          <w:titlePg w:val="0"/>
          <w:docGrid w:type="lines" w:linePitch="312"/>
        </w:sectPr>
      </w:pPr>
    </w:p>
    <w:tbl>
      <w:tblPr>
        <w:tblStyle w:val="TableNormal"/>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00"/>
        <w:gridCol w:w="1224"/>
        <w:gridCol w:w="7236"/>
        <w:gridCol w:w="754"/>
      </w:tblGrid>
      <w:tr>
        <w:tblPrEx>
          <w:jc w:val="center"/>
          <w:tblInd w:w="-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8"/>
          <w:jc w:val="center"/>
        </w:trPr>
        <w:tc>
          <w:tcPr>
            <w:tcW w:w="800" w:type="dxa"/>
            <w:vMerge w:val="restart"/>
            <w:vAlign w:val="center"/>
          </w:tcPr>
          <w:p/>
        </w:tc>
        <w:tc>
          <w:tcPr>
            <w:tcW w:w="1224" w:type="dxa"/>
            <w:vMerge w:val="restart"/>
            <w:vAlign w:val="center"/>
          </w:tcPr>
          <w:p/>
        </w:tc>
        <w:tc>
          <w:tcPr>
            <w:tcW w:w="7236" w:type="dxa"/>
            <w:vAlign w:val="center"/>
          </w:tcPr>
          <w:p>
            <w:pPr>
              <w:spacing w:before="0"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1000条事件回顾。每条报警事件至少能够存储32秒三道相关波形，以及报警触发时所有测量参数值；</w:t>
            </w:r>
          </w:p>
        </w:tc>
        <w:tc>
          <w:tcPr>
            <w:tcW w:w="754" w:type="dxa"/>
            <w:vAlign w:val="center"/>
          </w:tc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3.6、</w:t>
            </w:r>
            <w:r>
              <w:rPr>
                <w:rFonts w:ascii="仿宋" w:eastAsia="仿宋" w:hAnsi="仿宋" w:cs="仿宋" w:hint="eastAsia"/>
                <w:bCs/>
                <w:iCs/>
                <w:sz w:val="24"/>
                <w:szCs w:val="24"/>
                <w:lang w:val="en-US" w:eastAsia="zh-CN"/>
              </w:rPr>
              <w:t>≥</w:t>
            </w:r>
            <w:r>
              <w:rPr>
                <w:rFonts w:ascii="仿宋" w:eastAsia="仿宋" w:hAnsi="仿宋" w:cs="仿宋" w:hint="eastAsia"/>
                <w:bCs/>
                <w:iCs/>
                <w:sz w:val="24"/>
                <w:szCs w:val="24"/>
                <w:lang w:val="en-US" w:eastAsia="zh-CN"/>
              </w:rPr>
              <w:t>1000组NIBP测量结果；</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3.7、</w:t>
            </w:r>
            <w:r>
              <w:rPr>
                <w:rFonts w:ascii="仿宋" w:eastAsia="仿宋" w:hAnsi="仿宋" w:cs="仿宋" w:hint="eastAsia"/>
                <w:bCs/>
                <w:iCs/>
                <w:sz w:val="24"/>
                <w:szCs w:val="24"/>
                <w:lang w:val="en-US" w:eastAsia="zh-CN"/>
              </w:rPr>
              <w:t>≥</w:t>
            </w:r>
            <w:r>
              <w:rPr>
                <w:rFonts w:ascii="仿宋" w:eastAsia="仿宋" w:hAnsi="仿宋" w:cs="仿宋" w:hint="eastAsia"/>
                <w:bCs/>
                <w:iCs/>
                <w:sz w:val="24"/>
                <w:szCs w:val="24"/>
                <w:lang w:val="en-US" w:eastAsia="zh-CN"/>
              </w:rPr>
              <w:t>120小时（分辨率1分钟）ST模板存储与回顾；</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3.8、具备48小时全息波形的存储与回顾功能；</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3.9、具备监护仪历史病人数据的存储和回顾，并支持通过USB接口将历史病人数据导出到U盘；</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3.10、支持RJ45接口进行有线网络通信，和除颤监护仪一起联网通信到中心监护系统；</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3.11、支持监护仪进入夜间模式，隐私模式，演示模式和待机模式；</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3.12、可升级配置临床评分系统，如MEWS（改良早期预警评分）、NEWS（英国早期预警评分），可支持定时自动EWS评分功能；</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3.13、提供心肌缺血评估工具，可以快速查看ST值的变化；</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w:t>
            </w:r>
            <w:r>
              <w:rPr>
                <w:rFonts w:ascii="仿宋" w:eastAsia="仿宋" w:hAnsi="仿宋" w:cs="仿宋" w:hint="eastAsia"/>
                <w:bCs/>
                <w:iCs/>
                <w:sz w:val="24"/>
                <w:szCs w:val="24"/>
                <w:lang w:val="en-US" w:eastAsia="zh-CN"/>
              </w:rPr>
              <w:t>3.14、提供计时器功能，界面区提供设置</w:t>
            </w:r>
            <w:r>
              <w:rPr>
                <w:rFonts w:ascii="仿宋" w:eastAsia="仿宋" w:hAnsi="仿宋" w:cs="仿宋" w:hint="eastAsia"/>
                <w:bCs/>
                <w:iCs/>
                <w:sz w:val="24"/>
                <w:szCs w:val="24"/>
                <w:lang w:val="en-US" w:eastAsia="zh-CN"/>
              </w:rPr>
              <w:t>≥</w:t>
            </w:r>
            <w:r>
              <w:rPr>
                <w:rFonts w:ascii="仿宋" w:eastAsia="仿宋" w:hAnsi="仿宋" w:cs="仿宋" w:hint="eastAsia"/>
                <w:bCs/>
                <w:iCs/>
                <w:sz w:val="24"/>
                <w:szCs w:val="24"/>
                <w:lang w:val="en-US" w:eastAsia="zh-CN"/>
              </w:rPr>
              <w:t>4个计时器，每个计时器支持独立设置和计时功能，计时方向包括正计时和倒计时两种选择；</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3.15、支持格拉斯哥昏迷评分（GCS）功能；</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3.16、动态趋势界面可支持统计1～24小时心律失常报警、参数超限报警信息，并对超限报警区间的波形进行高亮显示，帮助医护人员快速识别异常趋势信息；</w:t>
            </w:r>
          </w:p>
        </w:tc>
        <w:tc>
          <w:tcPr>
            <w:tcW w:w="754" w:type="dxa"/>
            <w:vAlign w:val="center"/>
          </w:tcPr>
          <w:p>
            <w:pPr>
              <w:spacing w:line="240" w:lineRule="auto"/>
              <w:jc w:val="left"/>
              <w:rPr>
                <w:rFonts w:ascii="仿宋" w:eastAsia="仿宋" w:hAnsi="仿宋" w:cs="仿宋" w:hint="eastAsia"/>
                <w:bCs/>
                <w:iCs/>
                <w:sz w:val="24"/>
              </w:rPr>
            </w:pPr>
          </w:p>
        </w:tc>
      </w:tr>
      <w:tr>
        <w:tblPrEx>
          <w:jc w:val="center"/>
          <w:tblInd w:w="-389" w:type="dxa"/>
          <w:tblLayout w:type="fixed"/>
          <w:tblCellMar>
            <w:top w:w="0" w:type="dxa"/>
            <w:left w:w="108" w:type="dxa"/>
            <w:bottom w:w="0" w:type="dxa"/>
            <w:right w:w="108" w:type="dxa"/>
          </w:tblCellMar>
          <w:tblLook w:val="0000"/>
        </w:tblPrEx>
        <w:trPr>
          <w:trHeight w:val="78"/>
          <w:jc w:val="center"/>
        </w:trPr>
        <w:tc>
          <w:tcPr>
            <w:tcW w:w="800" w:type="dxa"/>
            <w:vMerge/>
            <w:vAlign w:val="center"/>
          </w:tcPr>
          <w:p>
            <w:pPr>
              <w:spacing w:line="240" w:lineRule="auto"/>
              <w:jc w:val="center"/>
              <w:rPr>
                <w:rFonts w:ascii="仿宋" w:eastAsia="仿宋" w:hAnsi="仿宋" w:cs="仿宋" w:hint="eastAsia"/>
                <w:bCs/>
                <w:iCs/>
                <w:sz w:val="24"/>
              </w:rPr>
            </w:pPr>
          </w:p>
        </w:tc>
        <w:tc>
          <w:tcPr>
            <w:tcW w:w="1224" w:type="dxa"/>
            <w:vMerge/>
            <w:vAlign w:val="center"/>
          </w:tcPr>
          <w:p>
            <w:pPr>
              <w:spacing w:line="240" w:lineRule="auto"/>
              <w:jc w:val="center"/>
              <w:rPr>
                <w:rFonts w:ascii="仿宋" w:eastAsia="仿宋" w:hAnsi="仿宋" w:cs="仿宋" w:hint="eastAsia"/>
                <w:bCs/>
                <w:iCs/>
                <w:sz w:val="24"/>
              </w:rPr>
            </w:pPr>
          </w:p>
        </w:tc>
        <w:tc>
          <w:tcPr>
            <w:tcW w:w="7236" w:type="dxa"/>
            <w:vAlign w:val="center"/>
          </w:tcPr>
          <w:p>
            <w:pPr>
              <w:spacing w:line="240" w:lineRule="auto"/>
              <w:jc w:val="left"/>
              <w:rPr>
                <w:rFonts w:ascii="仿宋" w:eastAsia="仿宋" w:hAnsi="仿宋" w:cs="仿宋" w:hint="eastAsia"/>
                <w:bCs/>
                <w:iCs/>
                <w:sz w:val="24"/>
              </w:rPr>
            </w:pPr>
            <w:r>
              <w:rPr>
                <w:rFonts w:ascii="仿宋" w:eastAsia="仿宋" w:hAnsi="仿宋" w:cs="仿宋" w:hint="eastAsia"/>
                <w:bCs/>
                <w:iCs/>
                <w:sz w:val="24"/>
                <w:szCs w:val="24"/>
                <w:lang w:val="en-US" w:eastAsia="zh-CN"/>
              </w:rPr>
              <w:t>3.17、支持屏幕截图功能，将屏幕截图通过USB接口导出到U盘。</w:t>
            </w:r>
          </w:p>
        </w:tc>
        <w:tc>
          <w:tcPr>
            <w:tcW w:w="754" w:type="dxa"/>
            <w:vAlign w:val="center"/>
          </w:tcPr>
          <w:p>
            <w:pPr>
              <w:spacing w:line="240" w:lineRule="auto"/>
              <w:jc w:val="left"/>
              <w:rPr>
                <w:rFonts w:ascii="仿宋" w:eastAsia="仿宋" w:hAnsi="仿宋" w:cs="仿宋" w:hint="eastAsia"/>
                <w:bCs/>
                <w:iCs/>
                <w:sz w:val="24"/>
              </w:rPr>
            </w:pPr>
          </w:p>
        </w:tc>
      </w:tr>
    </w:tbl>
    <w:p>
      <w:pPr>
        <w:spacing w:line="240" w:lineRule="auto"/>
        <w:jc w:val="center"/>
        <w:rPr>
          <w:rFonts w:ascii="仿宋" w:eastAsia="仿宋" w:hAnsi="仿宋" w:cs="仿宋" w:hint="eastAsia"/>
          <w:bCs/>
          <w:iCs/>
          <w:sz w:val="24"/>
        </w:rPr>
      </w:pPr>
    </w:p>
    <w:p>
      <w:pPr>
        <w:spacing w:line="240" w:lineRule="auto"/>
        <w:jc w:val="center"/>
        <w:rPr>
          <w:rFonts w:ascii="仿宋" w:eastAsia="仿宋" w:hAnsi="仿宋" w:cs="仿宋" w:hint="eastAsia"/>
          <w:bCs/>
          <w:iCs/>
          <w:sz w:val="24"/>
        </w:rPr>
      </w:pPr>
    </w:p>
    <w:tbl>
      <w:tblPr>
        <w:tblStyle w:val="TableNormal"/>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0"/>
        <w:gridCol w:w="3935"/>
        <w:gridCol w:w="1486"/>
        <w:gridCol w:w="1323"/>
        <w:gridCol w:w="2482"/>
      </w:tblGrid>
      <w:tr>
        <w:tblPrEx>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3"/>
          <w:jc w:val="center"/>
        </w:trPr>
        <w:tc>
          <w:tcPr>
            <w:tcW w:w="10066" w:type="dxa"/>
            <w:gridSpan w:val="5"/>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color w:val="auto"/>
                <w:sz w:val="24"/>
              </w:rPr>
            </w:pPr>
            <w:r>
              <w:rPr>
                <w:rFonts w:ascii="仿宋" w:eastAsia="仿宋" w:hAnsi="仿宋" w:cs="仿宋" w:hint="eastAsia"/>
                <w:b/>
                <w:color w:val="auto"/>
                <w:sz w:val="24"/>
                <w:highlight w:val="yellow"/>
                <w:lang w:val="en-US" w:eastAsia="zh-CN"/>
              </w:rPr>
              <w:t>病人监护仪</w:t>
            </w:r>
            <w:r>
              <w:rPr>
                <w:rFonts w:ascii="仿宋" w:eastAsia="仿宋" w:hAnsi="仿宋" w:cs="仿宋" w:hint="eastAsia"/>
                <w:b/>
                <w:color w:val="auto"/>
                <w:sz w:val="24"/>
                <w:highlight w:val="yellow"/>
              </w:rPr>
              <w:t>配置清单</w:t>
            </w:r>
            <w:r>
              <w:rPr>
                <w:rFonts w:ascii="仿宋" w:eastAsia="仿宋" w:hAnsi="仿宋" w:cs="仿宋" w:hint="eastAsia"/>
                <w:b/>
                <w:color w:val="auto"/>
                <w:sz w:val="24"/>
                <w:highlight w:val="yellow"/>
                <w:lang w:val="en-US" w:eastAsia="zh-CN"/>
              </w:rPr>
              <w:t>(4台)</w:t>
            </w:r>
          </w:p>
        </w:tc>
      </w:tr>
      <w:tr>
        <w:tblPrEx>
          <w:jc w:val="center"/>
          <w:tblInd w:w="-419" w:type="dxa"/>
          <w:tblLayout w:type="fixed"/>
          <w:tblCellMar>
            <w:top w:w="0" w:type="dxa"/>
            <w:left w:w="108" w:type="dxa"/>
            <w:bottom w:w="0" w:type="dxa"/>
            <w:right w:w="108" w:type="dxa"/>
          </w:tblCellMar>
          <w:tblLook w:val="0000"/>
        </w:tblPrEx>
        <w:trPr>
          <w:trHeight w:val="339"/>
          <w:jc w:val="center"/>
        </w:trPr>
        <w:tc>
          <w:tcPr>
            <w:tcW w:w="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序号</w:t>
            </w:r>
          </w:p>
        </w:tc>
        <w:tc>
          <w:tcPr>
            <w:tcW w:w="39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产品名称</w:t>
            </w:r>
          </w:p>
        </w:tc>
        <w:tc>
          <w:tcPr>
            <w:tcW w:w="148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单位</w:t>
            </w:r>
          </w:p>
        </w:tc>
        <w:tc>
          <w:tcPr>
            <w:tcW w:w="1323"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数量</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备注</w:t>
            </w:r>
          </w:p>
        </w:tc>
      </w:tr>
      <w:tr>
        <w:tblPrEx>
          <w:jc w:val="center"/>
          <w:tblInd w:w="-419" w:type="dxa"/>
          <w:tblLayout w:type="fixed"/>
          <w:tblCellMar>
            <w:top w:w="0" w:type="dxa"/>
            <w:left w:w="108" w:type="dxa"/>
            <w:bottom w:w="0" w:type="dxa"/>
            <w:right w:w="108" w:type="dxa"/>
          </w:tblCellMar>
          <w:tblLook w:val="0000"/>
        </w:tblPrEx>
        <w:trPr>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1</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主机</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台</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4</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5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心电导联线</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4</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4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3</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心电电极5片装</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4</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7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4</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lang w:val="fr-FR"/>
              </w:rPr>
            </w:pPr>
            <w:r>
              <w:rPr>
                <w:rFonts w:ascii="仿宋" w:eastAsia="仿宋" w:hAnsi="仿宋" w:cs="仿宋" w:hint="eastAsia"/>
                <w:bCs/>
                <w:iCs/>
                <w:sz w:val="24"/>
                <w:szCs w:val="24"/>
                <w:lang w:val="en-US" w:eastAsia="zh-CN"/>
              </w:rPr>
              <w:t>血氧电缆</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4</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31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5</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lang w:val="fr-FR"/>
              </w:rPr>
            </w:pPr>
            <w:r>
              <w:rPr>
                <w:rFonts w:ascii="仿宋" w:eastAsia="仿宋" w:hAnsi="仿宋" w:cs="仿宋" w:hint="eastAsia"/>
                <w:bCs/>
                <w:iCs/>
                <w:sz w:val="24"/>
                <w:szCs w:val="24"/>
                <w:lang w:val="en-US" w:eastAsia="zh-CN"/>
              </w:rPr>
              <w:t>重复用血氧传感器</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个</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4</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8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6</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lang w:val="fr-FR"/>
              </w:rPr>
            </w:pPr>
            <w:r>
              <w:rPr>
                <w:rFonts w:ascii="仿宋" w:eastAsia="仿宋" w:hAnsi="仿宋" w:cs="仿宋" w:hint="eastAsia"/>
                <w:bCs/>
                <w:iCs/>
                <w:sz w:val="24"/>
                <w:szCs w:val="24"/>
                <w:lang w:val="en-US" w:eastAsia="zh-CN"/>
              </w:rPr>
              <w:t>无创血压导气管</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根</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4</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8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7</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无创血压袖套</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4</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8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8</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锂电池</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块</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4</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8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9</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三芯电源线</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根</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4</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8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10</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使用说明书</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本</w:t>
            </w:r>
          </w:p>
        </w:tc>
        <w:tc>
          <w:tcPr>
            <w:tcW w:w="1323"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4</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bl>
    <w:p>
      <w:pPr>
        <w:spacing w:line="240" w:lineRule="auto"/>
        <w:jc w:val="center"/>
        <w:rPr>
          <w:rFonts w:eastAsia="宋体" w:hint="default"/>
        </w:rPr>
      </w:pPr>
    </w:p>
    <w:p>
      <w:pPr>
        <w:numPr>
          <w:ilvl w:val="0"/>
          <w:numId w:val="0"/>
        </w:numPr>
        <w:autoSpaceDE w:val="0"/>
        <w:autoSpaceDN w:val="0"/>
        <w:spacing w:line="360" w:lineRule="auto"/>
        <w:jc w:val="both"/>
        <w:rPr>
          <w:rFonts w:ascii="仿宋" w:eastAsia="仿宋" w:hAnsi="仿宋" w:cs="仿宋" w:hint="default"/>
          <w:b/>
          <w:bCs/>
          <w:sz w:val="28"/>
          <w:szCs w:val="28"/>
          <w:highlight w:val="yellow"/>
        </w:rPr>
      </w:pPr>
      <w:r>
        <w:rPr>
          <w:rFonts w:ascii="仿宋" w:eastAsia="仿宋" w:hAnsi="仿宋" w:cs="仿宋" w:hint="eastAsia"/>
          <w:b/>
          <w:bCs/>
          <w:sz w:val="28"/>
          <w:szCs w:val="28"/>
          <w:highlight w:val="yellow"/>
          <w:lang w:val="en-US" w:eastAsia="zh-CN"/>
        </w:rPr>
        <w:t xml:space="preserve">包3  数字式十二导心电图机 2台 </w:t>
      </w:r>
    </w:p>
    <w:tbl>
      <w:tblPr>
        <w:tblStyle w:val="TableNormal"/>
        <w:jc w:val="center"/>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04"/>
        <w:gridCol w:w="1218"/>
        <w:gridCol w:w="7145"/>
        <w:gridCol w:w="885"/>
      </w:tblGrid>
      <w:tr>
        <w:tblPrEx>
          <w:jc w:val="center"/>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804" w:type="dxa"/>
          </w:tcPr>
          <w:p>
            <w:pPr>
              <w:spacing w:line="360" w:lineRule="auto"/>
              <w:jc w:val="center"/>
              <w:rPr>
                <w:rFonts w:ascii="仿宋" w:eastAsia="仿宋" w:hAnsi="仿宋" w:cs="仿宋" w:hint="eastAsia"/>
                <w:sz w:val="24"/>
              </w:rPr>
            </w:pPr>
            <w:r>
              <w:rPr>
                <w:rFonts w:ascii="仿宋" w:eastAsia="仿宋" w:hAnsi="仿宋" w:cs="仿宋" w:hint="eastAsia"/>
                <w:sz w:val="24"/>
              </w:rPr>
              <w:t>序号</w:t>
            </w:r>
          </w:p>
        </w:tc>
        <w:tc>
          <w:tcPr>
            <w:tcW w:w="1218" w:type="dxa"/>
          </w:tcPr>
          <w:p>
            <w:pPr>
              <w:spacing w:line="360" w:lineRule="auto"/>
              <w:jc w:val="center"/>
              <w:rPr>
                <w:rFonts w:ascii="仿宋" w:eastAsia="仿宋" w:hAnsi="仿宋" w:cs="仿宋" w:hint="eastAsia"/>
                <w:sz w:val="24"/>
              </w:rPr>
            </w:pPr>
            <w:r>
              <w:rPr>
                <w:rFonts w:ascii="仿宋" w:eastAsia="仿宋" w:hAnsi="仿宋" w:cs="仿宋" w:hint="eastAsia"/>
                <w:sz w:val="24"/>
              </w:rPr>
              <w:t>名称</w:t>
            </w:r>
          </w:p>
        </w:tc>
        <w:tc>
          <w:tcPr>
            <w:tcW w:w="7145" w:type="dxa"/>
          </w:tcPr>
          <w:p>
            <w:pPr>
              <w:spacing w:line="360" w:lineRule="auto"/>
              <w:jc w:val="center"/>
              <w:rPr>
                <w:rFonts w:ascii="仿宋" w:eastAsia="仿宋" w:hAnsi="仿宋" w:cs="仿宋" w:hint="eastAsia"/>
                <w:sz w:val="24"/>
              </w:rPr>
            </w:pPr>
            <w:r>
              <w:rPr>
                <w:rFonts w:ascii="仿宋" w:eastAsia="仿宋" w:hAnsi="仿宋" w:cs="仿宋" w:hint="eastAsia"/>
                <w:sz w:val="24"/>
              </w:rPr>
              <w:t>技术参数/要求</w:t>
            </w:r>
          </w:p>
        </w:tc>
        <w:tc>
          <w:tcPr>
            <w:tcW w:w="885" w:type="dxa"/>
          </w:tcPr>
          <w:p>
            <w:pPr>
              <w:spacing w:line="360" w:lineRule="auto"/>
              <w:jc w:val="center"/>
              <w:rPr>
                <w:rFonts w:ascii="仿宋" w:eastAsia="仿宋" w:hAnsi="仿宋" w:cs="仿宋" w:hint="eastAsia"/>
                <w:sz w:val="24"/>
              </w:rPr>
            </w:pPr>
            <w:r>
              <w:rPr>
                <w:rFonts w:ascii="仿宋" w:eastAsia="仿宋" w:hAnsi="仿宋" w:cs="仿宋" w:hint="eastAsia"/>
                <w:sz w:val="24"/>
              </w:rPr>
              <w:t>备注</w:t>
            </w:r>
          </w:p>
        </w:tc>
      </w:tr>
      <w:tr>
        <w:tblPrEx>
          <w:jc w:val="center"/>
          <w:tblInd w:w="-140" w:type="dxa"/>
          <w:tblLayout w:type="fixed"/>
          <w:tblCellMar>
            <w:top w:w="0" w:type="dxa"/>
            <w:left w:w="108" w:type="dxa"/>
            <w:bottom w:w="0" w:type="dxa"/>
            <w:right w:w="108" w:type="dxa"/>
          </w:tblCellMar>
          <w:tblLook w:val="0000"/>
        </w:tblPrEx>
        <w:trPr>
          <w:jc w:val="center"/>
        </w:trPr>
        <w:tc>
          <w:tcPr>
            <w:tcW w:w="804" w:type="dxa"/>
            <w:vAlign w:val="center"/>
          </w:tcPr>
          <w:p>
            <w:pPr>
              <w:spacing w:line="360" w:lineRule="auto"/>
              <w:jc w:val="center"/>
              <w:rPr>
                <w:rFonts w:ascii="仿宋" w:eastAsia="仿宋" w:hAnsi="仿宋" w:cs="仿宋" w:hint="eastAsia"/>
                <w:sz w:val="24"/>
              </w:rPr>
            </w:pPr>
            <w:r>
              <w:rPr>
                <w:rFonts w:ascii="仿宋" w:eastAsia="仿宋" w:hAnsi="仿宋" w:cs="仿宋" w:hint="eastAsia"/>
                <w:sz w:val="24"/>
                <w:lang w:val="en-US" w:eastAsia="zh-CN"/>
              </w:rPr>
              <w:t>1</w:t>
            </w:r>
          </w:p>
        </w:tc>
        <w:tc>
          <w:tcPr>
            <w:tcW w:w="1218" w:type="dxa"/>
            <w:vAlign w:val="center"/>
          </w:tcPr>
          <w:p>
            <w:pPr>
              <w:spacing w:line="360" w:lineRule="auto"/>
              <w:jc w:val="center"/>
              <w:rPr>
                <w:rFonts w:ascii="仿宋" w:eastAsia="仿宋" w:hAnsi="仿宋" w:cs="仿宋" w:hint="eastAsia"/>
                <w:sz w:val="24"/>
              </w:rPr>
            </w:pPr>
            <w:r>
              <w:rPr>
                <w:rFonts w:ascii="仿宋" w:eastAsia="仿宋" w:hAnsi="仿宋" w:cs="仿宋" w:hint="eastAsia"/>
                <w:sz w:val="24"/>
                <w:lang w:val="en-US" w:eastAsia="zh-CN"/>
              </w:rPr>
              <w:t>工作条件</w:t>
            </w:r>
          </w:p>
        </w:tc>
        <w:tc>
          <w:tcPr>
            <w:tcW w:w="7145" w:type="dxa"/>
          </w:tcPr>
          <w:p>
            <w:pPr>
              <w:spacing w:line="360" w:lineRule="auto"/>
              <w:jc w:val="left"/>
              <w:rPr>
                <w:rFonts w:ascii="仿宋" w:eastAsia="仿宋" w:hAnsi="仿宋" w:cs="仿宋" w:hint="eastAsia"/>
                <w:sz w:val="24"/>
              </w:rPr>
            </w:pPr>
            <w:r>
              <w:rPr>
                <w:rFonts w:ascii="仿宋" w:eastAsia="仿宋" w:hAnsi="仿宋" w:cs="仿宋" w:hint="eastAsia"/>
                <w:sz w:val="24"/>
                <w:lang w:eastAsia="zh-CN"/>
              </w:rPr>
              <w:t>设备工作</w:t>
            </w:r>
            <w:r>
              <w:rPr>
                <w:rFonts w:ascii="仿宋" w:eastAsia="仿宋" w:hAnsi="仿宋" w:cs="仿宋" w:hint="eastAsia"/>
                <w:sz w:val="24"/>
              </w:rPr>
              <w:t>电源交流100</w:t>
            </w:r>
            <w:r>
              <w:rPr>
                <w:rFonts w:ascii="仿宋" w:eastAsia="仿宋" w:hAnsi="仿宋" w:cs="仿宋" w:hint="eastAsia"/>
                <w:sz w:val="24"/>
                <w:lang w:val="en-US" w:eastAsia="zh-CN"/>
              </w:rPr>
              <w:t>V</w:t>
            </w:r>
            <w:r>
              <w:rPr>
                <w:rFonts w:ascii="仿宋" w:eastAsia="仿宋" w:hAnsi="仿宋" w:cs="仿宋" w:hint="eastAsia"/>
                <w:sz w:val="24"/>
              </w:rPr>
              <w:t>～240</w:t>
            </w:r>
            <w:r>
              <w:rPr>
                <w:rFonts w:ascii="仿宋" w:eastAsia="仿宋" w:hAnsi="仿宋" w:cs="仿宋" w:hint="eastAsia"/>
                <w:sz w:val="24"/>
                <w:lang w:val="en-US" w:eastAsia="zh-CN"/>
              </w:rPr>
              <w:t>V</w:t>
            </w:r>
            <w:r>
              <w:rPr>
                <w:rFonts w:ascii="仿宋" w:eastAsia="仿宋" w:hAnsi="仿宋" w:cs="仿宋" w:hint="eastAsia"/>
                <w:sz w:val="24"/>
              </w:rPr>
              <w:t>，50/60</w:t>
            </w:r>
            <w:r>
              <w:rPr>
                <w:rFonts w:ascii="仿宋" w:eastAsia="仿宋" w:hAnsi="仿宋" w:cs="仿宋" w:hint="eastAsia"/>
                <w:sz w:val="24"/>
                <w:lang w:val="en-US" w:eastAsia="zh-CN"/>
              </w:rPr>
              <w:t>Hz</w:t>
            </w:r>
            <w:r>
              <w:rPr>
                <w:rFonts w:ascii="仿宋" w:eastAsia="仿宋" w:hAnsi="仿宋" w:cs="仿宋" w:hint="eastAsia"/>
                <w:sz w:val="24"/>
              </w:rPr>
              <w:t>，产品的电源插头符合国</w:t>
            </w:r>
            <w:r>
              <w:rPr>
                <w:rFonts w:ascii="仿宋" w:eastAsia="仿宋" w:hAnsi="仿宋" w:cs="仿宋" w:hint="eastAsia"/>
                <w:sz w:val="24"/>
                <w:lang w:eastAsia="zh-CN"/>
              </w:rPr>
              <w:t>家</w:t>
            </w:r>
            <w:r>
              <w:rPr>
                <w:rFonts w:ascii="仿宋" w:eastAsia="仿宋" w:hAnsi="仿宋" w:cs="仿宋" w:hint="eastAsia"/>
                <w:sz w:val="24"/>
              </w:rPr>
              <w:t>标准，无需适配器。</w:t>
            </w:r>
          </w:p>
        </w:tc>
        <w:tc>
          <w:tcPr>
            <w:tcW w:w="885" w:type="dxa"/>
          </w:tcPr>
          <w:p>
            <w:pPr>
              <w:spacing w:line="360" w:lineRule="auto"/>
              <w:jc w:val="center"/>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467"/>
          <w:jc w:val="center"/>
        </w:trPr>
        <w:tc>
          <w:tcPr>
            <w:tcW w:w="804" w:type="dxa"/>
            <w:vAlign w:val="center"/>
          </w:tcPr>
          <w:p>
            <w:pPr>
              <w:spacing w:line="36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2</w:t>
            </w:r>
          </w:p>
        </w:tc>
        <w:tc>
          <w:tcPr>
            <w:tcW w:w="1218" w:type="dxa"/>
            <w:vAlign w:val="center"/>
          </w:tcPr>
          <w:p>
            <w:pPr>
              <w:spacing w:line="360" w:lineRule="auto"/>
              <w:jc w:val="center"/>
              <w:rPr>
                <w:rFonts w:ascii="仿宋" w:eastAsia="仿宋" w:hAnsi="仿宋" w:cs="仿宋" w:hint="eastAsia"/>
                <w:sz w:val="24"/>
              </w:rPr>
            </w:pPr>
            <w:r>
              <w:rPr>
                <w:rFonts w:ascii="仿宋" w:eastAsia="仿宋" w:hAnsi="仿宋" w:cs="仿宋" w:hint="eastAsia"/>
                <w:sz w:val="24"/>
                <w:lang w:val="en-US" w:eastAsia="zh-CN"/>
              </w:rPr>
              <w:t>ECG输入</w:t>
            </w:r>
          </w:p>
        </w:tc>
        <w:tc>
          <w:tcPr>
            <w:tcW w:w="7145" w:type="dxa"/>
            <w:vAlign w:val="center"/>
          </w:tcPr>
          <w:p>
            <w:pPr>
              <w:spacing w:line="240" w:lineRule="auto"/>
              <w:jc w:val="left"/>
              <w:rPr>
                <w:rFonts w:ascii="仿宋" w:eastAsia="仿宋" w:hAnsi="仿宋" w:cs="仿宋" w:hint="default"/>
                <w:sz w:val="24"/>
              </w:rPr>
            </w:pPr>
            <w:r>
              <w:rPr>
                <w:rFonts w:ascii="仿宋" w:eastAsia="仿宋" w:hAnsi="仿宋" w:cs="仿宋" w:hint="eastAsia"/>
                <w:sz w:val="24"/>
                <w:lang w:val="en-US" w:eastAsia="zh-CN"/>
              </w:rPr>
              <w:t>2.1 ECG输入通道：标准12导联心电信号同步采集;</w:t>
            </w:r>
          </w:p>
        </w:tc>
        <w:tc>
          <w:tcPr>
            <w:tcW w:w="885" w:type="dxa"/>
            <w:vAlign w:val="center"/>
          </w:tcPr>
          <w:p>
            <w:pPr>
              <w:spacing w:line="360" w:lineRule="auto"/>
              <w:jc w:val="center"/>
              <w:rPr>
                <w:rFonts w:ascii="仿宋" w:eastAsia="仿宋" w:hAnsi="仿宋" w:cs="仿宋" w:hint="eastAsia"/>
                <w:color w:val="FF0000"/>
                <w:sz w:val="24"/>
              </w:rPr>
            </w:pPr>
          </w:p>
        </w:tc>
      </w:tr>
    </w:tbl>
    <w:p>
      <w:pPr>
        <w:sectPr>
          <w:headerReference w:type="default" r:id="rId26"/>
          <w:footerReference w:type="default" r:id="rId27"/>
          <w:type w:val="nextPage"/>
          <w:pgSz w:w="11906" w:h="16838"/>
          <w:pgMar w:top="1440" w:right="1800" w:bottom="1440" w:left="1800" w:header="851" w:footer="992" w:gutter="0"/>
          <w:pgNumType w:fmt="decimal" w:start="12"/>
          <w:cols w:space="708"/>
          <w:titlePg w:val="0"/>
          <w:docGrid w:type="lines" w:linePitch="312"/>
        </w:sectPr>
      </w:pPr>
    </w:p>
    <w:tbl>
      <w:tblPr>
        <w:tblStyle w:val="TableNormal"/>
        <w:jc w:val="center"/>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04"/>
        <w:gridCol w:w="1218"/>
        <w:gridCol w:w="7145"/>
        <w:gridCol w:w="885"/>
      </w:tblGrid>
      <w:tr>
        <w:tblPrEx>
          <w:jc w:val="center"/>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
          <w:jc w:val="center"/>
        </w:trPr>
        <w:tc>
          <w:tcPr>
            <w:tcW w:w="804" w:type="dxa"/>
            <w:vMerge w:val="restart"/>
            <w:vAlign w:val="center"/>
          </w:tcPr>
          <w:p>
            <w:pPr>
              <w:spacing w:line="240" w:lineRule="auto"/>
              <w:jc w:val="center"/>
            </w:pPr>
          </w:p>
        </w:tc>
        <w:tc>
          <w:tcPr>
            <w:tcW w:w="1218" w:type="dxa"/>
            <w:vMerge w:val="restart"/>
            <w:vAlign w:val="center"/>
          </w:tcPr>
          <w:p>
            <w:pPr>
              <w:spacing w:line="240" w:lineRule="auto"/>
              <w:jc w:val="left"/>
            </w:pPr>
          </w:p>
        </w:tc>
        <w:tc>
          <w:tcPr>
            <w:tcW w:w="7145" w:type="dxa"/>
            <w:vAlign w:val="center"/>
          </w:tcPr>
          <w:p>
            <w:pPr>
              <w:spacing w:line="240" w:lineRule="auto"/>
              <w:jc w:val="left"/>
              <w:rPr>
                <w:rFonts w:ascii="仿宋" w:eastAsia="仿宋" w:hAnsi="仿宋" w:cs="仿宋" w:hint="default"/>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2.2 导联选择：手动/自动可选,（支持Nehb、Cabrera导联体系）;</w:t>
            </w:r>
          </w:p>
        </w:tc>
        <w:tc>
          <w:tcPr>
            <w:tcW w:w="885" w:type="dxa"/>
            <w:vMerge w:val="restart"/>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51"/>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2.3 输入阻抗：</w:t>
            </w:r>
            <w:r>
              <w:rPr>
                <w:rFonts w:ascii="仿宋" w:eastAsia="仿宋" w:hAnsi="仿宋" w:cs="仿宋" w:hint="eastAsia"/>
                <w:sz w:val="24"/>
                <w:lang w:val="en-US" w:eastAsia="zh-CN"/>
              </w:rPr>
              <w:t>≥</w:t>
            </w:r>
            <w:r>
              <w:rPr>
                <w:rFonts w:ascii="仿宋" w:eastAsia="仿宋" w:hAnsi="仿宋" w:cs="仿宋" w:hint="eastAsia"/>
                <w:sz w:val="24"/>
                <w:lang w:val="en-US" w:eastAsia="zh-CN"/>
              </w:rPr>
              <w:t>100M</w:t>
            </w:r>
            <w:r>
              <w:rPr>
                <w:rFonts w:ascii="仿宋" w:eastAsia="仿宋" w:hAnsi="仿宋" w:cs="仿宋" w:hint="eastAsia"/>
                <w:sz w:val="24"/>
                <w:lang w:val="en-US" w:eastAsia="zh-CN"/>
              </w:rPr>
              <w:t>Ω</w:t>
            </w:r>
            <w:r>
              <w:rPr>
                <w:rFonts w:ascii="仿宋" w:eastAsia="仿宋" w:hAnsi="仿宋" w:cs="仿宋" w:hint="eastAsia"/>
                <w:sz w:val="24"/>
                <w:lang w:val="en-US" w:eastAsia="zh-CN"/>
              </w:rPr>
              <w:t>（10Hz）；</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51"/>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2.4 频率响应：0.01Hz～300Hz （</w:t>
            </w:r>
            <w:r>
              <w:rPr>
                <w:rFonts w:ascii="仿宋" w:eastAsia="仿宋" w:hAnsi="仿宋" w:cs="仿宋" w:hint="eastAsia"/>
                <w:sz w:val="24"/>
                <w:highlight w:val="none"/>
                <w:lang w:val="en-US" w:eastAsia="zh-CN"/>
              </w:rPr>
              <w:t xml:space="preserve">+0.4dB </w:t>
            </w:r>
            <w:r>
              <w:rPr>
                <w:rFonts w:ascii="仿宋" w:eastAsia="仿宋" w:hAnsi="仿宋" w:cs="仿宋" w:hint="eastAsia"/>
                <w:sz w:val="24"/>
                <w:lang w:val="en-US" w:eastAsia="zh-CN"/>
              </w:rPr>
              <w:t>～ -3.0dB）；</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51"/>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2.5 定标电压：1mV</w:t>
            </w:r>
            <w:r>
              <w:rPr>
                <w:rFonts w:ascii="仿宋" w:eastAsia="仿宋" w:hAnsi="仿宋" w:cs="仿宋" w:hint="eastAsia"/>
                <w:sz w:val="24"/>
                <w:lang w:val="en-US" w:eastAsia="zh-CN"/>
              </w:rPr>
              <w:t>±</w:t>
            </w:r>
            <w:r>
              <w:rPr>
                <w:rFonts w:ascii="仿宋" w:eastAsia="仿宋" w:hAnsi="仿宋" w:cs="仿宋" w:hint="eastAsia"/>
                <w:sz w:val="24"/>
                <w:lang w:val="en-US" w:eastAsia="zh-CN"/>
              </w:rPr>
              <w:t>2% ；</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51"/>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2.6 耐极化电压：</w:t>
            </w:r>
            <w:r>
              <w:rPr>
                <w:rFonts w:ascii="仿宋" w:eastAsia="仿宋" w:hAnsi="仿宋" w:cs="仿宋" w:hint="eastAsia"/>
                <w:sz w:val="24"/>
                <w:lang w:val="en-US" w:eastAsia="zh-CN"/>
              </w:rPr>
              <w:t>±</w:t>
            </w:r>
            <w:r>
              <w:rPr>
                <w:rFonts w:ascii="仿宋" w:eastAsia="仿宋" w:hAnsi="仿宋" w:cs="仿宋" w:hint="eastAsia"/>
                <w:sz w:val="24"/>
                <w:lang w:val="en-US" w:eastAsia="zh-CN"/>
              </w:rPr>
              <w:t>900mV（</w:t>
            </w:r>
            <w:r>
              <w:rPr>
                <w:rFonts w:ascii="仿宋" w:eastAsia="仿宋" w:hAnsi="仿宋" w:cs="仿宋" w:hint="eastAsia"/>
                <w:sz w:val="24"/>
                <w:lang w:val="en-US" w:eastAsia="zh-CN"/>
              </w:rPr>
              <w:t>±</w:t>
            </w:r>
            <w:r>
              <w:rPr>
                <w:rFonts w:ascii="仿宋" w:eastAsia="仿宋" w:hAnsi="仿宋" w:cs="仿宋" w:hint="eastAsia"/>
                <w:sz w:val="24"/>
                <w:lang w:val="en-US" w:eastAsia="zh-CN"/>
              </w:rPr>
              <w:t>5%）；</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51"/>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default"/>
                <w:sz w:val="24"/>
              </w:rPr>
            </w:pPr>
            <w:r>
              <w:rPr>
                <w:rFonts w:ascii="仿宋" w:eastAsia="仿宋" w:hAnsi="仿宋" w:cs="仿宋" w:hint="eastAsia"/>
                <w:sz w:val="24"/>
                <w:lang w:val="en-US" w:eastAsia="zh-CN"/>
              </w:rPr>
              <w:t>2.7 内部噪声：</w:t>
            </w:r>
            <w:r>
              <w:rPr>
                <w:rFonts w:ascii="仿宋" w:eastAsia="仿宋" w:hAnsi="仿宋" w:cs="仿宋" w:hint="eastAsia"/>
                <w:sz w:val="24"/>
                <w:lang w:val="en-US" w:eastAsia="zh-CN"/>
              </w:rPr>
              <w:t>≤</w:t>
            </w:r>
            <w:r>
              <w:rPr>
                <w:rFonts w:ascii="仿宋" w:eastAsia="仿宋" w:hAnsi="仿宋" w:cs="仿宋" w:hint="eastAsia"/>
                <w:sz w:val="24"/>
                <w:lang w:val="en-US" w:eastAsia="zh-CN"/>
              </w:rPr>
              <w:t>12.5</w:t>
            </w:r>
            <w:r>
              <w:rPr>
                <w:rFonts w:ascii="仿宋" w:eastAsia="仿宋" w:hAnsi="仿宋" w:cs="仿宋" w:hint="eastAsia"/>
                <w:sz w:val="24"/>
                <w:lang w:val="en-US" w:eastAsia="zh-CN"/>
              </w:rPr>
              <w:t>µ</w:t>
            </w:r>
            <w:r>
              <w:rPr>
                <w:rFonts w:ascii="仿宋" w:eastAsia="仿宋" w:hAnsi="仿宋" w:cs="仿宋" w:hint="eastAsia"/>
                <w:sz w:val="24"/>
                <w:lang w:val="en-US" w:eastAsia="zh-CN"/>
              </w:rPr>
              <w:t>Vp-p ；</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51"/>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default"/>
                <w:sz w:val="24"/>
              </w:rPr>
            </w:pPr>
            <w:r>
              <w:rPr>
                <w:rFonts w:ascii="仿宋" w:eastAsia="仿宋" w:hAnsi="仿宋" w:cs="仿宋" w:hint="eastAsia"/>
                <w:sz w:val="24"/>
                <w:lang w:val="en-US" w:eastAsia="zh-CN"/>
              </w:rPr>
              <w:t>2.8 时间常数：</w:t>
            </w:r>
            <w:r>
              <w:rPr>
                <w:rFonts w:ascii="仿宋" w:eastAsia="仿宋" w:hAnsi="仿宋" w:cs="仿宋" w:hint="eastAsia"/>
                <w:sz w:val="24"/>
                <w:lang w:val="en-US" w:eastAsia="zh-CN"/>
              </w:rPr>
              <w:t>≥</w:t>
            </w:r>
            <w:r>
              <w:rPr>
                <w:rFonts w:ascii="仿宋" w:eastAsia="仿宋" w:hAnsi="仿宋" w:cs="仿宋" w:hint="eastAsia"/>
                <w:sz w:val="24"/>
                <w:lang w:val="en-US" w:eastAsia="zh-CN"/>
              </w:rPr>
              <w:t>3.2 s ；</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51"/>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2.9 共模抑制比：</w:t>
            </w:r>
            <w:r>
              <w:rPr>
                <w:rFonts w:ascii="仿宋" w:eastAsia="仿宋" w:hAnsi="仿宋" w:cs="仿宋" w:hint="eastAsia"/>
                <w:sz w:val="24"/>
                <w:lang w:val="en-US" w:eastAsia="zh-CN"/>
              </w:rPr>
              <w:t>≥</w:t>
            </w:r>
            <w:r>
              <w:rPr>
                <w:rFonts w:ascii="仿宋" w:eastAsia="仿宋" w:hAnsi="仿宋" w:cs="仿宋" w:hint="eastAsia"/>
                <w:sz w:val="24"/>
                <w:lang w:val="en-US" w:eastAsia="zh-CN"/>
              </w:rPr>
              <w:t>140dB（AC滤波开启）；</w:t>
            </w:r>
            <w:r>
              <w:rPr>
                <w:rFonts w:ascii="仿宋" w:eastAsia="仿宋" w:hAnsi="仿宋" w:cs="仿宋" w:hint="eastAsia"/>
                <w:sz w:val="24"/>
                <w:lang w:val="en-US" w:eastAsia="zh-CN"/>
              </w:rPr>
              <w:t>≥</w:t>
            </w:r>
            <w:r>
              <w:rPr>
                <w:rFonts w:ascii="仿宋" w:eastAsia="仿宋" w:hAnsi="仿宋" w:cs="仿宋" w:hint="eastAsia"/>
                <w:sz w:val="24"/>
                <w:lang w:val="en-US" w:eastAsia="zh-CN"/>
              </w:rPr>
              <w:t>123dB（AC滤波关闭）；</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51"/>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default"/>
                <w:sz w:val="24"/>
              </w:rPr>
            </w:pPr>
            <w:r>
              <w:rPr>
                <w:rFonts w:ascii="仿宋" w:eastAsia="仿宋" w:hAnsi="仿宋" w:cs="仿宋" w:hint="eastAsia"/>
                <w:sz w:val="24"/>
                <w:lang w:val="en-US" w:eastAsia="zh-CN"/>
              </w:rPr>
              <w:t>2.10 输入电流：</w:t>
            </w:r>
            <w:r>
              <w:rPr>
                <w:rFonts w:ascii="仿宋" w:eastAsia="仿宋" w:hAnsi="仿宋" w:cs="仿宋" w:hint="eastAsia"/>
                <w:sz w:val="24"/>
                <w:lang w:val="en-US" w:eastAsia="zh-CN"/>
              </w:rPr>
              <w:t>≤</w:t>
            </w:r>
            <w:r>
              <w:rPr>
                <w:rFonts w:ascii="仿宋" w:eastAsia="仿宋" w:hAnsi="仿宋" w:cs="仿宋" w:hint="eastAsia"/>
                <w:sz w:val="24"/>
                <w:lang w:val="en-US" w:eastAsia="zh-CN"/>
              </w:rPr>
              <w:t>0.01</w:t>
            </w:r>
            <w:r>
              <w:rPr>
                <w:rFonts w:ascii="仿宋" w:eastAsia="仿宋" w:hAnsi="仿宋" w:cs="仿宋" w:hint="eastAsia"/>
                <w:sz w:val="24"/>
                <w:lang w:val="en-US" w:eastAsia="zh-CN"/>
              </w:rPr>
              <w:t>μ</w:t>
            </w:r>
            <w:r>
              <w:rPr>
                <w:rFonts w:ascii="仿宋" w:eastAsia="仿宋" w:hAnsi="仿宋" w:cs="仿宋" w:hint="eastAsia"/>
                <w:sz w:val="24"/>
                <w:lang w:val="en-US" w:eastAsia="zh-CN"/>
              </w:rPr>
              <w:t>A ；</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51"/>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default"/>
                <w:sz w:val="24"/>
              </w:rPr>
            </w:pPr>
            <w:r>
              <w:rPr>
                <w:rFonts w:ascii="仿宋" w:eastAsia="仿宋" w:hAnsi="仿宋" w:cs="仿宋" w:hint="eastAsia"/>
                <w:sz w:val="24"/>
                <w:lang w:val="en-US" w:eastAsia="zh-CN"/>
              </w:rPr>
              <w:t>2.11 除颤保护：具有抗除颤电击保护功能；</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51"/>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2.12 导联线：导联线内附抗除颤电击保护功能；</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51"/>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2.13中文输入及中文操作提示和中文报告语言。</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restart"/>
            <w:vAlign w:val="center"/>
          </w:tcPr>
          <w:p>
            <w:pPr>
              <w:spacing w:line="36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3</w:t>
            </w:r>
          </w:p>
        </w:tc>
        <w:tc>
          <w:tcPr>
            <w:tcW w:w="1218" w:type="dxa"/>
            <w:vMerge w:val="restart"/>
            <w:vAlign w:val="center"/>
          </w:tcPr>
          <w:p>
            <w:pPr>
              <w:spacing w:line="360" w:lineRule="auto"/>
              <w:jc w:val="center"/>
              <w:rPr>
                <w:rFonts w:ascii="仿宋" w:eastAsia="仿宋" w:hAnsi="仿宋" w:cs="仿宋" w:hint="eastAsia"/>
                <w:sz w:val="24"/>
              </w:rPr>
            </w:pPr>
            <w:r>
              <w:rPr>
                <w:rFonts w:ascii="仿宋" w:eastAsia="仿宋" w:hAnsi="仿宋" w:cs="仿宋" w:hint="eastAsia"/>
                <w:sz w:val="24"/>
                <w:lang w:val="en-US" w:eastAsia="zh-CN"/>
              </w:rPr>
              <w:t>波形处理</w:t>
            </w:r>
          </w:p>
        </w:tc>
        <w:tc>
          <w:tcPr>
            <w:tcW w:w="7145" w:type="dxa"/>
            <w:vAlign w:val="center"/>
          </w:tcPr>
          <w:p>
            <w:pPr>
              <w:spacing w:line="240" w:lineRule="auto"/>
              <w:jc w:val="left"/>
              <w:rPr>
                <w:rFonts w:ascii="仿宋" w:eastAsia="仿宋" w:hAnsi="仿宋" w:cs="仿宋" w:hint="default"/>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3.1 A/D转换：24bit ；</w:t>
            </w:r>
          </w:p>
        </w:tc>
        <w:tc>
          <w:tcPr>
            <w:tcW w:w="885" w:type="dxa"/>
            <w:vMerge w:val="restart"/>
            <w:vAlign w:val="center"/>
          </w:tcPr>
          <w:p>
            <w:pPr>
              <w:spacing w:line="360" w:lineRule="auto"/>
              <w:jc w:val="center"/>
              <w:rPr>
                <w:rFonts w:ascii="仿宋" w:eastAsia="仿宋" w:hAnsi="仿宋" w:cs="仿宋" w:hint="eastAsia"/>
                <w:color w:val="FF0000"/>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pPr>
          </w:p>
        </w:tc>
        <w:tc>
          <w:tcPr>
            <w:tcW w:w="1218" w:type="dxa"/>
            <w:vMerge/>
            <w:vAlign w:val="center"/>
          </w:tcPr>
          <w:p>
            <w:pPr>
              <w:spacing w:line="240" w:lineRule="auto"/>
              <w:jc w:val="left"/>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3.2 采样率：16kHz，每导联；</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default"/>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3.3 灵敏度选择：1.25、2.5、5、10、20、10/5、自动（AGC）mm/mV ；</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404"/>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3.4 抗干扰滤波：具有交流滤波、肌电滤波、基线漂移滤波、低通滤波功能；</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90"/>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3.5 自动分析功能：具有12导联同步自动分析以及RR分析功能；</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3.6 自诊断功能：具有设备自诊断及故障提示功能。</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restart"/>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4</w:t>
            </w:r>
          </w:p>
        </w:tc>
        <w:tc>
          <w:tcPr>
            <w:tcW w:w="1218"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存储器</w:t>
            </w: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4.1 设备内置存储器，存储病历</w:t>
            </w:r>
            <w:r>
              <w:rPr>
                <w:rFonts w:ascii="仿宋" w:eastAsia="仿宋" w:hAnsi="仿宋" w:cs="仿宋" w:hint="eastAsia"/>
                <w:sz w:val="24"/>
                <w:lang w:val="en-US" w:eastAsia="zh-CN"/>
              </w:rPr>
              <w:t>≥</w:t>
            </w:r>
            <w:r>
              <w:rPr>
                <w:rFonts w:ascii="仿宋" w:eastAsia="仿宋" w:hAnsi="仿宋" w:cs="仿宋" w:hint="eastAsia"/>
                <w:sz w:val="24"/>
                <w:lang w:val="en-US" w:eastAsia="zh-CN"/>
              </w:rPr>
              <w:t>800例；</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4.2 数据可通过SD卡、USB口导入导出；</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4.3 支持外接U盘和SD卡可扩展存储空间。</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restart"/>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5</w:t>
            </w:r>
          </w:p>
        </w:tc>
        <w:tc>
          <w:tcPr>
            <w:tcW w:w="1218"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显示器</w:t>
            </w: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 xml:space="preserve">5.1 </w:t>
            </w:r>
            <w:r>
              <w:rPr>
                <w:rFonts w:ascii="仿宋" w:eastAsia="仿宋" w:hAnsi="仿宋" w:cs="仿宋" w:hint="eastAsia"/>
                <w:sz w:val="24"/>
                <w:lang w:val="en-US" w:eastAsia="zh-CN"/>
              </w:rPr>
              <w:t>≥</w:t>
            </w:r>
            <w:r>
              <w:rPr>
                <w:rFonts w:ascii="仿宋" w:eastAsia="仿宋" w:hAnsi="仿宋" w:cs="仿宋" w:hint="eastAsia"/>
                <w:sz w:val="24"/>
                <w:lang w:val="en-US" w:eastAsia="zh-CN"/>
              </w:rPr>
              <w:t>7英寸彩色液晶显示屏，倾斜角设计，支持显示背景网格；</w:t>
            </w:r>
          </w:p>
        </w:tc>
        <w:tc>
          <w:tcPr>
            <w:tcW w:w="885" w:type="dxa"/>
            <w:vMerge/>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5.2 显示信息：同屏显示12导同步心电波形；</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center"/>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5.3 显示内容应包含波形、心率、导联、走纸速度、增益、滤波器、时间、电池电量指示、输入法、文件、信息提示区、中文患者信息等。</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restart"/>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6</w:t>
            </w:r>
          </w:p>
        </w:tc>
        <w:tc>
          <w:tcPr>
            <w:tcW w:w="1218"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记录器</w:t>
            </w: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6.1 热敏式点阵打印机；</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6.2 走纸速度：5、6.25、10、12.5、25、50 mm/s （</w:t>
            </w:r>
            <w:r>
              <w:rPr>
                <w:rFonts w:ascii="仿宋" w:eastAsia="仿宋" w:hAnsi="仿宋" w:cs="仿宋" w:hint="eastAsia"/>
                <w:sz w:val="24"/>
                <w:lang w:val="en-US" w:eastAsia="zh-CN"/>
              </w:rPr>
              <w:t>±</w:t>
            </w:r>
            <w:r>
              <w:rPr>
                <w:rFonts w:ascii="仿宋" w:eastAsia="仿宋" w:hAnsi="仿宋" w:cs="仿宋" w:hint="eastAsia"/>
                <w:sz w:val="24"/>
                <w:lang w:val="en-US" w:eastAsia="zh-CN"/>
              </w:rPr>
              <w:t xml:space="preserve">3%）；  </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6.3 记录通道：3</w:t>
            </w:r>
            <w:r>
              <w:rPr>
                <w:rFonts w:ascii="仿宋" w:eastAsia="仿宋" w:hAnsi="仿宋" w:cs="仿宋" w:hint="eastAsia"/>
                <w:sz w:val="24"/>
                <w:lang w:val="en-US" w:eastAsia="zh-CN"/>
              </w:rPr>
              <w:t>×</w:t>
            </w:r>
            <w:r>
              <w:rPr>
                <w:rFonts w:ascii="仿宋" w:eastAsia="仿宋" w:hAnsi="仿宋" w:cs="仿宋" w:hint="eastAsia"/>
                <w:sz w:val="24"/>
                <w:lang w:val="en-US" w:eastAsia="zh-CN"/>
              </w:rPr>
              <w:t>4、3</w:t>
            </w:r>
            <w:r>
              <w:rPr>
                <w:rFonts w:ascii="仿宋" w:eastAsia="仿宋" w:hAnsi="仿宋" w:cs="仿宋" w:hint="eastAsia"/>
                <w:sz w:val="24"/>
                <w:lang w:val="en-US" w:eastAsia="zh-CN"/>
              </w:rPr>
              <w:t>×</w:t>
            </w:r>
            <w:r>
              <w:rPr>
                <w:rFonts w:ascii="仿宋" w:eastAsia="仿宋" w:hAnsi="仿宋" w:cs="仿宋" w:hint="eastAsia"/>
                <w:sz w:val="24"/>
                <w:lang w:val="en-US" w:eastAsia="zh-CN"/>
              </w:rPr>
              <w:t>4+1R、3</w:t>
            </w:r>
            <w:r>
              <w:rPr>
                <w:rFonts w:ascii="仿宋" w:eastAsia="仿宋" w:hAnsi="仿宋" w:cs="仿宋" w:hint="eastAsia"/>
                <w:sz w:val="24"/>
                <w:lang w:val="en-US" w:eastAsia="zh-CN"/>
              </w:rPr>
              <w:t>×</w:t>
            </w:r>
            <w:r>
              <w:rPr>
                <w:rFonts w:ascii="仿宋" w:eastAsia="仿宋" w:hAnsi="仿宋" w:cs="仿宋" w:hint="eastAsia"/>
                <w:sz w:val="24"/>
                <w:lang w:val="en-US" w:eastAsia="zh-CN"/>
              </w:rPr>
              <w:t>4+3R、6</w:t>
            </w:r>
            <w:r>
              <w:rPr>
                <w:rFonts w:ascii="仿宋" w:eastAsia="仿宋" w:hAnsi="仿宋" w:cs="仿宋" w:hint="eastAsia"/>
                <w:sz w:val="24"/>
                <w:lang w:val="en-US" w:eastAsia="zh-CN"/>
              </w:rPr>
              <w:t>×</w:t>
            </w:r>
            <w:r>
              <w:rPr>
                <w:rFonts w:ascii="仿宋" w:eastAsia="仿宋" w:hAnsi="仿宋" w:cs="仿宋" w:hint="eastAsia"/>
                <w:sz w:val="24"/>
                <w:lang w:val="en-US" w:eastAsia="zh-CN"/>
              </w:rPr>
              <w:t>2、6</w:t>
            </w:r>
            <w:r>
              <w:rPr>
                <w:rFonts w:ascii="仿宋" w:eastAsia="仿宋" w:hAnsi="仿宋" w:cs="仿宋" w:hint="eastAsia"/>
                <w:sz w:val="24"/>
                <w:lang w:val="en-US" w:eastAsia="zh-CN"/>
              </w:rPr>
              <w:t>×</w:t>
            </w:r>
            <w:r>
              <w:rPr>
                <w:rFonts w:ascii="仿宋" w:eastAsia="仿宋" w:hAnsi="仿宋" w:cs="仿宋" w:hint="eastAsia"/>
                <w:sz w:val="24"/>
                <w:lang w:val="en-US" w:eastAsia="zh-CN"/>
              </w:rPr>
              <w:t>2+1R、12</w:t>
            </w:r>
            <w:r>
              <w:rPr>
                <w:rFonts w:ascii="仿宋" w:eastAsia="仿宋" w:hAnsi="仿宋" w:cs="仿宋" w:hint="eastAsia"/>
                <w:sz w:val="24"/>
                <w:lang w:val="en-US" w:eastAsia="zh-CN"/>
              </w:rPr>
              <w:t>×</w:t>
            </w:r>
            <w:r>
              <w:rPr>
                <w:rFonts w:ascii="仿宋" w:eastAsia="仿宋" w:hAnsi="仿宋" w:cs="仿宋" w:hint="eastAsia"/>
                <w:sz w:val="24"/>
                <w:lang w:val="en-US" w:eastAsia="zh-CN"/>
              </w:rPr>
              <w:t xml:space="preserve">1； </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default"/>
                <w:sz w:val="24"/>
              </w:rPr>
            </w:pPr>
            <w:r>
              <w:rPr>
                <w:rFonts w:ascii="仿宋" w:eastAsia="仿宋" w:hAnsi="仿宋" w:cs="仿宋" w:hint="eastAsia"/>
                <w:sz w:val="24"/>
                <w:lang w:val="en-US" w:eastAsia="zh-CN"/>
              </w:rPr>
              <w:t>6.4 记录纸规格：支持折叠纸打印，打印纸宽度为：210mm ；</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6.5 打印方式：实时同步或连续12道心电波形，分段打印；</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6.6 记录内容：心电波形、分析结果、明尼苏达码、平均模板以及导联名称、走纸速度、增益、滤波器、日期、中文患者信息、标记等；</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6.7 可直接外接打印机，通过A4纸打印12道心电波形和报告；</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6.8 具备在无网格纸上打印网格功能。</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7</w:t>
            </w:r>
          </w:p>
        </w:tc>
        <w:tc>
          <w:tcPr>
            <w:tcW w:w="1218" w:type="dxa"/>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功能</w:t>
            </w: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7.1 具有性别、年龄组快速切换键，减少医生手工输入，提高工作效率；</w:t>
            </w:r>
          </w:p>
        </w:tc>
        <w:tc>
          <w:tcPr>
            <w:tcW w:w="885" w:type="dxa"/>
            <w:vAlign w:val="center"/>
          </w:tcPr>
          <w:p>
            <w:pPr>
              <w:spacing w:line="240" w:lineRule="auto"/>
              <w:jc w:val="left"/>
              <w:rPr>
                <w:rFonts w:ascii="仿宋" w:eastAsia="仿宋" w:hAnsi="仿宋" w:cs="仿宋" w:hint="eastAsia"/>
                <w:sz w:val="24"/>
              </w:rPr>
            </w:pPr>
          </w:p>
        </w:tc>
      </w:tr>
    </w:tbl>
    <w:p>
      <w:pPr>
        <w:sectPr>
          <w:headerReference w:type="default" r:id="rId28"/>
          <w:footerReference w:type="default" r:id="rId29"/>
          <w:type w:val="nextPage"/>
          <w:pgSz w:w="11906" w:h="16838"/>
          <w:pgMar w:top="1440" w:right="1800" w:bottom="1440" w:left="1800" w:header="851" w:footer="992" w:gutter="0"/>
          <w:pgNumType w:fmt="decimal" w:start="13"/>
          <w:cols w:space="708"/>
          <w:titlePg w:val="0"/>
          <w:docGrid w:type="lines" w:linePitch="312"/>
        </w:sectPr>
      </w:pPr>
    </w:p>
    <w:tbl>
      <w:tblPr>
        <w:tblStyle w:val="TableNormal"/>
        <w:jc w:val="center"/>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04"/>
        <w:gridCol w:w="1218"/>
        <w:gridCol w:w="7145"/>
        <w:gridCol w:w="885"/>
      </w:tblGrid>
      <w:tr>
        <w:tblPrEx>
          <w:jc w:val="center"/>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87"/>
          <w:jc w:val="center"/>
        </w:trPr>
        <w:tc>
          <w:tcPr>
            <w:tcW w:w="804" w:type="dxa"/>
            <w:vMerge w:val="restart"/>
            <w:vAlign w:val="center"/>
          </w:tcPr>
          <w:p>
            <w:pPr>
              <w:spacing w:line="240" w:lineRule="auto"/>
              <w:jc w:val="center"/>
              <w:rPr>
                <w:rFonts w:ascii="仿宋" w:eastAsia="仿宋" w:hAnsi="仿宋" w:cs="仿宋" w:hint="eastAsia"/>
                <w:sz w:val="24"/>
              </w:rPr>
            </w:pPr>
          </w:p>
        </w:tc>
        <w:tc>
          <w:tcPr>
            <w:tcW w:w="1218" w:type="dxa"/>
            <w:vMerge w:val="restart"/>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7.2 可准确判定接触不良的电极并予以指示；</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7.3 拥有自动测量功能和自动诊断功能；</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7.4 手动、自动、节律、R-R四种工作模式可供选择。</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7.5 自动模式下支持10～60s时间的采集，记录，存储，传输；</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7.6 支持实时采样、触发采样、周期采样模式，支持心律失常检测自动延时打印报告；</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7.7 长时间波形冻结功能，方便医生对所需区间的波形进行更好的观察、分析、并选择所需要的时间段进行记录；</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7.8 具有病历管理功能，可进行病历查询、预览、修改、传输、打印，方便医生调阅病人信息；</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7.9可以通过使用有线、无线方式和心电网络相连，实现病人预约信息的下载，检查数据自动上传，实现全方位信息化管理，优化医院工作流程，减少医生工作量。</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restart"/>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8</w:t>
            </w:r>
          </w:p>
        </w:tc>
        <w:tc>
          <w:tcPr>
            <w:tcW w:w="1218"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val="en-US" w:eastAsia="zh-CN"/>
              </w:rPr>
              <w:t>外部输入接口</w:t>
            </w: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8.1 USB接口，网络接口功能，外部输入输出端口，SD卡接口；</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8.2 支持DAT、PDF、SCP(选配)、FDA-XML(选配)、DICOM(选配)格式，满足医院信息化需求；</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center"/>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8.3 支持一维码，二维码扫描仪获取病人信息。</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restart"/>
            <w:vAlign w:val="center"/>
          </w:tcPr>
          <w:p>
            <w:pPr>
              <w:spacing w:line="240" w:lineRule="auto"/>
              <w:jc w:val="center"/>
              <w:rPr>
                <w:rFonts w:ascii="仿宋" w:eastAsia="仿宋" w:hAnsi="仿宋" w:cs="仿宋" w:hint="default"/>
                <w:sz w:val="24"/>
              </w:rPr>
            </w:pPr>
            <w:r>
              <w:rPr>
                <w:rFonts w:ascii="仿宋" w:eastAsia="仿宋" w:hAnsi="仿宋" w:cs="仿宋" w:hint="eastAsia"/>
                <w:sz w:val="24"/>
                <w:lang w:val="en-US" w:eastAsia="zh-CN"/>
              </w:rPr>
              <w:t>9</w:t>
            </w:r>
          </w:p>
        </w:tc>
        <w:tc>
          <w:tcPr>
            <w:tcW w:w="1218" w:type="dxa"/>
            <w:vMerge w:val="restart"/>
            <w:vAlign w:val="center"/>
          </w:tcPr>
          <w:p>
            <w:pPr>
              <w:spacing w:line="240" w:lineRule="auto"/>
              <w:jc w:val="center"/>
              <w:rPr>
                <w:rFonts w:ascii="仿宋" w:eastAsia="仿宋" w:hAnsi="仿宋" w:cs="仿宋" w:hint="eastAsia"/>
                <w:sz w:val="24"/>
              </w:rPr>
            </w:pPr>
            <w:r>
              <w:rPr>
                <w:rFonts w:ascii="仿宋" w:eastAsia="仿宋" w:hAnsi="仿宋" w:cs="仿宋" w:hint="eastAsia"/>
                <w:sz w:val="24"/>
                <w:lang w:eastAsia="zh-CN"/>
              </w:rPr>
              <w:t>电源</w:t>
            </w: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 xml:space="preserve">9.1 </w:t>
            </w:r>
            <w:r>
              <w:rPr>
                <w:rFonts w:ascii="仿宋" w:eastAsia="仿宋" w:hAnsi="仿宋" w:cs="仿宋" w:hint="eastAsia"/>
                <w:sz w:val="24"/>
                <w:lang w:eastAsia="zh-CN"/>
              </w:rPr>
              <w:t>交直流两用　自动转换</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left"/>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9.2交流电源：交流 100V~240V  50Hz/60Hz</w:t>
            </w:r>
          </w:p>
        </w:tc>
        <w:tc>
          <w:tcPr>
            <w:tcW w:w="885" w:type="dxa"/>
            <w:vAlign w:val="center"/>
          </w:tcPr>
          <w:p>
            <w:pPr>
              <w:spacing w:line="240" w:lineRule="auto"/>
              <w:jc w:val="left"/>
              <w:rPr>
                <w:rFonts w:ascii="仿宋" w:eastAsia="仿宋" w:hAnsi="仿宋" w:cs="仿宋" w:hint="eastAsia"/>
                <w:sz w:val="24"/>
              </w:rPr>
            </w:pPr>
          </w:p>
        </w:tc>
      </w:tr>
      <w:tr>
        <w:tblPrEx>
          <w:jc w:val="center"/>
          <w:tblInd w:w="-140" w:type="dxa"/>
          <w:tblLayout w:type="fixed"/>
          <w:tblCellMar>
            <w:top w:w="0" w:type="dxa"/>
            <w:left w:w="108" w:type="dxa"/>
            <w:bottom w:w="0" w:type="dxa"/>
            <w:right w:w="108" w:type="dxa"/>
          </w:tblCellMar>
          <w:tblLook w:val="0000"/>
        </w:tblPrEx>
        <w:trPr>
          <w:trHeight w:val="187"/>
          <w:jc w:val="center"/>
        </w:trPr>
        <w:tc>
          <w:tcPr>
            <w:tcW w:w="804" w:type="dxa"/>
            <w:vMerge/>
            <w:vAlign w:val="center"/>
          </w:tcPr>
          <w:p>
            <w:pPr>
              <w:spacing w:line="240" w:lineRule="auto"/>
              <w:jc w:val="left"/>
              <w:rPr>
                <w:rFonts w:ascii="仿宋" w:eastAsia="仿宋" w:hAnsi="仿宋" w:cs="仿宋" w:hint="eastAsia"/>
                <w:sz w:val="24"/>
              </w:rPr>
            </w:pPr>
          </w:p>
        </w:tc>
        <w:tc>
          <w:tcPr>
            <w:tcW w:w="1218" w:type="dxa"/>
            <w:vMerge/>
            <w:vAlign w:val="center"/>
          </w:tcPr>
          <w:p>
            <w:pPr>
              <w:spacing w:line="240" w:lineRule="auto"/>
              <w:jc w:val="left"/>
              <w:rPr>
                <w:rFonts w:ascii="仿宋" w:eastAsia="仿宋" w:hAnsi="仿宋" w:cs="仿宋" w:hint="eastAsia"/>
                <w:sz w:val="24"/>
              </w:rPr>
            </w:pPr>
          </w:p>
        </w:tc>
        <w:tc>
          <w:tcPr>
            <w:tcW w:w="7145" w:type="dxa"/>
            <w:vAlign w:val="center"/>
          </w:tcPr>
          <w:p>
            <w:pPr>
              <w:spacing w:line="240" w:lineRule="auto"/>
              <w:jc w:val="left"/>
              <w:rPr>
                <w:rFonts w:ascii="仿宋" w:eastAsia="仿宋" w:hAnsi="仿宋" w:cs="仿宋" w:hint="eastAsia"/>
                <w:sz w:val="24"/>
              </w:rPr>
            </w:pPr>
            <w:r>
              <w:rPr>
                <w:rFonts w:ascii="仿宋" w:eastAsia="仿宋" w:hAnsi="仿宋" w:cs="仿宋" w:hint="eastAsia"/>
                <w:sz w:val="24"/>
                <w:lang w:val="en-US" w:eastAsia="zh-CN"/>
              </w:rPr>
              <w:t>▲</w:t>
            </w:r>
            <w:r>
              <w:rPr>
                <w:rFonts w:ascii="仿宋" w:eastAsia="仿宋" w:hAnsi="仿宋" w:cs="仿宋" w:hint="eastAsia"/>
                <w:sz w:val="24"/>
                <w:lang w:val="en-US" w:eastAsia="zh-CN"/>
              </w:rPr>
              <w:t>9.3 直流电源：内置可充电锂离子电池，充足后可正常工作时间</w:t>
            </w:r>
            <w:r>
              <w:rPr>
                <w:rFonts w:ascii="仿宋" w:eastAsia="仿宋" w:hAnsi="仿宋" w:cs="仿宋" w:hint="eastAsia"/>
                <w:sz w:val="24"/>
                <w:lang w:val="en-US" w:eastAsia="zh-CN"/>
              </w:rPr>
              <w:t>≥</w:t>
            </w:r>
            <w:r>
              <w:rPr>
                <w:rFonts w:ascii="仿宋" w:eastAsia="仿宋" w:hAnsi="仿宋" w:cs="仿宋" w:hint="eastAsia"/>
                <w:sz w:val="24"/>
                <w:lang w:val="en-US" w:eastAsia="zh-CN"/>
              </w:rPr>
              <w:t>4小时</w:t>
            </w:r>
          </w:p>
        </w:tc>
        <w:tc>
          <w:tcPr>
            <w:tcW w:w="885" w:type="dxa"/>
            <w:vAlign w:val="center"/>
          </w:tcPr>
          <w:p>
            <w:pPr>
              <w:spacing w:line="240" w:lineRule="auto"/>
              <w:jc w:val="left"/>
              <w:rPr>
                <w:rFonts w:ascii="仿宋" w:eastAsia="仿宋" w:hAnsi="仿宋" w:cs="仿宋" w:hint="eastAsia"/>
                <w:sz w:val="24"/>
              </w:rPr>
            </w:pPr>
          </w:p>
        </w:tc>
      </w:tr>
    </w:tbl>
    <w:p>
      <w:pPr>
        <w:spacing w:line="240" w:lineRule="auto"/>
        <w:jc w:val="center"/>
        <w:rPr>
          <w:rFonts w:ascii="仿宋" w:eastAsia="仿宋" w:hAnsi="仿宋" w:cs="仿宋" w:hint="eastAsia"/>
          <w:bCs/>
          <w:iCs/>
          <w:sz w:val="24"/>
        </w:rPr>
      </w:pPr>
    </w:p>
    <w:p>
      <w:pPr>
        <w:spacing w:line="240" w:lineRule="auto"/>
        <w:jc w:val="center"/>
        <w:rPr>
          <w:rFonts w:ascii="仿宋" w:eastAsia="仿宋" w:hAnsi="仿宋" w:cs="仿宋" w:hint="eastAsia"/>
          <w:bCs/>
          <w:iCs/>
          <w:sz w:val="24"/>
        </w:rPr>
      </w:pPr>
    </w:p>
    <w:tbl>
      <w:tblPr>
        <w:tblStyle w:val="TableNormal"/>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0"/>
        <w:gridCol w:w="3935"/>
        <w:gridCol w:w="1486"/>
        <w:gridCol w:w="1323"/>
        <w:gridCol w:w="2482"/>
      </w:tblGrid>
      <w:tr>
        <w:tblPrEx>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3"/>
          <w:jc w:val="center"/>
        </w:trPr>
        <w:tc>
          <w:tcPr>
            <w:tcW w:w="10066" w:type="dxa"/>
            <w:gridSpan w:val="5"/>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
                <w:color w:val="auto"/>
                <w:sz w:val="24"/>
              </w:rPr>
            </w:pPr>
            <w:r>
              <w:rPr>
                <w:rFonts w:ascii="仿宋" w:eastAsia="仿宋" w:hAnsi="仿宋" w:cs="仿宋" w:hint="eastAsia"/>
                <w:b/>
                <w:bCs w:val="0"/>
                <w:color w:val="auto"/>
                <w:sz w:val="24"/>
                <w:highlight w:val="yellow"/>
                <w:lang w:val="en-US" w:eastAsia="zh-CN"/>
              </w:rPr>
              <w:t>数字式十二导心电图机</w:t>
            </w:r>
            <w:r>
              <w:rPr>
                <w:rFonts w:ascii="仿宋" w:eastAsia="仿宋" w:hAnsi="仿宋" w:cs="仿宋" w:hint="eastAsia"/>
                <w:b/>
                <w:bCs w:val="0"/>
                <w:color w:val="auto"/>
                <w:sz w:val="24"/>
                <w:highlight w:val="yellow"/>
              </w:rPr>
              <w:t>配置清</w:t>
            </w:r>
            <w:r>
              <w:rPr>
                <w:rFonts w:ascii="仿宋" w:eastAsia="仿宋" w:hAnsi="仿宋" w:cs="仿宋" w:hint="eastAsia"/>
                <w:b/>
                <w:color w:val="auto"/>
                <w:sz w:val="24"/>
                <w:highlight w:val="yellow"/>
              </w:rPr>
              <w:t>单</w:t>
            </w:r>
            <w:r>
              <w:rPr>
                <w:rFonts w:ascii="仿宋" w:eastAsia="仿宋" w:hAnsi="仿宋" w:cs="仿宋" w:hint="eastAsia"/>
                <w:b/>
                <w:color w:val="auto"/>
                <w:sz w:val="24"/>
                <w:highlight w:val="yellow"/>
                <w:lang w:val="en-US" w:eastAsia="zh-CN"/>
              </w:rPr>
              <w:t>(2台)</w:t>
            </w:r>
          </w:p>
        </w:tc>
      </w:tr>
      <w:tr>
        <w:tblPrEx>
          <w:jc w:val="center"/>
          <w:tblInd w:w="-419" w:type="dxa"/>
          <w:tblLayout w:type="fixed"/>
          <w:tblCellMar>
            <w:top w:w="0" w:type="dxa"/>
            <w:left w:w="108" w:type="dxa"/>
            <w:bottom w:w="0" w:type="dxa"/>
            <w:right w:w="108" w:type="dxa"/>
          </w:tblCellMar>
          <w:tblLook w:val="0000"/>
        </w:tblPrEx>
        <w:trPr>
          <w:trHeight w:val="90"/>
          <w:jc w:val="center"/>
        </w:trPr>
        <w:tc>
          <w:tcPr>
            <w:tcW w:w="84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序号</w:t>
            </w:r>
          </w:p>
        </w:tc>
        <w:tc>
          <w:tcPr>
            <w:tcW w:w="39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产品名称</w:t>
            </w:r>
          </w:p>
        </w:tc>
        <w:tc>
          <w:tcPr>
            <w:tcW w:w="148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单位</w:t>
            </w:r>
          </w:p>
        </w:tc>
        <w:tc>
          <w:tcPr>
            <w:tcW w:w="1323"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数量</w:t>
            </w:r>
          </w:p>
        </w:tc>
        <w:tc>
          <w:tcPr>
            <w:tcW w:w="2482"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b/>
                <w:bCs/>
                <w:color w:val="auto"/>
                <w:kern w:val="0"/>
                <w:sz w:val="24"/>
              </w:rPr>
            </w:pPr>
            <w:r>
              <w:rPr>
                <w:rFonts w:ascii="仿宋" w:eastAsia="仿宋" w:hAnsi="仿宋" w:cs="仿宋" w:hint="eastAsia"/>
                <w:b/>
                <w:bCs/>
                <w:color w:val="auto"/>
                <w:kern w:val="0"/>
                <w:sz w:val="24"/>
              </w:rPr>
              <w:t>备注</w:t>
            </w:r>
          </w:p>
        </w:tc>
      </w:tr>
      <w:tr>
        <w:tblPrEx>
          <w:jc w:val="center"/>
          <w:tblInd w:w="-419" w:type="dxa"/>
          <w:tblLayout w:type="fixed"/>
          <w:tblCellMar>
            <w:top w:w="0" w:type="dxa"/>
            <w:left w:w="108" w:type="dxa"/>
            <w:bottom w:w="0" w:type="dxa"/>
            <w:right w:w="108" w:type="dxa"/>
          </w:tblCellMar>
          <w:tblLook w:val="0000"/>
        </w:tblPrEx>
        <w:trPr>
          <w:trHeight w:val="265"/>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1</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主机</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台</w:t>
            </w:r>
          </w:p>
        </w:tc>
        <w:tc>
          <w:tcPr>
            <w:tcW w:w="1323" w:type="dxa"/>
            <w:tcBorders>
              <w:top w:val="single" w:sz="4" w:space="0" w:color="auto"/>
              <w:left w:val="single" w:sz="4" w:space="0" w:color="auto"/>
              <w:bottom w:val="single" w:sz="4" w:space="0" w:color="auto"/>
              <w:right w:val="single" w:sz="4" w:space="0" w:color="auto"/>
            </w:tcBorders>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57"/>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心电导联线</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根</w:t>
            </w:r>
          </w:p>
        </w:tc>
        <w:tc>
          <w:tcPr>
            <w:tcW w:w="1323" w:type="dxa"/>
            <w:tcBorders>
              <w:top w:val="single" w:sz="4" w:space="0" w:color="auto"/>
              <w:left w:val="single" w:sz="4" w:space="0" w:color="auto"/>
              <w:bottom w:val="single" w:sz="4" w:space="0" w:color="auto"/>
              <w:right w:val="single" w:sz="4" w:space="0" w:color="auto"/>
            </w:tcBorders>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4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3</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胸电极</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盒</w:t>
            </w:r>
          </w:p>
        </w:tc>
        <w:tc>
          <w:tcPr>
            <w:tcW w:w="1323" w:type="dxa"/>
            <w:tcBorders>
              <w:top w:val="single" w:sz="4" w:space="0" w:color="auto"/>
              <w:left w:val="single" w:sz="4" w:space="0" w:color="auto"/>
              <w:bottom w:val="single" w:sz="4" w:space="0" w:color="auto"/>
              <w:right w:val="single" w:sz="4" w:space="0" w:color="auto"/>
            </w:tcBorders>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7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4</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lang w:val="fr-FR"/>
              </w:rPr>
            </w:pPr>
            <w:r>
              <w:rPr>
                <w:rFonts w:ascii="仿宋" w:eastAsia="仿宋" w:hAnsi="仿宋" w:cs="仿宋" w:hint="eastAsia"/>
                <w:bCs/>
                <w:iCs/>
                <w:sz w:val="24"/>
                <w:szCs w:val="24"/>
                <w:lang w:val="en-US" w:eastAsia="zh-CN"/>
              </w:rPr>
              <w:t>肢电极</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盒</w:t>
            </w:r>
          </w:p>
        </w:tc>
        <w:tc>
          <w:tcPr>
            <w:tcW w:w="1323" w:type="dxa"/>
            <w:tcBorders>
              <w:top w:val="single" w:sz="4" w:space="0" w:color="auto"/>
              <w:left w:val="single" w:sz="4" w:space="0" w:color="auto"/>
              <w:bottom w:val="single" w:sz="4" w:space="0" w:color="auto"/>
              <w:right w:val="single" w:sz="4" w:space="0" w:color="auto"/>
            </w:tcBorders>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7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5</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lang w:val="fr-FR"/>
              </w:rPr>
            </w:pPr>
            <w:r>
              <w:rPr>
                <w:rFonts w:ascii="仿宋" w:eastAsia="仿宋" w:hAnsi="仿宋" w:cs="仿宋" w:hint="eastAsia"/>
                <w:bCs/>
                <w:iCs/>
                <w:sz w:val="24"/>
                <w:szCs w:val="24"/>
                <w:lang w:val="en-US" w:eastAsia="zh-CN"/>
              </w:rPr>
              <w:t>记录纸</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本</w:t>
            </w:r>
          </w:p>
        </w:tc>
        <w:tc>
          <w:tcPr>
            <w:tcW w:w="1323" w:type="dxa"/>
            <w:tcBorders>
              <w:top w:val="single" w:sz="4" w:space="0" w:color="auto"/>
              <w:left w:val="single" w:sz="4" w:space="0" w:color="auto"/>
              <w:bottom w:val="single" w:sz="4" w:space="0" w:color="auto"/>
              <w:right w:val="single" w:sz="4" w:space="0" w:color="auto"/>
            </w:tcBorders>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7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6</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lang w:val="fr-FR"/>
              </w:rPr>
            </w:pPr>
            <w:r>
              <w:rPr>
                <w:rFonts w:ascii="仿宋" w:eastAsia="仿宋" w:hAnsi="仿宋" w:cs="仿宋" w:hint="eastAsia"/>
                <w:bCs/>
                <w:iCs/>
                <w:sz w:val="24"/>
                <w:szCs w:val="24"/>
                <w:lang w:val="en-US" w:eastAsia="zh-CN"/>
              </w:rPr>
              <w:t>锂电池</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个</w:t>
            </w:r>
          </w:p>
        </w:tc>
        <w:tc>
          <w:tcPr>
            <w:tcW w:w="1323" w:type="dxa"/>
            <w:tcBorders>
              <w:top w:val="single" w:sz="4" w:space="0" w:color="auto"/>
              <w:left w:val="single" w:sz="4" w:space="0" w:color="auto"/>
              <w:bottom w:val="single" w:sz="4" w:space="0" w:color="auto"/>
              <w:right w:val="single" w:sz="4" w:space="0" w:color="auto"/>
            </w:tcBorders>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7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7</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lang w:val="fr-FR"/>
              </w:rPr>
            </w:pPr>
            <w:r>
              <w:rPr>
                <w:rFonts w:ascii="仿宋" w:eastAsia="仿宋" w:hAnsi="仿宋" w:cs="仿宋" w:hint="eastAsia"/>
                <w:bCs/>
                <w:iCs/>
                <w:sz w:val="24"/>
                <w:szCs w:val="24"/>
                <w:lang w:val="en-US" w:eastAsia="zh-CN"/>
              </w:rPr>
              <w:t>保险管</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个</w:t>
            </w:r>
          </w:p>
        </w:tc>
        <w:tc>
          <w:tcPr>
            <w:tcW w:w="1323" w:type="dxa"/>
            <w:tcBorders>
              <w:top w:val="single" w:sz="4" w:space="0" w:color="auto"/>
              <w:left w:val="single" w:sz="4" w:space="0" w:color="auto"/>
              <w:bottom w:val="single" w:sz="4" w:space="0" w:color="auto"/>
              <w:right w:val="single" w:sz="4" w:space="0" w:color="auto"/>
            </w:tcBorders>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4</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7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8</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lang w:val="fr-FR"/>
              </w:rPr>
            </w:pPr>
            <w:r>
              <w:rPr>
                <w:rFonts w:ascii="仿宋" w:eastAsia="仿宋" w:hAnsi="仿宋" w:cs="仿宋" w:hint="eastAsia"/>
                <w:bCs/>
                <w:iCs/>
                <w:sz w:val="24"/>
                <w:szCs w:val="24"/>
                <w:lang w:val="en-US" w:eastAsia="zh-CN"/>
              </w:rPr>
              <w:t>电源线</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根</w:t>
            </w:r>
          </w:p>
        </w:tc>
        <w:tc>
          <w:tcPr>
            <w:tcW w:w="1323" w:type="dxa"/>
            <w:tcBorders>
              <w:top w:val="single" w:sz="4" w:space="0" w:color="auto"/>
              <w:left w:val="single" w:sz="4" w:space="0" w:color="auto"/>
              <w:bottom w:val="single" w:sz="4" w:space="0" w:color="auto"/>
              <w:right w:val="single" w:sz="4" w:space="0" w:color="auto"/>
            </w:tcBorders>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r>
        <w:tblPrEx>
          <w:jc w:val="center"/>
          <w:tblInd w:w="-419" w:type="dxa"/>
          <w:tblLayout w:type="fixed"/>
          <w:tblCellMar>
            <w:top w:w="0" w:type="dxa"/>
            <w:left w:w="108" w:type="dxa"/>
            <w:bottom w:w="0" w:type="dxa"/>
            <w:right w:w="108" w:type="dxa"/>
          </w:tblCellMar>
          <w:tblLook w:val="0000"/>
        </w:tblPrEx>
        <w:trPr>
          <w:trHeight w:val="272"/>
          <w:jc w:val="center"/>
        </w:trPr>
        <w:tc>
          <w:tcPr>
            <w:tcW w:w="840"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default"/>
                <w:bCs/>
                <w:iCs/>
                <w:sz w:val="24"/>
              </w:rPr>
            </w:pPr>
            <w:r>
              <w:rPr>
                <w:rFonts w:ascii="仿宋" w:eastAsia="仿宋" w:hAnsi="仿宋" w:cs="仿宋" w:hint="eastAsia"/>
                <w:bCs/>
                <w:iCs/>
                <w:sz w:val="24"/>
                <w:szCs w:val="24"/>
                <w:lang w:val="en-US" w:eastAsia="zh-CN"/>
              </w:rPr>
              <w:t>9</w:t>
            </w:r>
          </w:p>
        </w:tc>
        <w:tc>
          <w:tcPr>
            <w:tcW w:w="3935"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lang w:val="fr-FR"/>
              </w:rPr>
            </w:pPr>
            <w:r>
              <w:rPr>
                <w:rFonts w:ascii="仿宋" w:eastAsia="仿宋" w:hAnsi="仿宋" w:cs="仿宋" w:hint="eastAsia"/>
                <w:bCs/>
                <w:iCs/>
                <w:sz w:val="24"/>
                <w:szCs w:val="24"/>
                <w:lang w:val="en-US" w:eastAsia="zh-CN"/>
              </w:rPr>
              <w:t>说明书</w:t>
            </w:r>
          </w:p>
        </w:tc>
        <w:tc>
          <w:tcPr>
            <w:tcW w:w="1486"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份</w:t>
            </w:r>
          </w:p>
        </w:tc>
        <w:tc>
          <w:tcPr>
            <w:tcW w:w="1323" w:type="dxa"/>
            <w:tcBorders>
              <w:top w:val="single" w:sz="4" w:space="0" w:color="auto"/>
              <w:left w:val="single" w:sz="4" w:space="0" w:color="auto"/>
              <w:bottom w:val="single" w:sz="4" w:space="0" w:color="auto"/>
              <w:right w:val="single" w:sz="4" w:space="0" w:color="auto"/>
            </w:tcBorders>
          </w:tcPr>
          <w:p>
            <w:pPr>
              <w:spacing w:line="240" w:lineRule="auto"/>
              <w:jc w:val="center"/>
              <w:rPr>
                <w:rFonts w:ascii="仿宋" w:eastAsia="仿宋" w:hAnsi="仿宋" w:cs="仿宋" w:hint="eastAsia"/>
                <w:bCs/>
                <w:iCs/>
                <w:sz w:val="24"/>
              </w:rPr>
            </w:pPr>
            <w:r>
              <w:rPr>
                <w:rFonts w:ascii="仿宋" w:eastAsia="仿宋" w:hAnsi="仿宋" w:cs="仿宋" w:hint="eastAsia"/>
                <w:bCs/>
                <w:iCs/>
                <w:sz w:val="24"/>
                <w:szCs w:val="24"/>
                <w:lang w:val="en-US" w:eastAsia="zh-CN"/>
              </w:rPr>
              <w:t>2</w:t>
            </w:r>
          </w:p>
        </w:tc>
        <w:tc>
          <w:tcPr>
            <w:tcW w:w="2482" w:type="dxa"/>
            <w:tcBorders>
              <w:top w:val="single" w:sz="4" w:space="0" w:color="auto"/>
              <w:left w:val="single" w:sz="4" w:space="0" w:color="auto"/>
              <w:bottom w:val="single" w:sz="4" w:space="0" w:color="auto"/>
              <w:right w:val="single" w:sz="4" w:space="0" w:color="auto"/>
            </w:tcBorders>
            <w:vAlign w:val="center"/>
          </w:tcPr>
          <w:p>
            <w:pPr>
              <w:spacing w:line="240" w:lineRule="auto"/>
              <w:jc w:val="center"/>
              <w:rPr>
                <w:rFonts w:ascii="仿宋" w:eastAsia="仿宋" w:hAnsi="仿宋" w:cs="仿宋" w:hint="eastAsia"/>
                <w:bCs/>
                <w:iCs/>
                <w:sz w:val="24"/>
              </w:rPr>
            </w:pPr>
          </w:p>
        </w:tc>
      </w:tr>
    </w:tbl>
    <w:p>
      <w:pPr>
        <w:spacing w:line="240" w:lineRule="auto"/>
        <w:jc w:val="center"/>
        <w:rPr>
          <w:rFonts w:eastAsia="宋体" w:hint="default"/>
        </w:rPr>
      </w:pPr>
    </w:p>
    <w:p>
      <w:pPr>
        <w:spacing w:line="240" w:lineRule="auto"/>
        <w:jc w:val="center"/>
        <w:rPr>
          <w:rFonts w:eastAsia="宋体" w:hint="default"/>
        </w:rPr>
      </w:pPr>
    </w:p>
    <w:p>
      <w:pPr>
        <w:snapToGrid w:val="0"/>
        <w:spacing w:line="440" w:lineRule="exact"/>
        <w:jc w:val="left"/>
        <w:rPr>
          <w:rFonts w:ascii="仿宋" w:eastAsia="仿宋" w:hAnsi="仿宋" w:cs="仿宋" w:hint="eastAsia"/>
          <w:b/>
          <w:sz w:val="24"/>
        </w:rPr>
      </w:pPr>
      <w:r>
        <w:rPr>
          <w:rFonts w:ascii="仿宋" w:eastAsia="仿宋" w:hAnsi="仿宋" w:cs="仿宋" w:hint="eastAsia"/>
          <w:b/>
          <w:sz w:val="24"/>
        </w:rPr>
        <w:t>五、采购项目商务要求</w:t>
      </w:r>
    </w:p>
    <w:p>
      <w:pPr>
        <w:snapToGrid w:val="0"/>
        <w:spacing w:line="440" w:lineRule="exact"/>
        <w:ind w:firstLine="481"/>
        <w:jc w:val="left"/>
        <w:rPr>
          <w:rFonts w:ascii="仿宋" w:eastAsia="仿宋" w:hAnsi="仿宋" w:cs="仿宋" w:hint="eastAsia"/>
          <w:sz w:val="24"/>
        </w:rPr>
      </w:pPr>
      <w:r>
        <w:rPr>
          <w:rFonts w:ascii="仿宋" w:eastAsia="仿宋" w:hAnsi="仿宋" w:cs="仿宋" w:hint="eastAsia"/>
          <w:sz w:val="24"/>
        </w:rPr>
        <w:t>★</w:t>
      </w:r>
      <w:r>
        <w:rPr>
          <w:rFonts w:ascii="仿宋" w:eastAsia="仿宋" w:hAnsi="仿宋" w:cs="仿宋" w:hint="eastAsia"/>
          <w:sz w:val="24"/>
        </w:rPr>
        <w:t>1、供货要求：</w:t>
      </w:r>
    </w:p>
    <w:p>
      <w:pPr>
        <w:spacing w:line="440" w:lineRule="exact"/>
        <w:ind w:firstLine="504" w:firstLineChars="210"/>
        <w:rPr>
          <w:rFonts w:ascii="仿宋" w:eastAsia="仿宋" w:hAnsi="仿宋" w:cs="仿宋" w:hint="eastAsia"/>
          <w:sz w:val="24"/>
        </w:rPr>
        <w:sectPr>
          <w:headerReference w:type="default" r:id="rId30"/>
          <w:footerReference w:type="default" r:id="rId31"/>
          <w:type w:val="nextPage"/>
          <w:pgSz w:w="11906" w:h="16838"/>
          <w:pgMar w:top="1440" w:right="1800" w:bottom="1440" w:left="1800" w:header="851" w:footer="992" w:gutter="0"/>
          <w:pgNumType w:fmt="decimal" w:start="14"/>
          <w:cols w:space="708"/>
          <w:titlePg w:val="0"/>
          <w:docGrid w:type="lines" w:linePitch="312"/>
        </w:sectPr>
      </w:pPr>
      <w:r>
        <w:rPr>
          <w:rFonts w:ascii="仿宋" w:eastAsia="仿宋" w:hAnsi="仿宋" w:cs="仿宋" w:hint="eastAsia"/>
          <w:sz w:val="24"/>
        </w:rPr>
        <w:t>（1）权利保证：卖方应保证卖给买方的产品或产品任何部分非他人所有或与他人共有，未设有抵押权、租赁权，未侵犯他人的专利权、版权、商标权等知识产权。一旦出现侵权，卖方应承担全部责任。</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（2）产品质量：</w:t>
      </w:r>
      <w:r>
        <w:rPr>
          <w:rFonts w:ascii="仿宋" w:eastAsia="仿宋" w:hAnsi="仿宋" w:cs="仿宋" w:hint="eastAsia"/>
          <w:sz w:val="24"/>
        </w:rPr>
        <w:t>①</w:t>
      </w:r>
      <w:r>
        <w:rPr>
          <w:rFonts w:ascii="仿宋" w:eastAsia="仿宋" w:hAnsi="仿宋" w:cs="仿宋" w:hint="eastAsia"/>
          <w:sz w:val="24"/>
        </w:rPr>
        <w:t>产品质量应符合中华人民共和国国家安全质量标准、环保标准、行业标准或货物来源国官方标准；</w:t>
      </w:r>
      <w:r>
        <w:rPr>
          <w:rFonts w:ascii="仿宋" w:eastAsia="仿宋" w:hAnsi="仿宋" w:cs="仿宋" w:hint="eastAsia"/>
          <w:sz w:val="24"/>
        </w:rPr>
        <w:t>②</w:t>
      </w:r>
      <w:r>
        <w:rPr>
          <w:rFonts w:ascii="仿宋" w:eastAsia="仿宋" w:hAnsi="仿宋" w:cs="仿宋" w:hint="eastAsia"/>
          <w:sz w:val="24"/>
        </w:rPr>
        <w:t>产品所有技术性能规格及参数，应符合招标文件和卖方投标文件所要求的技术标准及生产厂商公开的宣传资料和生产厂商官方网站宣传内容的标准要求。</w:t>
      </w:r>
      <w:r>
        <w:rPr>
          <w:rFonts w:ascii="仿宋" w:eastAsia="仿宋" w:hAnsi="仿宋" w:cs="仿宋" w:hint="eastAsia"/>
          <w:sz w:val="24"/>
        </w:rPr>
        <w:t>③</w:t>
      </w:r>
      <w:r>
        <w:rPr>
          <w:rFonts w:ascii="仿宋" w:eastAsia="仿宋" w:hAnsi="仿宋" w:cs="仿宋" w:hint="eastAsia"/>
          <w:sz w:val="24"/>
        </w:rPr>
        <w:t>卖方应保证提供的产品是全新未使用过的原厂合格正品（包括零部件），表面无划损、无任何缺陷隐患，在中国境内可依常规安全合法使用。</w:t>
      </w:r>
    </w:p>
    <w:p>
      <w:pPr>
        <w:spacing w:line="440" w:lineRule="exact"/>
        <w:ind w:firstLine="480"/>
        <w:rPr>
          <w:rFonts w:ascii="仿宋" w:eastAsia="仿宋" w:hAnsi="仿宋" w:cs="仿宋" w:hint="eastAsia"/>
          <w:b/>
          <w:color w:val="FF0000"/>
          <w:sz w:val="24"/>
        </w:rPr>
      </w:pPr>
      <w:r>
        <w:rPr>
          <w:rFonts w:ascii="仿宋" w:eastAsia="仿宋" w:hAnsi="仿宋" w:cs="仿宋" w:hint="eastAsia"/>
          <w:b/>
          <w:color w:val="FF0000"/>
          <w:sz w:val="24"/>
          <w:highlight w:val="yellow"/>
        </w:rPr>
        <w:t>按本条描述投标人应提供有效材料（抽验的检测报告或质量认证证书或者合格证或上级行政部门颁发的相关符合质量证书或其他任何可以有效证明产品质量合格的资料）证明其产品符合或优于质量要求，如未提供则该条款承诺无效。</w:t>
      </w:r>
    </w:p>
    <w:p>
      <w:pPr>
        <w:spacing w:line="440" w:lineRule="exact"/>
        <w:ind w:firstLine="504" w:firstLineChars="210"/>
        <w:rPr>
          <w:rFonts w:ascii="仿宋" w:eastAsia="仿宋" w:hAnsi="仿宋" w:cs="仿宋" w:hint="eastAsia"/>
          <w:sz w:val="24"/>
        </w:rPr>
      </w:pPr>
      <w:r>
        <w:rPr>
          <w:rFonts w:ascii="仿宋" w:eastAsia="仿宋" w:hAnsi="仿宋" w:cs="仿宋" w:hint="eastAsia"/>
          <w:b/>
          <w:bCs/>
          <w:sz w:val="24"/>
        </w:rPr>
        <w:t>如提供假冒伪劣或充装产品者，将按中标金额的十倍进行罚扣，且列入黑名单三年内不准参与我院的任何采买活动。</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（3）单证齐全：应有产品合格证（或质量证明）、使用说明、保修证明、发票和其它应具有的单证；若卖方所提供的产品是进口产品，则须提供合法的原生地证明、进口报关资料、商检证明。</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（4）货物为原厂商未启封全新包装，序列号、包装箱号与出厂批号一致，并可追索查阅。</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2、经验要求：供货方负责技术支持，费用均已涵盖在投标报价中。免费负责为买方产品(设备)使用人员的操作培训等工作，直至买方使用人员能独立正常操作使用为止。</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3、项目预算：详见投标邀请函。</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4、报价要求：投标人应对本项目所有采购内容进行报价，不允许只对其中部分内容进行报价，报价应为已经包括了运送到指定地点并完成安装调试交付使用的所有费用，设备报价均不得高于其预算价，报价高于预算价按投标无效处理。</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报价具体格式见投标文件报价表。</w:t>
      </w:r>
    </w:p>
    <w:p>
      <w:pPr>
        <w:spacing w:line="440" w:lineRule="exact"/>
        <w:ind w:firstLine="480" w:firstLineChars="200"/>
        <w:rPr>
          <w:rFonts w:ascii="仿宋" w:eastAsia="仿宋" w:hAnsi="仿宋" w:cs="仿宋" w:hint="eastAsia"/>
          <w:sz w:val="24"/>
        </w:rPr>
      </w:pPr>
      <w:r>
        <w:rPr>
          <w:rFonts w:ascii="仿宋" w:eastAsia="仿宋" w:hAnsi="仿宋" w:cs="仿宋" w:hint="eastAsia"/>
          <w:sz w:val="24"/>
        </w:rPr>
        <w:t>★</w:t>
      </w:r>
      <w:r>
        <w:rPr>
          <w:rFonts w:ascii="仿宋" w:eastAsia="仿宋" w:hAnsi="仿宋" w:cs="仿宋" w:hint="eastAsia"/>
          <w:sz w:val="24"/>
        </w:rPr>
        <w:t>5、交货时间和地点：合同签订后</w:t>
      </w:r>
      <w:r>
        <w:rPr>
          <w:rFonts w:ascii="仿宋" w:eastAsia="仿宋" w:hAnsi="仿宋" w:cs="仿宋" w:hint="eastAsia"/>
          <w:color w:val="FF0000"/>
          <w:sz w:val="24"/>
          <w:u w:val="single"/>
        </w:rPr>
        <w:t xml:space="preserve"> </w:t>
      </w:r>
      <w:r>
        <w:rPr>
          <w:rFonts w:ascii="仿宋" w:eastAsia="仿宋" w:hAnsi="仿宋" w:cs="仿宋" w:hint="eastAsia"/>
          <w:color w:val="FF0000"/>
          <w:sz w:val="24"/>
          <w:u w:val="single"/>
          <w:lang w:val="en-US" w:eastAsia="zh-CN"/>
        </w:rPr>
        <w:t xml:space="preserve">30 </w:t>
      </w:r>
      <w:r>
        <w:rPr>
          <w:rFonts w:ascii="仿宋" w:eastAsia="仿宋" w:hAnsi="仿宋" w:cs="仿宋" w:hint="eastAsia"/>
          <w:sz w:val="24"/>
        </w:rPr>
        <w:t>天内，卖方负责将产品运送至买方指定地点，产品需要安装调试的应及时安装调试并交付使用，并承担由此产生的全部等费用。</w:t>
      </w:r>
    </w:p>
    <w:p>
      <w:pPr>
        <w:spacing w:line="440" w:lineRule="exact"/>
        <w:ind w:firstLine="360" w:firstLineChars="150"/>
        <w:rPr>
          <w:rFonts w:ascii="仿宋" w:eastAsia="仿宋" w:hAnsi="仿宋" w:cs="仿宋" w:hint="eastAsia"/>
          <w:sz w:val="24"/>
        </w:rPr>
        <w:sectPr>
          <w:headerReference w:type="default" r:id="rId32"/>
          <w:footerReference w:type="default" r:id="rId33"/>
          <w:type w:val="nextPage"/>
          <w:pgSz w:w="11906" w:h="16838"/>
          <w:pgMar w:top="1440" w:right="1800" w:bottom="1440" w:left="1800" w:header="851" w:footer="992" w:gutter="0"/>
          <w:pgNumType w:fmt="decimal" w:start="15"/>
          <w:cols w:space="708"/>
          <w:titlePg w:val="0"/>
          <w:docGrid w:type="lines" w:linePitch="312"/>
        </w:sectPr>
      </w:pPr>
      <w:r>
        <w:rPr>
          <w:rFonts w:ascii="仿宋" w:eastAsia="仿宋" w:hAnsi="仿宋" w:cs="仿宋" w:hint="eastAsia"/>
          <w:sz w:val="24"/>
        </w:rPr>
        <w:t>★</w:t>
      </w:r>
      <w:r>
        <w:rPr>
          <w:rFonts w:ascii="仿宋" w:eastAsia="仿宋" w:hAnsi="仿宋" w:cs="仿宋" w:hint="eastAsia"/>
          <w:sz w:val="24"/>
        </w:rPr>
        <w:t>6、质保期：</w:t>
      </w:r>
      <w:r>
        <w:rPr>
          <w:rFonts w:ascii="仿宋" w:eastAsia="仿宋" w:hAnsi="仿宋" w:cs="仿宋" w:hint="eastAsia"/>
          <w:sz w:val="24"/>
          <w:highlight w:val="yellow"/>
          <w:lang w:val="en-US" w:eastAsia="zh-CN"/>
        </w:rPr>
        <w:t>01包裂隙灯显微镜产品</w:t>
      </w:r>
      <w:r>
        <w:rPr>
          <w:rFonts w:ascii="仿宋" w:eastAsia="仿宋" w:hAnsi="仿宋" w:cs="仿宋" w:hint="eastAsia"/>
          <w:sz w:val="24"/>
          <w:highlight w:val="yellow"/>
        </w:rPr>
        <w:t>质量保证（修）期为至少</w:t>
      </w:r>
      <w:r>
        <w:rPr>
          <w:rFonts w:ascii="仿宋" w:eastAsia="仿宋" w:hAnsi="仿宋" w:cs="仿宋" w:hint="eastAsia"/>
          <w:sz w:val="24"/>
          <w:highlight w:val="yellow"/>
          <w:u w:val="single"/>
        </w:rPr>
        <w:t xml:space="preserve"> </w:t>
      </w:r>
      <w:r>
        <w:rPr>
          <w:rFonts w:ascii="仿宋" w:eastAsia="仿宋" w:hAnsi="仿宋" w:cs="仿宋" w:hint="eastAsia"/>
          <w:sz w:val="24"/>
          <w:highlight w:val="yellow"/>
          <w:u w:val="single"/>
          <w:lang w:eastAsia="zh-CN"/>
        </w:rPr>
        <w:t>叁</w:t>
      </w:r>
      <w:r>
        <w:rPr>
          <w:rFonts w:ascii="仿宋" w:eastAsia="仿宋" w:hAnsi="仿宋" w:cs="仿宋" w:hint="eastAsia"/>
          <w:sz w:val="24"/>
          <w:highlight w:val="yellow"/>
          <w:u w:val="single"/>
          <w:lang w:val="en-US" w:eastAsia="zh-CN"/>
        </w:rPr>
        <w:t xml:space="preserve"> </w:t>
      </w:r>
      <w:r>
        <w:rPr>
          <w:rFonts w:ascii="仿宋" w:eastAsia="仿宋" w:hAnsi="仿宋" w:cs="仿宋" w:hint="eastAsia"/>
          <w:sz w:val="24"/>
          <w:highlight w:val="yellow"/>
        </w:rPr>
        <w:t>年</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病人监护仪</w:t>
      </w:r>
      <w:r>
        <w:rPr>
          <w:rFonts w:ascii="仿宋" w:eastAsia="仿宋" w:hAnsi="仿宋" w:cs="仿宋" w:hint="eastAsia"/>
          <w:sz w:val="24"/>
          <w:highlight w:val="yellow"/>
        </w:rPr>
        <w:t>产品质量保证（修）期为至少</w:t>
      </w:r>
      <w:r>
        <w:rPr>
          <w:rFonts w:ascii="仿宋" w:eastAsia="仿宋" w:hAnsi="仿宋" w:cs="仿宋" w:hint="eastAsia"/>
          <w:sz w:val="24"/>
          <w:highlight w:val="yellow"/>
          <w:u w:val="single"/>
          <w:lang w:val="en-US" w:eastAsia="zh-CN"/>
        </w:rPr>
        <w:t xml:space="preserve"> </w:t>
      </w:r>
      <w:r>
        <w:rPr>
          <w:rFonts w:ascii="仿宋" w:eastAsia="仿宋" w:hAnsi="仿宋" w:cs="仿宋" w:hint="eastAsia"/>
          <w:sz w:val="24"/>
          <w:highlight w:val="yellow"/>
          <w:u w:val="single"/>
          <w:lang w:eastAsia="zh-CN"/>
        </w:rPr>
        <w:t>壹</w:t>
      </w:r>
      <w:r>
        <w:rPr>
          <w:rFonts w:ascii="仿宋" w:eastAsia="仿宋" w:hAnsi="仿宋" w:cs="仿宋" w:hint="eastAsia"/>
          <w:sz w:val="24"/>
          <w:highlight w:val="yellow"/>
          <w:u w:val="single"/>
          <w:lang w:val="en-US" w:eastAsia="zh-CN"/>
        </w:rPr>
        <w:t xml:space="preserve"> </w:t>
      </w:r>
      <w:r>
        <w:rPr>
          <w:rFonts w:ascii="仿宋" w:eastAsia="仿宋" w:hAnsi="仿宋" w:cs="仿宋" w:hint="eastAsia"/>
          <w:sz w:val="24"/>
          <w:highlight w:val="yellow"/>
        </w:rPr>
        <w:t>年</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02包病人监护仪</w:t>
      </w:r>
      <w:r>
        <w:rPr>
          <w:rFonts w:ascii="仿宋" w:eastAsia="仿宋" w:hAnsi="仿宋" w:cs="仿宋" w:hint="eastAsia"/>
          <w:sz w:val="24"/>
          <w:highlight w:val="yellow"/>
        </w:rPr>
        <w:t>产品质量保证（修）期为至少</w:t>
      </w:r>
      <w:r>
        <w:rPr>
          <w:rFonts w:ascii="仿宋" w:eastAsia="仿宋" w:hAnsi="仿宋" w:cs="仿宋" w:hint="eastAsia"/>
          <w:sz w:val="24"/>
          <w:highlight w:val="yellow"/>
          <w:u w:val="single"/>
          <w:lang w:val="en-US" w:eastAsia="zh-CN"/>
        </w:rPr>
        <w:t xml:space="preserve"> </w:t>
      </w:r>
      <w:r>
        <w:rPr>
          <w:rFonts w:ascii="仿宋" w:eastAsia="仿宋" w:hAnsi="仿宋" w:cs="仿宋" w:hint="eastAsia"/>
          <w:sz w:val="24"/>
          <w:highlight w:val="yellow"/>
          <w:u w:val="single"/>
          <w:lang w:eastAsia="zh-CN"/>
        </w:rPr>
        <w:t>叁</w:t>
      </w:r>
      <w:r>
        <w:rPr>
          <w:rFonts w:ascii="仿宋" w:eastAsia="仿宋" w:hAnsi="仿宋" w:cs="仿宋" w:hint="eastAsia"/>
          <w:sz w:val="24"/>
          <w:highlight w:val="yellow"/>
          <w:u w:val="single"/>
          <w:lang w:val="en-US" w:eastAsia="zh-CN"/>
        </w:rPr>
        <w:t xml:space="preserve"> </w:t>
      </w:r>
      <w:r>
        <w:rPr>
          <w:rFonts w:ascii="仿宋" w:eastAsia="仿宋" w:hAnsi="仿宋" w:cs="仿宋" w:hint="eastAsia"/>
          <w:sz w:val="24"/>
          <w:highlight w:val="yellow"/>
        </w:rPr>
        <w:t>年，</w:t>
      </w:r>
      <w:r>
        <w:rPr>
          <w:rFonts w:ascii="仿宋" w:eastAsia="仿宋" w:hAnsi="仿宋" w:cs="仿宋" w:hint="eastAsia"/>
          <w:sz w:val="24"/>
          <w:highlight w:val="yellow"/>
          <w:lang w:eastAsia="zh-CN"/>
        </w:rPr>
        <w:t>除颤</w:t>
      </w:r>
      <w:r>
        <w:rPr>
          <w:rFonts w:ascii="仿宋" w:eastAsia="仿宋" w:hAnsi="仿宋" w:cs="仿宋" w:hint="eastAsia"/>
          <w:sz w:val="24"/>
          <w:highlight w:val="yellow"/>
        </w:rPr>
        <w:t>监护仪质量保证（修）期为至少</w:t>
      </w:r>
      <w:r>
        <w:rPr>
          <w:rFonts w:ascii="仿宋" w:eastAsia="仿宋" w:hAnsi="仿宋" w:cs="仿宋" w:hint="eastAsia"/>
          <w:sz w:val="24"/>
          <w:highlight w:val="yellow"/>
          <w:u w:val="single"/>
        </w:rPr>
        <w:t xml:space="preserve"> </w:t>
      </w:r>
      <w:r>
        <w:rPr>
          <w:rFonts w:ascii="仿宋" w:eastAsia="仿宋" w:hAnsi="仿宋" w:cs="仿宋" w:hint="eastAsia"/>
          <w:sz w:val="24"/>
          <w:highlight w:val="yellow"/>
          <w:u w:val="single"/>
          <w:lang w:eastAsia="zh-CN"/>
        </w:rPr>
        <w:t>贰</w:t>
      </w:r>
      <w:r>
        <w:rPr>
          <w:rFonts w:ascii="仿宋" w:eastAsia="仿宋" w:hAnsi="仿宋" w:cs="仿宋" w:hint="eastAsia"/>
          <w:sz w:val="24"/>
          <w:highlight w:val="yellow"/>
          <w:u w:val="single"/>
        </w:rPr>
        <w:t xml:space="preserve"> </w:t>
      </w:r>
      <w:r>
        <w:rPr>
          <w:rFonts w:ascii="仿宋" w:eastAsia="仿宋" w:hAnsi="仿宋" w:cs="仿宋" w:hint="eastAsia"/>
          <w:sz w:val="24"/>
          <w:highlight w:val="yellow"/>
        </w:rPr>
        <w:t>年</w:t>
      </w:r>
      <w:r>
        <w:rPr>
          <w:rFonts w:ascii="仿宋" w:eastAsia="仿宋" w:hAnsi="仿宋" w:cs="仿宋" w:hint="eastAsia"/>
          <w:sz w:val="24"/>
          <w:highlight w:val="yellow"/>
          <w:lang w:eastAsia="zh-CN"/>
        </w:rPr>
        <w:t>；</w:t>
      </w:r>
    </w:p>
    <w:p>
      <w:pPr>
        <w:spacing w:line="440" w:lineRule="exact"/>
        <w:ind w:firstLine="360" w:firstLineChars="150"/>
        <w:rPr>
          <w:rFonts w:ascii="仿宋" w:eastAsia="仿宋" w:hAnsi="仿宋" w:cs="仿宋" w:hint="eastAsia"/>
          <w:sz w:val="24"/>
        </w:rPr>
      </w:pPr>
      <w:r>
        <w:rPr>
          <w:rFonts w:ascii="仿宋" w:eastAsia="仿宋" w:hAnsi="仿宋" w:cs="仿宋" w:hint="eastAsia"/>
          <w:sz w:val="24"/>
          <w:highlight w:val="yellow"/>
          <w:lang w:val="en-US" w:eastAsia="zh-CN"/>
        </w:rPr>
        <w:t>03包数字式十二导心电图机产品</w:t>
      </w:r>
      <w:r>
        <w:rPr>
          <w:rFonts w:ascii="仿宋" w:eastAsia="仿宋" w:hAnsi="仿宋" w:cs="仿宋" w:hint="eastAsia"/>
          <w:sz w:val="24"/>
          <w:highlight w:val="yellow"/>
        </w:rPr>
        <w:t>质量保证（修）期为至少</w:t>
      </w:r>
      <w:r>
        <w:rPr>
          <w:rFonts w:ascii="仿宋" w:eastAsia="仿宋" w:hAnsi="仿宋" w:cs="仿宋" w:hint="eastAsia"/>
          <w:sz w:val="24"/>
          <w:highlight w:val="yellow"/>
          <w:u w:val="single"/>
        </w:rPr>
        <w:t xml:space="preserve"> </w:t>
      </w:r>
      <w:r>
        <w:rPr>
          <w:rFonts w:ascii="仿宋" w:eastAsia="仿宋" w:hAnsi="仿宋" w:cs="仿宋" w:hint="eastAsia"/>
          <w:sz w:val="24"/>
          <w:highlight w:val="yellow"/>
          <w:u w:val="single"/>
          <w:lang w:eastAsia="zh-CN"/>
        </w:rPr>
        <w:t>壹</w:t>
      </w:r>
      <w:r>
        <w:rPr>
          <w:rFonts w:ascii="仿宋" w:eastAsia="仿宋" w:hAnsi="仿宋" w:cs="仿宋" w:hint="eastAsia"/>
          <w:sz w:val="24"/>
          <w:highlight w:val="yellow"/>
          <w:u w:val="single"/>
          <w:lang w:val="en-US" w:eastAsia="zh-CN"/>
        </w:rPr>
        <w:t xml:space="preserve"> </w:t>
      </w:r>
      <w:r>
        <w:rPr>
          <w:rFonts w:ascii="仿宋" w:eastAsia="仿宋" w:hAnsi="仿宋" w:cs="仿宋" w:hint="eastAsia"/>
          <w:sz w:val="24"/>
          <w:highlight w:val="yellow"/>
        </w:rPr>
        <w:t>年</w:t>
      </w:r>
      <w:r>
        <w:rPr>
          <w:rFonts w:ascii="仿宋" w:eastAsia="仿宋" w:hAnsi="仿宋" w:cs="仿宋" w:hint="eastAsia"/>
          <w:sz w:val="24"/>
          <w:highlight w:val="yellow"/>
          <w:lang w:eastAsia="zh-CN"/>
        </w:rPr>
        <w:t>。</w:t>
      </w:r>
      <w:r>
        <w:rPr>
          <w:rFonts w:ascii="仿宋" w:eastAsia="仿宋" w:hAnsi="仿宋" w:cs="仿宋" w:hint="eastAsia"/>
          <w:sz w:val="24"/>
        </w:rPr>
        <w:t>产品质量保证（修）期限从产品验收合格之日起计算</w:t>
      </w:r>
      <w:r>
        <w:rPr>
          <w:rFonts w:ascii="仿宋" w:eastAsia="仿宋" w:hAnsi="仿宋" w:cs="仿宋" w:hint="eastAsia"/>
          <w:sz w:val="24"/>
          <w:lang w:eastAsia="zh-CN"/>
        </w:rPr>
        <w:t>，</w:t>
      </w:r>
      <w:r>
        <w:rPr>
          <w:rFonts w:ascii="仿宋" w:eastAsia="仿宋" w:hAnsi="仿宋" w:cs="仿宋" w:hint="eastAsia"/>
          <w:sz w:val="24"/>
        </w:rPr>
        <w:t>在质量保证（修）期内，凡属产品本身质量引起的故障，卖方负责免费保修</w:t>
      </w:r>
      <w:r>
        <w:rPr>
          <w:rFonts w:ascii="仿宋" w:eastAsia="仿宋" w:hAnsi="仿宋" w:cs="仿宋" w:hint="eastAsia"/>
          <w:sz w:val="24"/>
          <w:lang w:eastAsia="zh-CN"/>
        </w:rPr>
        <w:t>或退换</w:t>
      </w:r>
      <w:r>
        <w:rPr>
          <w:rFonts w:ascii="仿宋" w:eastAsia="仿宋" w:hAnsi="仿宋" w:cs="仿宋" w:hint="eastAsia"/>
          <w:sz w:val="24"/>
        </w:rPr>
        <w:t>，所有费用由卖方承担。</w:t>
      </w:r>
    </w:p>
    <w:p>
      <w:pPr>
        <w:numPr>
          <w:ilvl w:val="0"/>
          <w:numId w:val="16"/>
        </w:numPr>
        <w:spacing w:line="440" w:lineRule="exact"/>
        <w:ind w:firstLine="480" w:firstLineChars="200"/>
        <w:rPr>
          <w:rFonts w:ascii="仿宋" w:eastAsia="仿宋" w:hAnsi="仿宋" w:cs="仿宋" w:hint="eastAsia"/>
          <w:sz w:val="24"/>
        </w:rPr>
      </w:pPr>
      <w:r>
        <w:rPr>
          <w:rFonts w:ascii="仿宋" w:eastAsia="仿宋" w:hAnsi="仿宋" w:cs="仿宋" w:hint="eastAsia"/>
          <w:sz w:val="24"/>
        </w:rPr>
        <w:t>验收要求：</w:t>
      </w:r>
    </w:p>
    <w:p>
      <w:pPr>
        <w:spacing w:line="440" w:lineRule="exact"/>
        <w:ind w:firstLine="480" w:firstLineChars="200"/>
        <w:rPr>
          <w:rFonts w:ascii="仿宋" w:eastAsia="仿宋" w:hAnsi="仿宋" w:cs="仿宋" w:hint="eastAsia"/>
          <w:sz w:val="24"/>
        </w:rPr>
      </w:pPr>
      <w:r>
        <w:rPr>
          <w:rFonts w:ascii="仿宋" w:eastAsia="仿宋" w:hAnsi="仿宋" w:cs="仿宋" w:hint="eastAsia"/>
          <w:sz w:val="24"/>
        </w:rPr>
        <w:t>（1）产品安装、调试完毕试用</w:t>
      </w:r>
      <w:r>
        <w:rPr>
          <w:rFonts w:ascii="仿宋" w:eastAsia="仿宋" w:hAnsi="仿宋" w:cs="仿宋" w:hint="eastAsia"/>
          <w:color w:val="FF0000"/>
          <w:sz w:val="24"/>
          <w:u w:val="single"/>
        </w:rPr>
        <w:t xml:space="preserve"> </w:t>
      </w:r>
      <w:r>
        <w:rPr>
          <w:rFonts w:ascii="仿宋" w:eastAsia="仿宋" w:hAnsi="仿宋" w:cs="仿宋" w:hint="eastAsia"/>
          <w:b/>
          <w:bCs/>
          <w:color w:val="FF0000"/>
          <w:sz w:val="24"/>
          <w:u w:val="single"/>
          <w:lang w:val="en-US" w:eastAsia="zh-CN"/>
        </w:rPr>
        <w:t>1</w:t>
      </w:r>
      <w:r>
        <w:rPr>
          <w:rFonts w:ascii="仿宋" w:eastAsia="仿宋" w:hAnsi="仿宋" w:cs="仿宋" w:hint="eastAsia"/>
          <w:b/>
          <w:bCs/>
          <w:color w:val="FF0000"/>
          <w:sz w:val="24"/>
          <w:u w:val="single"/>
        </w:rPr>
        <w:t xml:space="preserve"> </w:t>
      </w:r>
      <w:r>
        <w:rPr>
          <w:rFonts w:ascii="仿宋" w:eastAsia="仿宋" w:hAnsi="仿宋" w:cs="仿宋" w:hint="eastAsia"/>
          <w:sz w:val="24"/>
          <w:lang w:eastAsia="zh-CN"/>
        </w:rPr>
        <w:t>个月</w:t>
      </w:r>
      <w:r>
        <w:rPr>
          <w:rFonts w:ascii="仿宋" w:eastAsia="仿宋" w:hAnsi="仿宋" w:cs="仿宋" w:hint="eastAsia"/>
          <w:sz w:val="24"/>
        </w:rPr>
        <w:t>后，由乙方提出验收申请，甲方应于乙方提出验收申请后</w:t>
      </w:r>
      <w:r>
        <w:rPr>
          <w:rFonts w:ascii="仿宋" w:eastAsia="仿宋" w:hAnsi="仿宋" w:cs="仿宋" w:hint="eastAsia"/>
          <w:color w:val="FF0000"/>
          <w:sz w:val="24"/>
          <w:u w:val="single"/>
        </w:rPr>
        <w:t xml:space="preserve"> </w:t>
      </w:r>
      <w:r>
        <w:rPr>
          <w:rFonts w:ascii="仿宋" w:eastAsia="仿宋" w:hAnsi="仿宋" w:cs="仿宋" w:hint="eastAsia"/>
          <w:color w:val="FF0000"/>
          <w:sz w:val="24"/>
          <w:u w:val="single"/>
          <w:lang w:val="en-US" w:eastAsia="zh-CN"/>
        </w:rPr>
        <w:t xml:space="preserve">10 </w:t>
      </w:r>
      <w:r>
        <w:rPr>
          <w:rFonts w:ascii="仿宋" w:eastAsia="仿宋" w:hAnsi="仿宋" w:cs="仿宋" w:hint="eastAsia"/>
          <w:sz w:val="24"/>
        </w:rPr>
        <w:t>个工作日内组织验收。</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（2）所有货物在开封时必须完好，无破损，配置与装箱单相符，数量、质量及性能应符合招标文件及投标文件要求。</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（3）拆封后，中标人应对其全部产品、零件、配件、用户许可证书、资料、介质造册登记，登记册作为验收文档之一。</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（4）中标人应负责在项目验收时将全部有关产品说明书、原厂家安装手册、技术文件、资料、及安装、验收报告等文档汇集成册交付给采购人。</w:t>
      </w:r>
    </w:p>
    <w:p>
      <w:pPr>
        <w:tabs>
          <w:tab w:val="left" w:pos="5878"/>
        </w:tabs>
        <w:spacing w:line="440" w:lineRule="exact"/>
        <w:ind w:firstLine="480" w:firstLineChars="200"/>
        <w:rPr>
          <w:rFonts w:ascii="仿宋" w:eastAsia="仿宋" w:hAnsi="仿宋" w:cs="仿宋" w:hint="eastAsia"/>
          <w:sz w:val="24"/>
        </w:rPr>
      </w:pPr>
      <w:r>
        <w:rPr>
          <w:rFonts w:ascii="仿宋" w:eastAsia="仿宋" w:hAnsi="仿宋" w:cs="仿宋" w:hint="eastAsia"/>
          <w:sz w:val="24"/>
        </w:rPr>
        <w:t>8、售后服务：</w:t>
      </w:r>
      <w:r>
        <w:rPr>
          <w:rFonts w:ascii="仿宋" w:eastAsia="仿宋" w:hAnsi="仿宋" w:cs="仿宋" w:hint="eastAsia"/>
          <w:sz w:val="24"/>
          <w:lang w:eastAsia="zh-CN"/>
        </w:rPr>
        <w:tab/>
      </w:r>
    </w:p>
    <w:p>
      <w:pPr>
        <w:spacing w:line="360" w:lineRule="auto"/>
        <w:ind w:firstLine="504" w:firstLineChars="210"/>
        <w:rPr>
          <w:rFonts w:ascii="仿宋" w:eastAsia="仿宋" w:hAnsi="仿宋" w:cs="仿宋" w:hint="eastAsia"/>
          <w:sz w:val="24"/>
        </w:rPr>
      </w:pPr>
      <w:r>
        <w:rPr>
          <w:rFonts w:ascii="仿宋" w:eastAsia="仿宋" w:hAnsi="仿宋" w:cs="仿宋" w:hint="eastAsia"/>
          <w:sz w:val="24"/>
        </w:rPr>
        <w:t>（1）要求产品（设备）有良好的售后维修保障。质保期从产品验收合格之日起计算，质保期期限届满后，如采购人要求，中标人应长期负责有偿优惠维护。</w:t>
      </w:r>
    </w:p>
    <w:p>
      <w:pPr>
        <w:spacing w:line="360" w:lineRule="auto"/>
        <w:ind w:firstLine="504" w:firstLineChars="210"/>
        <w:rPr>
          <w:rFonts w:ascii="仿宋" w:eastAsia="仿宋" w:hAnsi="仿宋" w:cs="仿宋" w:hint="eastAsia"/>
          <w:sz w:val="24"/>
        </w:rPr>
      </w:pPr>
      <w:r>
        <w:rPr>
          <w:rFonts w:ascii="仿宋" w:eastAsia="仿宋" w:hAnsi="仿宋" w:cs="仿宋" w:hint="eastAsia"/>
          <w:sz w:val="24"/>
        </w:rPr>
        <w:t>（2）提供标准电话技术支持（7天</w:t>
      </w:r>
      <w:r>
        <w:rPr>
          <w:rFonts w:ascii="仿宋" w:eastAsia="仿宋" w:hAnsi="仿宋" w:cs="仿宋" w:hint="eastAsia"/>
          <w:sz w:val="24"/>
        </w:rPr>
        <w:t>×</w:t>
      </w:r>
      <w:r>
        <w:rPr>
          <w:rFonts w:ascii="仿宋" w:eastAsia="仿宋" w:hAnsi="仿宋" w:cs="仿宋" w:hint="eastAsia"/>
          <w:sz w:val="24"/>
        </w:rPr>
        <w:t>24小时）。如设备发生故障，设备故障报修的响应时间在2小时以内，维修工程师应在24小时内到达现场维修，并在48小时内排除故障。除特殊情况外，故障排除时间不得超过48小时。</w:t>
      </w:r>
    </w:p>
    <w:p>
      <w:pPr>
        <w:spacing w:line="360" w:lineRule="auto"/>
        <w:ind w:firstLine="504" w:firstLineChars="210"/>
        <w:rPr>
          <w:rFonts w:ascii="仿宋" w:eastAsia="仿宋" w:hAnsi="仿宋" w:cs="仿宋" w:hint="eastAsia"/>
          <w:sz w:val="24"/>
        </w:rPr>
      </w:pPr>
      <w:r>
        <w:rPr>
          <w:rFonts w:ascii="仿宋" w:eastAsia="仿宋" w:hAnsi="仿宋" w:cs="仿宋" w:hint="eastAsia"/>
          <w:sz w:val="24"/>
        </w:rPr>
        <w:t>（3）卖方免费负责为买方产品(设备)使用人员的操作培训等工作，直至买方使用人员能独立正常操作使用为止。</w:t>
      </w:r>
    </w:p>
    <w:p>
      <w:pPr>
        <w:spacing w:line="440" w:lineRule="exact"/>
        <w:ind w:firstLine="504" w:firstLineChars="210"/>
        <w:rPr>
          <w:rFonts w:ascii="仿宋" w:eastAsia="仿宋" w:hAnsi="仿宋" w:cs="仿宋" w:hint="eastAsia"/>
          <w:sz w:val="24"/>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9、付款期限及方式：</w:t>
      </w:r>
    </w:p>
    <w:p>
      <w:pPr>
        <w:spacing w:line="440" w:lineRule="exact"/>
        <w:ind w:firstLine="504" w:firstLineChars="210"/>
        <w:rPr>
          <w:rFonts w:ascii="仿宋" w:eastAsia="仿宋" w:hAnsi="仿宋" w:cs="仿宋" w:hint="eastAsia"/>
          <w:sz w:val="24"/>
          <w:highlight w:val="yellow"/>
        </w:rPr>
      </w:pPr>
      <w:r>
        <w:rPr>
          <w:rFonts w:ascii="仿宋" w:eastAsia="仿宋" w:hAnsi="仿宋" w:cs="仿宋" w:hint="eastAsia"/>
          <w:sz w:val="24"/>
          <w:highlight w:val="yellow"/>
        </w:rPr>
        <w:t>产品质量保修期</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2年，</w:t>
      </w:r>
      <w:r>
        <w:rPr>
          <w:rFonts w:ascii="仿宋" w:eastAsia="仿宋" w:hAnsi="仿宋" w:cs="仿宋" w:hint="eastAsia"/>
          <w:sz w:val="24"/>
          <w:highlight w:val="yellow"/>
        </w:rPr>
        <w:t>产品经验收合格后（验收合格后应当出具验收报告）</w:t>
      </w:r>
      <w:r>
        <w:rPr>
          <w:rFonts w:ascii="仿宋" w:eastAsia="仿宋" w:hAnsi="仿宋" w:cs="仿宋" w:hint="eastAsia"/>
          <w:sz w:val="24"/>
          <w:highlight w:val="yellow"/>
          <w:lang w:val="en-US" w:eastAsia="zh-CN"/>
        </w:rPr>
        <w:t>90天</w:t>
      </w:r>
      <w:r>
        <w:rPr>
          <w:rFonts w:ascii="仿宋" w:eastAsia="仿宋" w:hAnsi="仿宋" w:cs="仿宋" w:hint="eastAsia"/>
          <w:sz w:val="24"/>
          <w:highlight w:val="yellow"/>
        </w:rPr>
        <w:t>内，凭</w:t>
      </w:r>
      <w:r>
        <w:rPr>
          <w:rFonts w:ascii="仿宋" w:eastAsia="仿宋" w:hAnsi="仿宋" w:cs="仿宋" w:hint="eastAsia"/>
          <w:sz w:val="24"/>
          <w:highlight w:val="yellow"/>
          <w:lang w:eastAsia="zh-CN"/>
        </w:rPr>
        <w:t>中标人</w:t>
      </w:r>
      <w:r>
        <w:rPr>
          <w:rFonts w:ascii="仿宋" w:eastAsia="仿宋" w:hAnsi="仿宋" w:cs="仿宋" w:hint="eastAsia"/>
          <w:sz w:val="24"/>
          <w:highlight w:val="yellow"/>
        </w:rPr>
        <w:t>开具的正式发票由</w:t>
      </w:r>
      <w:r>
        <w:rPr>
          <w:rFonts w:ascii="仿宋" w:eastAsia="仿宋" w:hAnsi="仿宋" w:cs="仿宋" w:hint="eastAsia"/>
          <w:sz w:val="24"/>
          <w:highlight w:val="yellow"/>
          <w:lang w:eastAsia="zh-CN"/>
        </w:rPr>
        <w:t>采购人</w:t>
      </w:r>
      <w:r>
        <w:rPr>
          <w:rFonts w:ascii="仿宋" w:eastAsia="仿宋" w:hAnsi="仿宋" w:cs="仿宋" w:hint="eastAsia"/>
          <w:sz w:val="24"/>
          <w:highlight w:val="yellow"/>
        </w:rPr>
        <w:t>支付</w:t>
      </w:r>
      <w:r>
        <w:rPr>
          <w:rFonts w:ascii="仿宋" w:eastAsia="仿宋" w:hAnsi="仿宋" w:cs="仿宋" w:hint="eastAsia"/>
          <w:sz w:val="24"/>
          <w:highlight w:val="yellow"/>
          <w:lang w:eastAsia="zh-CN"/>
        </w:rPr>
        <w:t>中标人</w:t>
      </w:r>
      <w:r>
        <w:rPr>
          <w:rFonts w:ascii="仿宋" w:eastAsia="仿宋" w:hAnsi="仿宋" w:cs="仿宋" w:hint="eastAsia"/>
          <w:sz w:val="24"/>
          <w:highlight w:val="yellow"/>
        </w:rPr>
        <w:t>合同总金额的</w:t>
      </w:r>
      <w:r>
        <w:rPr>
          <w:rFonts w:ascii="仿宋" w:eastAsia="仿宋" w:hAnsi="仿宋" w:cs="仿宋" w:hint="eastAsia"/>
          <w:sz w:val="24"/>
          <w:highlight w:val="yellow"/>
          <w:lang w:val="en-US" w:eastAsia="zh-CN"/>
        </w:rPr>
        <w:t>8</w:t>
      </w:r>
      <w:r>
        <w:rPr>
          <w:rFonts w:ascii="仿宋" w:eastAsia="仿宋" w:hAnsi="仿宋" w:cs="仿宋" w:hint="eastAsia"/>
          <w:sz w:val="24"/>
          <w:highlight w:val="yellow"/>
        </w:rPr>
        <w:t>0%，产品质量保修期</w:t>
      </w:r>
      <w:r>
        <w:rPr>
          <w:rFonts w:ascii="仿宋" w:eastAsia="仿宋" w:hAnsi="仿宋" w:cs="仿宋" w:hint="eastAsia"/>
          <w:sz w:val="24"/>
          <w:highlight w:val="yellow"/>
          <w:lang w:eastAsia="zh-CN"/>
        </w:rPr>
        <w:t>期</w:t>
      </w:r>
      <w:r>
        <w:rPr>
          <w:rFonts w:ascii="仿宋" w:eastAsia="仿宋" w:hAnsi="仿宋" w:cs="仿宋" w:hint="eastAsia"/>
          <w:sz w:val="24"/>
          <w:highlight w:val="yellow"/>
        </w:rPr>
        <w:t>限届满后</w:t>
      </w:r>
      <w:r>
        <w:rPr>
          <w:rFonts w:ascii="仿宋" w:eastAsia="仿宋" w:hAnsi="仿宋" w:cs="仿宋" w:hint="eastAsia"/>
          <w:sz w:val="24"/>
          <w:highlight w:val="yellow"/>
          <w:lang w:val="en-US" w:eastAsia="zh-CN"/>
        </w:rPr>
        <w:t>90天</w:t>
      </w:r>
      <w:r>
        <w:rPr>
          <w:rFonts w:ascii="仿宋" w:eastAsia="仿宋" w:hAnsi="仿宋" w:cs="仿宋" w:hint="eastAsia"/>
          <w:sz w:val="24"/>
          <w:highlight w:val="yellow"/>
        </w:rPr>
        <w:t>内</w:t>
      </w:r>
      <w:r>
        <w:rPr>
          <w:rFonts w:ascii="仿宋" w:eastAsia="仿宋" w:hAnsi="仿宋" w:cs="仿宋" w:hint="eastAsia"/>
          <w:sz w:val="24"/>
          <w:highlight w:val="yellow"/>
          <w:lang w:eastAsia="zh-CN"/>
        </w:rPr>
        <w:t>采购人</w:t>
      </w:r>
      <w:r>
        <w:rPr>
          <w:rFonts w:ascii="仿宋" w:eastAsia="仿宋" w:hAnsi="仿宋" w:cs="仿宋" w:hint="eastAsia"/>
          <w:sz w:val="24"/>
          <w:highlight w:val="yellow"/>
        </w:rPr>
        <w:t>向</w:t>
      </w:r>
      <w:r>
        <w:rPr>
          <w:rFonts w:ascii="仿宋" w:eastAsia="仿宋" w:hAnsi="仿宋" w:cs="仿宋" w:hint="eastAsia"/>
          <w:sz w:val="24"/>
          <w:highlight w:val="yellow"/>
          <w:lang w:eastAsia="zh-CN"/>
        </w:rPr>
        <w:t>中标人</w:t>
      </w:r>
      <w:r>
        <w:rPr>
          <w:rFonts w:ascii="仿宋" w:eastAsia="仿宋" w:hAnsi="仿宋" w:cs="仿宋" w:hint="eastAsia"/>
          <w:sz w:val="24"/>
          <w:highlight w:val="yellow"/>
        </w:rPr>
        <w:t>支付合同总金额的</w:t>
      </w:r>
      <w:r>
        <w:rPr>
          <w:rFonts w:ascii="仿宋" w:eastAsia="仿宋" w:hAnsi="仿宋" w:cs="仿宋" w:hint="eastAsia"/>
          <w:sz w:val="24"/>
          <w:highlight w:val="yellow"/>
          <w:lang w:val="en-US" w:eastAsia="zh-CN"/>
        </w:rPr>
        <w:t>2</w:t>
      </w:r>
      <w:r>
        <w:rPr>
          <w:rFonts w:ascii="仿宋" w:eastAsia="仿宋" w:hAnsi="仿宋" w:cs="仿宋" w:hint="eastAsia"/>
          <w:sz w:val="24"/>
          <w:highlight w:val="yellow"/>
        </w:rPr>
        <w:t>0%</w:t>
      </w:r>
      <w:r>
        <w:rPr>
          <w:rFonts w:ascii="仿宋" w:eastAsia="仿宋" w:hAnsi="仿宋" w:cs="仿宋" w:hint="eastAsia"/>
          <w:sz w:val="24"/>
          <w:highlight w:val="yellow"/>
          <w:lang w:eastAsia="zh-CN"/>
        </w:rPr>
        <w:t>。</w:t>
      </w:r>
      <w:r>
        <w:rPr>
          <w:rFonts w:ascii="仿宋" w:eastAsia="仿宋" w:hAnsi="仿宋" w:cs="仿宋" w:hint="eastAsia"/>
          <w:sz w:val="24"/>
          <w:highlight w:val="yellow"/>
        </w:rPr>
        <w:t>产品质量保修期</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2年，中标人提供厂家盖章的保修文件，并经采购人核实确认，在</w:t>
      </w:r>
      <w:r>
        <w:rPr>
          <w:rFonts w:ascii="仿宋" w:eastAsia="仿宋" w:hAnsi="仿宋" w:cs="仿宋" w:hint="eastAsia"/>
          <w:sz w:val="24"/>
          <w:highlight w:val="yellow"/>
        </w:rPr>
        <w:t>产品经验收合格后（验收合格后应当出具验收报告）</w:t>
      </w:r>
      <w:r>
        <w:rPr>
          <w:rFonts w:ascii="仿宋" w:eastAsia="仿宋" w:hAnsi="仿宋" w:cs="仿宋" w:hint="eastAsia"/>
          <w:sz w:val="24"/>
          <w:highlight w:val="yellow"/>
          <w:lang w:val="en-US" w:eastAsia="zh-CN"/>
        </w:rPr>
        <w:t>90天</w:t>
      </w:r>
      <w:r>
        <w:rPr>
          <w:rFonts w:ascii="仿宋" w:eastAsia="仿宋" w:hAnsi="仿宋" w:cs="仿宋" w:hint="eastAsia"/>
          <w:sz w:val="24"/>
          <w:highlight w:val="yellow"/>
        </w:rPr>
        <w:t>内，凭</w:t>
      </w:r>
      <w:r>
        <w:rPr>
          <w:rFonts w:ascii="仿宋" w:eastAsia="仿宋" w:hAnsi="仿宋" w:cs="仿宋" w:hint="eastAsia"/>
          <w:sz w:val="24"/>
          <w:highlight w:val="yellow"/>
          <w:lang w:eastAsia="zh-CN"/>
        </w:rPr>
        <w:t>中标人</w:t>
      </w:r>
      <w:r>
        <w:rPr>
          <w:rFonts w:ascii="仿宋" w:eastAsia="仿宋" w:hAnsi="仿宋" w:cs="仿宋" w:hint="eastAsia"/>
          <w:sz w:val="24"/>
          <w:highlight w:val="yellow"/>
        </w:rPr>
        <w:t>开具的正式发票由</w:t>
      </w:r>
      <w:r>
        <w:rPr>
          <w:rFonts w:ascii="仿宋" w:eastAsia="仿宋" w:hAnsi="仿宋" w:cs="仿宋" w:hint="eastAsia"/>
          <w:sz w:val="24"/>
          <w:highlight w:val="yellow"/>
          <w:lang w:eastAsia="zh-CN"/>
        </w:rPr>
        <w:t>采购人</w:t>
      </w:r>
      <w:r>
        <w:rPr>
          <w:rFonts w:ascii="仿宋" w:eastAsia="仿宋" w:hAnsi="仿宋" w:cs="仿宋" w:hint="eastAsia"/>
          <w:sz w:val="24"/>
          <w:highlight w:val="yellow"/>
        </w:rPr>
        <w:t>支付</w:t>
      </w:r>
      <w:r>
        <w:rPr>
          <w:rFonts w:ascii="仿宋" w:eastAsia="仿宋" w:hAnsi="仿宋" w:cs="仿宋" w:hint="eastAsia"/>
          <w:sz w:val="24"/>
          <w:highlight w:val="yellow"/>
          <w:lang w:eastAsia="zh-CN"/>
        </w:rPr>
        <w:t>中标人</w:t>
      </w:r>
      <w:r>
        <w:rPr>
          <w:rFonts w:ascii="仿宋" w:eastAsia="仿宋" w:hAnsi="仿宋" w:cs="仿宋" w:hint="eastAsia"/>
          <w:sz w:val="24"/>
          <w:highlight w:val="yellow"/>
        </w:rPr>
        <w:t>合同总金额的</w:t>
      </w:r>
      <w:r>
        <w:rPr>
          <w:rFonts w:ascii="仿宋" w:eastAsia="仿宋" w:hAnsi="仿宋" w:cs="仿宋" w:hint="eastAsia"/>
          <w:sz w:val="24"/>
          <w:highlight w:val="yellow"/>
          <w:lang w:val="en-US" w:eastAsia="zh-CN"/>
        </w:rPr>
        <w:t>90</w:t>
      </w:r>
      <w:r>
        <w:rPr>
          <w:rFonts w:ascii="仿宋" w:eastAsia="仿宋" w:hAnsi="仿宋" w:cs="仿宋" w:hint="eastAsia"/>
          <w:sz w:val="24"/>
          <w:highlight w:val="yellow"/>
        </w:rPr>
        <w:t>%，产品质量保修期</w:t>
      </w:r>
      <w:r>
        <w:rPr>
          <w:rFonts w:ascii="仿宋" w:eastAsia="仿宋" w:hAnsi="仿宋" w:cs="仿宋" w:hint="eastAsia"/>
          <w:sz w:val="24"/>
          <w:highlight w:val="yellow"/>
          <w:lang w:eastAsia="zh-CN"/>
        </w:rPr>
        <w:t>满一年</w:t>
      </w:r>
      <w:r>
        <w:rPr>
          <w:rFonts w:ascii="仿宋" w:eastAsia="仿宋" w:hAnsi="仿宋" w:cs="仿宋" w:hint="eastAsia"/>
          <w:sz w:val="24"/>
          <w:highlight w:val="yellow"/>
        </w:rPr>
        <w:t>后</w:t>
      </w:r>
      <w:r>
        <w:rPr>
          <w:rFonts w:ascii="仿宋" w:eastAsia="仿宋" w:hAnsi="仿宋" w:cs="仿宋" w:hint="eastAsia"/>
          <w:sz w:val="24"/>
          <w:highlight w:val="yellow"/>
          <w:lang w:val="en-US" w:eastAsia="zh-CN"/>
        </w:rPr>
        <w:t>90天</w:t>
      </w:r>
      <w:r>
        <w:rPr>
          <w:rFonts w:ascii="仿宋" w:eastAsia="仿宋" w:hAnsi="仿宋" w:cs="仿宋" w:hint="eastAsia"/>
          <w:sz w:val="24"/>
          <w:highlight w:val="yellow"/>
        </w:rPr>
        <w:t>内</w:t>
      </w:r>
      <w:r>
        <w:rPr>
          <w:rFonts w:ascii="仿宋" w:eastAsia="仿宋" w:hAnsi="仿宋" w:cs="仿宋" w:hint="eastAsia"/>
          <w:sz w:val="24"/>
          <w:highlight w:val="yellow"/>
          <w:lang w:eastAsia="zh-CN"/>
        </w:rPr>
        <w:t>采购人</w:t>
      </w:r>
      <w:r>
        <w:rPr>
          <w:rFonts w:ascii="仿宋" w:eastAsia="仿宋" w:hAnsi="仿宋" w:cs="仿宋" w:hint="eastAsia"/>
          <w:sz w:val="24"/>
          <w:highlight w:val="yellow"/>
        </w:rPr>
        <w:t>向</w:t>
      </w:r>
      <w:r>
        <w:rPr>
          <w:rFonts w:ascii="仿宋" w:eastAsia="仿宋" w:hAnsi="仿宋" w:cs="仿宋" w:hint="eastAsia"/>
          <w:sz w:val="24"/>
          <w:highlight w:val="yellow"/>
          <w:lang w:eastAsia="zh-CN"/>
        </w:rPr>
        <w:t>中标人</w:t>
      </w:r>
      <w:r>
        <w:rPr>
          <w:rFonts w:ascii="仿宋" w:eastAsia="仿宋" w:hAnsi="仿宋" w:cs="仿宋" w:hint="eastAsia"/>
          <w:sz w:val="24"/>
          <w:highlight w:val="yellow"/>
        </w:rPr>
        <w:t>支付合同总金额的</w:t>
      </w:r>
      <w:r>
        <w:rPr>
          <w:rFonts w:ascii="仿宋" w:eastAsia="仿宋" w:hAnsi="仿宋" w:cs="仿宋" w:hint="eastAsia"/>
          <w:sz w:val="24"/>
          <w:highlight w:val="yellow"/>
          <w:lang w:val="en-US" w:eastAsia="zh-CN"/>
        </w:rPr>
        <w:t>10</w:t>
      </w:r>
      <w:r>
        <w:rPr>
          <w:rFonts w:ascii="仿宋" w:eastAsia="仿宋" w:hAnsi="仿宋" w:cs="仿宋" w:hint="eastAsia"/>
          <w:sz w:val="24"/>
          <w:highlight w:val="yellow"/>
        </w:rPr>
        <w:t>%</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中标人不提供厂家盖章的保修文件的，</w:t>
      </w:r>
      <w:r>
        <w:rPr>
          <w:rFonts w:ascii="仿宋" w:eastAsia="仿宋" w:hAnsi="仿宋" w:cs="仿宋" w:hint="eastAsia"/>
          <w:sz w:val="24"/>
          <w:highlight w:val="yellow"/>
        </w:rPr>
        <w:t>产品质量保修期</w:t>
      </w:r>
      <w:r>
        <w:rPr>
          <w:rFonts w:ascii="仿宋" w:eastAsia="仿宋" w:hAnsi="仿宋" w:cs="仿宋" w:hint="eastAsia"/>
          <w:sz w:val="24"/>
          <w:highlight w:val="yellow"/>
          <w:lang w:eastAsia="zh-CN"/>
        </w:rPr>
        <w:t>满</w:t>
      </w:r>
      <w:r>
        <w:rPr>
          <w:rFonts w:ascii="仿宋" w:eastAsia="仿宋" w:hAnsi="仿宋" w:cs="仿宋" w:hint="eastAsia"/>
          <w:sz w:val="24"/>
          <w:highlight w:val="yellow"/>
        </w:rPr>
        <w:t>后</w:t>
      </w:r>
      <w:r>
        <w:rPr>
          <w:rFonts w:ascii="仿宋" w:eastAsia="仿宋" w:hAnsi="仿宋" w:cs="仿宋" w:hint="eastAsia"/>
          <w:sz w:val="24"/>
          <w:highlight w:val="yellow"/>
          <w:lang w:val="en-US" w:eastAsia="zh-CN"/>
        </w:rPr>
        <w:t>90天</w:t>
      </w:r>
      <w:r>
        <w:rPr>
          <w:rFonts w:ascii="仿宋" w:eastAsia="仿宋" w:hAnsi="仿宋" w:cs="仿宋" w:hint="eastAsia"/>
          <w:sz w:val="24"/>
          <w:highlight w:val="yellow"/>
        </w:rPr>
        <w:t>内</w:t>
      </w:r>
      <w:r>
        <w:rPr>
          <w:rFonts w:ascii="仿宋" w:eastAsia="仿宋" w:hAnsi="仿宋" w:cs="仿宋" w:hint="eastAsia"/>
          <w:sz w:val="24"/>
          <w:highlight w:val="yellow"/>
          <w:lang w:eastAsia="zh-CN"/>
        </w:rPr>
        <w:t>采购人</w:t>
      </w:r>
      <w:r>
        <w:rPr>
          <w:rFonts w:ascii="仿宋" w:eastAsia="仿宋" w:hAnsi="仿宋" w:cs="仿宋" w:hint="eastAsia"/>
          <w:sz w:val="24"/>
          <w:highlight w:val="yellow"/>
        </w:rPr>
        <w:t>向</w:t>
      </w:r>
      <w:r>
        <w:rPr>
          <w:rFonts w:ascii="仿宋" w:eastAsia="仿宋" w:hAnsi="仿宋" w:cs="仿宋" w:hint="eastAsia"/>
          <w:sz w:val="24"/>
          <w:highlight w:val="yellow"/>
          <w:lang w:eastAsia="zh-CN"/>
        </w:rPr>
        <w:t>中标人</w:t>
      </w:r>
      <w:r>
        <w:rPr>
          <w:rFonts w:ascii="仿宋" w:eastAsia="仿宋" w:hAnsi="仿宋" w:cs="仿宋" w:hint="eastAsia"/>
          <w:sz w:val="24"/>
          <w:highlight w:val="yellow"/>
        </w:rPr>
        <w:t>支付合同总金额的</w:t>
      </w:r>
      <w:r>
        <w:rPr>
          <w:rFonts w:ascii="仿宋" w:eastAsia="仿宋" w:hAnsi="仿宋" w:cs="仿宋" w:hint="eastAsia"/>
          <w:sz w:val="24"/>
          <w:highlight w:val="yellow"/>
          <w:lang w:val="en-US" w:eastAsia="zh-CN"/>
        </w:rPr>
        <w:t>10</w:t>
      </w:r>
      <w:r>
        <w:rPr>
          <w:rFonts w:ascii="仿宋" w:eastAsia="仿宋" w:hAnsi="仿宋" w:cs="仿宋" w:hint="eastAsia"/>
          <w:sz w:val="24"/>
          <w:highlight w:val="yellow"/>
        </w:rPr>
        <w:t>%</w:t>
      </w:r>
      <w:r>
        <w:rPr>
          <w:rFonts w:ascii="仿宋" w:eastAsia="仿宋" w:hAnsi="仿宋" w:cs="仿宋" w:hint="eastAsia"/>
          <w:sz w:val="24"/>
          <w:highlight w:val="yellow"/>
          <w:lang w:eastAsia="zh-CN"/>
        </w:rPr>
        <w:t>。</w:t>
      </w:r>
      <w:r>
        <w:rPr>
          <w:rFonts w:ascii="仿宋" w:eastAsia="仿宋" w:hAnsi="仿宋" w:cs="仿宋" w:hint="eastAsia"/>
          <w:sz w:val="24"/>
          <w:highlight w:val="yellow"/>
        </w:rPr>
        <w:t>支付方式采用银行转账支付。</w:t>
      </w:r>
    </w:p>
    <w:p>
      <w:pPr>
        <w:numPr>
          <w:ilvl w:val="0"/>
          <w:numId w:val="7"/>
        </w:numPr>
        <w:spacing w:line="360" w:lineRule="auto"/>
        <w:ind w:firstLine="480" w:firstLineChars="200"/>
        <w:rPr>
          <w:rFonts w:ascii="仿宋" w:eastAsia="仿宋" w:hAnsi="仿宋" w:cs="仿宋" w:hint="eastAsia"/>
          <w:sz w:val="24"/>
          <w:lang w:val="zh-CN"/>
        </w:rPr>
        <w:sectPr>
          <w:headerReference w:type="default" r:id="rId34"/>
          <w:footerReference w:type="default" r:id="rId35"/>
          <w:type w:val="nextPage"/>
          <w:pgSz w:w="11906" w:h="16838"/>
          <w:pgMar w:top="1440" w:right="1800" w:bottom="1440" w:left="1800" w:header="851" w:footer="992" w:gutter="0"/>
          <w:pgNumType w:fmt="decimal" w:start="16"/>
          <w:cols w:space="708"/>
          <w:titlePg w:val="0"/>
          <w:docGrid w:type="lines" w:linePitch="312"/>
        </w:sectPr>
      </w:pPr>
      <w:r>
        <w:rPr>
          <w:rFonts w:ascii="仿宋" w:eastAsia="仿宋" w:hAnsi="仿宋" w:cs="仿宋" w:hint="eastAsia"/>
          <w:sz w:val="24"/>
          <w:lang w:val="zh-CN"/>
        </w:rPr>
        <w:t>履约考评：</w:t>
      </w:r>
    </w:p>
    <w:p>
      <w:pPr>
        <w:spacing w:line="440" w:lineRule="exact"/>
        <w:ind w:firstLine="504" w:firstLineChars="210"/>
        <w:rPr>
          <w:rFonts w:ascii="仿宋" w:eastAsia="仿宋" w:hAnsi="仿宋" w:cs="仿宋" w:hint="eastAsia"/>
          <w:sz w:val="24"/>
          <w:lang w:val="zh-CN"/>
        </w:rPr>
      </w:pPr>
      <w:r>
        <w:rPr>
          <w:rFonts w:ascii="仿宋" w:eastAsia="仿宋" w:hAnsi="仿宋" w:cs="仿宋" w:hint="eastAsia"/>
          <w:sz w:val="24"/>
          <w:lang w:val="zh-CN"/>
        </w:rPr>
        <w:t>履约期间每半年将按我院《供应商诚信量化评价管理办法》对供应商履约行为进行考评一次，履约考评的分数将作为该供应商以后参与我院招标采购活动的诚信评分依据，将每次考评低于80分者进行质保金</w:t>
      </w:r>
      <w:r>
        <w:rPr>
          <w:rFonts w:ascii="仿宋" w:eastAsia="仿宋" w:hAnsi="仿宋" w:cs="仿宋" w:hint="eastAsia"/>
          <w:sz w:val="24"/>
        </w:rPr>
        <w:t>4</w:t>
      </w:r>
      <w:r>
        <w:rPr>
          <w:rFonts w:ascii="仿宋" w:eastAsia="仿宋" w:hAnsi="仿宋" w:cs="仿宋" w:hint="eastAsia"/>
          <w:sz w:val="24"/>
          <w:lang w:val="zh-CN"/>
        </w:rPr>
        <w:t>0%的罚没，并要求整改；壹年累计考核两次不合格者将进行淘汰，扣罚全部质保金，并终止合同，纳入黑名单管理。</w:t>
      </w:r>
    </w:p>
    <w:p>
      <w:pPr>
        <w:spacing w:line="440" w:lineRule="exact"/>
        <w:ind w:firstLine="480" w:firstLineChars="200"/>
        <w:rPr>
          <w:rFonts w:ascii="仿宋" w:eastAsia="仿宋" w:hAnsi="仿宋" w:cs="仿宋" w:hint="eastAsia"/>
          <w:sz w:val="24"/>
        </w:rPr>
      </w:pPr>
      <w:r>
        <w:rPr>
          <w:rFonts w:ascii="仿宋" w:eastAsia="仿宋" w:hAnsi="仿宋" w:cs="仿宋" w:hint="eastAsia"/>
          <w:sz w:val="24"/>
        </w:rPr>
        <w:t>11、违约责任</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（1）卖方不能交货的，买方不向卖方付款。卖方应向买方偿付相当于不能交货部分货款的百分之二十的违约金；</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2）卖方所交产品品种、数量、规格、型号、质量、技术参数及配置不符合国家法律法规和招标文件及合同规定的，买方有权拒绝收货，由卖方负责包换或退货，并承担由此而支付的实际费用。换货的再次交货时间超过合同交货时间的视为逾期交货，退货的视为不能交货，并承担逾期交货、不能交货的违约责任；</w:t>
      </w:r>
    </w:p>
    <w:p>
      <w:pPr>
        <w:spacing w:line="440" w:lineRule="exact"/>
        <w:ind w:firstLine="504" w:firstLineChars="210"/>
        <w:rPr>
          <w:rFonts w:ascii="仿宋" w:eastAsia="仿宋" w:hAnsi="仿宋" w:cs="仿宋" w:hint="eastAsia"/>
          <w:sz w:val="24"/>
        </w:rPr>
      </w:pPr>
      <w:r>
        <w:rPr>
          <w:rFonts w:ascii="仿宋" w:eastAsia="仿宋" w:hAnsi="仿宋" w:cs="仿宋" w:hint="eastAsia"/>
          <w:sz w:val="24"/>
        </w:rPr>
        <w:t>（3）卖方逾期交货的，按逾期交货部分货款计算，向买方偿付每日千分之五的违约金，并承担买方因此所受的损失费用。</w:t>
      </w:r>
    </w:p>
    <w:p>
      <w:pPr>
        <w:spacing w:line="360" w:lineRule="auto"/>
        <w:ind w:firstLine="600" w:firstLineChars="250"/>
        <w:rPr>
          <w:rFonts w:ascii="仿宋" w:eastAsia="仿宋" w:hAnsi="仿宋" w:cs="仿宋" w:hint="eastAsia"/>
          <w:color w:val="000000"/>
          <w:sz w:val="24"/>
        </w:rPr>
      </w:pPr>
      <w:r>
        <w:rPr>
          <w:rFonts w:ascii="仿宋" w:eastAsia="仿宋" w:hAnsi="仿宋" w:cs="仿宋" w:hint="eastAsia"/>
          <w:color w:val="000000"/>
          <w:sz w:val="24"/>
          <w:lang w:eastAsia="zh-CN"/>
        </w:rPr>
        <w:t>（</w:t>
      </w:r>
      <w:r>
        <w:rPr>
          <w:rFonts w:ascii="仿宋" w:eastAsia="仿宋" w:hAnsi="仿宋" w:cs="仿宋" w:hint="eastAsia"/>
          <w:color w:val="000000"/>
          <w:sz w:val="24"/>
          <w:lang w:val="en-US" w:eastAsia="zh-CN"/>
        </w:rPr>
        <w:t>4</w:t>
      </w:r>
      <w:r>
        <w:rPr>
          <w:rFonts w:ascii="仿宋" w:eastAsia="仿宋" w:hAnsi="仿宋" w:cs="仿宋" w:hint="eastAsia"/>
          <w:color w:val="000000"/>
          <w:sz w:val="24"/>
          <w:lang w:eastAsia="zh-CN"/>
        </w:rPr>
        <w:t>）买</w:t>
      </w:r>
      <w:r>
        <w:rPr>
          <w:rFonts w:ascii="仿宋" w:eastAsia="仿宋" w:hAnsi="仿宋" w:cs="仿宋" w:hint="eastAsia"/>
          <w:color w:val="000000"/>
          <w:sz w:val="24"/>
        </w:rPr>
        <w:t>方违反合同规定拒绝接货的，应当承担由此对</w:t>
      </w:r>
      <w:r>
        <w:rPr>
          <w:rFonts w:ascii="仿宋" w:eastAsia="仿宋" w:hAnsi="仿宋" w:cs="仿宋" w:hint="eastAsia"/>
          <w:sz w:val="24"/>
        </w:rPr>
        <w:t>卖方</w:t>
      </w:r>
      <w:r>
        <w:rPr>
          <w:rFonts w:ascii="仿宋" w:eastAsia="仿宋" w:hAnsi="仿宋" w:cs="仿宋" w:hint="eastAsia"/>
          <w:color w:val="000000"/>
          <w:sz w:val="24"/>
        </w:rPr>
        <w:t>造成的损失，并向</w:t>
      </w:r>
      <w:r>
        <w:rPr>
          <w:rFonts w:ascii="仿宋" w:eastAsia="仿宋" w:hAnsi="仿宋" w:cs="仿宋" w:hint="eastAsia"/>
          <w:sz w:val="24"/>
        </w:rPr>
        <w:t>卖方</w:t>
      </w:r>
      <w:r>
        <w:rPr>
          <w:rFonts w:ascii="仿宋" w:eastAsia="仿宋" w:hAnsi="仿宋" w:cs="仿宋" w:hint="eastAsia"/>
          <w:color w:val="000000"/>
          <w:sz w:val="24"/>
        </w:rPr>
        <w:t>偿付拒绝接收部分货款的</w:t>
      </w:r>
      <w:r>
        <w:rPr>
          <w:rFonts w:ascii="仿宋" w:eastAsia="仿宋" w:hAnsi="仿宋" w:cs="仿宋" w:hint="eastAsia"/>
          <w:color w:val="0000FF"/>
          <w:sz w:val="24"/>
          <w:u w:val="single"/>
        </w:rPr>
        <w:t>百分之二十</w:t>
      </w:r>
      <w:r>
        <w:rPr>
          <w:rFonts w:ascii="仿宋" w:eastAsia="仿宋" w:hAnsi="仿宋" w:cs="仿宋" w:hint="eastAsia"/>
          <w:color w:val="000000"/>
          <w:sz w:val="24"/>
        </w:rPr>
        <w:t>的违约金。</w:t>
      </w:r>
    </w:p>
    <w:p>
      <w:pPr>
        <w:spacing w:line="360" w:lineRule="auto"/>
        <w:ind w:left="239" w:firstLine="360" w:leftChars="114" w:firstLineChars="150"/>
        <w:rPr>
          <w:rFonts w:ascii="仿宋" w:eastAsia="仿宋" w:hAnsi="仿宋" w:cs="仿宋" w:hint="eastAsia"/>
          <w:sz w:val="24"/>
        </w:rPr>
      </w:pPr>
      <w:r>
        <w:rPr>
          <w:rFonts w:ascii="仿宋" w:eastAsia="仿宋" w:hAnsi="仿宋" w:cs="仿宋" w:hint="eastAsia"/>
          <w:sz w:val="24"/>
          <w:lang w:eastAsia="zh-CN"/>
        </w:rPr>
        <w:t>（</w:t>
      </w:r>
      <w:r>
        <w:rPr>
          <w:rFonts w:ascii="仿宋" w:eastAsia="仿宋" w:hAnsi="仿宋" w:cs="仿宋" w:hint="eastAsia"/>
          <w:sz w:val="24"/>
          <w:lang w:val="en-US" w:eastAsia="zh-CN"/>
        </w:rPr>
        <w:t>5</w:t>
      </w:r>
      <w:r>
        <w:rPr>
          <w:rFonts w:ascii="仿宋" w:eastAsia="仿宋" w:hAnsi="仿宋" w:cs="仿宋" w:hint="eastAsia"/>
          <w:sz w:val="24"/>
          <w:lang w:eastAsia="zh-CN"/>
        </w:rPr>
        <w:t>）</w:t>
      </w:r>
      <w:r>
        <w:rPr>
          <w:rFonts w:ascii="仿宋" w:eastAsia="仿宋" w:hAnsi="仿宋" w:cs="仿宋" w:hint="eastAsia"/>
          <w:color w:val="000000"/>
          <w:sz w:val="24"/>
          <w:lang w:eastAsia="zh-CN"/>
        </w:rPr>
        <w:t>买</w:t>
      </w:r>
      <w:r>
        <w:rPr>
          <w:rFonts w:ascii="仿宋" w:eastAsia="仿宋" w:hAnsi="仿宋" w:cs="仿宋" w:hint="eastAsia"/>
          <w:color w:val="000000"/>
          <w:sz w:val="24"/>
        </w:rPr>
        <w:t>方</w:t>
      </w:r>
      <w:r>
        <w:rPr>
          <w:rFonts w:ascii="仿宋" w:eastAsia="仿宋" w:hAnsi="仿宋" w:cs="仿宋" w:hint="eastAsia"/>
          <w:sz w:val="24"/>
        </w:rPr>
        <w:t>逾期付款的，应按照银行同期贷款利率向卖方偿付逾期付款的违约金。</w:t>
      </w:r>
    </w:p>
    <w:p>
      <w:pPr>
        <w:spacing w:line="440" w:lineRule="exact"/>
        <w:ind w:firstLine="504" w:firstLineChars="210"/>
        <w:rPr>
          <w:rFonts w:ascii="仿宋" w:eastAsia="仿宋" w:hAnsi="仿宋" w:cs="仿宋" w:hint="eastAsia"/>
          <w:b/>
          <w:kern w:val="0"/>
          <w:sz w:val="24"/>
        </w:rPr>
      </w:pPr>
      <w:r>
        <w:rPr>
          <w:rFonts w:ascii="仿宋" w:eastAsia="仿宋" w:hAnsi="仿宋" w:cs="仿宋" w:hint="eastAsia"/>
          <w:b/>
          <w:kern w:val="0"/>
          <w:sz w:val="24"/>
        </w:rPr>
        <w:t>注：投标人必须满足上述商务条款中加</w:t>
      </w:r>
      <w:r>
        <w:rPr>
          <w:rFonts w:ascii="仿宋" w:eastAsia="仿宋" w:hAnsi="仿宋" w:cs="仿宋" w:hint="eastAsia"/>
          <w:sz w:val="24"/>
        </w:rPr>
        <w:t>★</w:t>
      </w:r>
      <w:r>
        <w:rPr>
          <w:rFonts w:ascii="仿宋" w:eastAsia="仿宋" w:hAnsi="仿宋" w:cs="仿宋" w:hint="eastAsia"/>
          <w:b/>
          <w:kern w:val="0"/>
          <w:sz w:val="24"/>
        </w:rPr>
        <w:t>号的为主要条款要求，并对应承诺，如出现任何偏离或不满足将作为无效投标处理。</w:t>
      </w:r>
    </w:p>
    <w:p>
      <w:pPr>
        <w:spacing w:line="440" w:lineRule="exact"/>
        <w:ind w:firstLine="504" w:firstLineChars="210"/>
        <w:rPr>
          <w:rFonts w:ascii="仿宋" w:eastAsia="仿宋" w:hAnsi="仿宋" w:cs="仿宋" w:hint="eastAsia"/>
          <w:b/>
          <w:sz w:val="24"/>
        </w:rPr>
      </w:pPr>
      <w:r>
        <w:rPr>
          <w:rFonts w:ascii="仿宋" w:eastAsia="仿宋" w:hAnsi="仿宋" w:cs="仿宋" w:hint="eastAsia"/>
          <w:b/>
          <w:sz w:val="24"/>
        </w:rPr>
        <w:t>同一品牌的产品可有多家投标人参与竞争，但只作为一个投标人计算。</w:t>
      </w: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sectPr>
          <w:headerReference w:type="default" r:id="rId36"/>
          <w:footerReference w:type="default" r:id="rId37"/>
          <w:type w:val="nextPage"/>
          <w:pgSz w:w="11906" w:h="16838"/>
          <w:pgMar w:top="1440" w:right="1800" w:bottom="1440" w:left="1800" w:header="851" w:footer="992" w:gutter="0"/>
          <w:pgNumType w:fmt="decimal" w:start="17"/>
          <w:cols w:space="708"/>
          <w:titlePg w:val="0"/>
          <w:docGrid w:type="lines" w:linePitch="312"/>
        </w:sectPr>
      </w:pP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pPr>
    </w:p>
    <w:p>
      <w:pPr>
        <w:spacing w:line="380" w:lineRule="exact"/>
        <w:jc w:val="center"/>
        <w:rPr>
          <w:rFonts w:ascii="仿宋" w:eastAsia="仿宋" w:hAnsi="仿宋" w:cs="仿宋" w:hint="eastAsia"/>
          <w:b/>
          <w:sz w:val="28"/>
          <w:szCs w:val="28"/>
        </w:rPr>
      </w:pPr>
      <w:r>
        <w:rPr>
          <w:rFonts w:ascii="仿宋" w:eastAsia="仿宋" w:hAnsi="仿宋" w:cs="仿宋" w:hint="eastAsia"/>
          <w:b/>
          <w:sz w:val="28"/>
          <w:szCs w:val="28"/>
        </w:rPr>
        <w:t>第三部分  投标人须知</w:t>
      </w:r>
    </w:p>
    <w:p>
      <w:pPr>
        <w:pStyle w:val="PlainText"/>
        <w:adjustRightInd w:val="0"/>
        <w:snapToGrid w:val="0"/>
        <w:spacing w:line="380" w:lineRule="exact"/>
        <w:rPr>
          <w:rFonts w:ascii="仿宋" w:eastAsia="仿宋" w:hAnsi="仿宋" w:cs="仿宋" w:hint="eastAsia"/>
          <w:sz w:val="28"/>
          <w:szCs w:val="28"/>
        </w:rPr>
      </w:pPr>
    </w:p>
    <w:p>
      <w:pPr>
        <w:pStyle w:val="PlainText"/>
        <w:adjustRightInd w:val="0"/>
        <w:snapToGrid w:val="0"/>
        <w:spacing w:line="380" w:lineRule="exact"/>
        <w:rPr>
          <w:rFonts w:ascii="仿宋" w:eastAsia="仿宋" w:hAnsi="仿宋" w:cs="仿宋" w:hint="eastAsia"/>
          <w:b/>
          <w:sz w:val="24"/>
          <w:szCs w:val="24"/>
        </w:rPr>
      </w:pPr>
      <w:r>
        <w:rPr>
          <w:rFonts w:ascii="仿宋" w:eastAsia="仿宋" w:hAnsi="仿宋" w:cs="仿宋" w:hint="eastAsia"/>
          <w:b/>
          <w:sz w:val="24"/>
          <w:szCs w:val="24"/>
        </w:rPr>
        <w:t xml:space="preserve">    一、说  明</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1、适用范围：本招标文件适用于本投标邀请中所述项目的采购项目。</w:t>
      </w:r>
    </w:p>
    <w:p>
      <w:pPr>
        <w:pStyle w:val="PlainText"/>
        <w:adjustRightInd w:val="0"/>
        <w:snapToGrid w:val="0"/>
        <w:spacing w:line="360" w:lineRule="auto"/>
        <w:ind w:left="480" w:hanging="480" w:hangingChars="200"/>
        <w:rPr>
          <w:rFonts w:ascii="仿宋" w:eastAsia="仿宋" w:hAnsi="仿宋" w:cs="仿宋" w:hint="eastAsia"/>
          <w:sz w:val="24"/>
          <w:szCs w:val="24"/>
        </w:rPr>
      </w:pPr>
      <w:r>
        <w:rPr>
          <w:rFonts w:ascii="仿宋" w:eastAsia="仿宋" w:hAnsi="仿宋" w:cs="仿宋" w:hint="eastAsia"/>
          <w:sz w:val="24"/>
          <w:szCs w:val="24"/>
        </w:rPr>
        <w:t xml:space="preserve">    2、</w:t>
      </w:r>
      <w:r>
        <w:rPr>
          <w:rFonts w:ascii="仿宋" w:eastAsia="仿宋" w:hAnsi="仿宋" w:cs="仿宋" w:hint="eastAsia"/>
          <w:sz w:val="24"/>
          <w:szCs w:val="24"/>
        </w:rPr>
        <w:t>“</w:t>
      </w:r>
      <w:r>
        <w:rPr>
          <w:rFonts w:ascii="仿宋" w:eastAsia="仿宋" w:hAnsi="仿宋" w:cs="仿宋" w:hint="eastAsia"/>
          <w:sz w:val="24"/>
          <w:szCs w:val="24"/>
        </w:rPr>
        <w:t>采购人</w:t>
      </w:r>
      <w:r>
        <w:rPr>
          <w:rFonts w:ascii="仿宋" w:eastAsia="仿宋" w:hAnsi="仿宋" w:cs="仿宋" w:hint="eastAsia"/>
          <w:sz w:val="24"/>
          <w:szCs w:val="24"/>
        </w:rPr>
        <w:t>”</w:t>
      </w:r>
      <w:r>
        <w:rPr>
          <w:rFonts w:ascii="仿宋" w:eastAsia="仿宋" w:hAnsi="仿宋" w:cs="仿宋" w:hint="eastAsia"/>
          <w:sz w:val="24"/>
          <w:szCs w:val="24"/>
        </w:rPr>
        <w:t>是指：</w:t>
      </w:r>
      <w:r>
        <w:rPr>
          <w:rFonts w:ascii="仿宋" w:eastAsia="仿宋" w:hAnsi="仿宋" w:cs="仿宋" w:hint="eastAsia"/>
          <w:sz w:val="24"/>
          <w:szCs w:val="24"/>
          <w:u w:val="single"/>
        </w:rPr>
        <w:t>博罗县人民医院</w:t>
      </w:r>
      <w:r>
        <w:rPr>
          <w:rFonts w:ascii="仿宋" w:eastAsia="仿宋" w:hAnsi="仿宋" w:cs="仿宋" w:hint="eastAsia"/>
          <w:sz w:val="24"/>
          <w:szCs w:val="24"/>
        </w:rPr>
        <w:t>。</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3、合格的投标人是指符合以下条件的： </w:t>
      </w:r>
    </w:p>
    <w:p>
      <w:pPr>
        <w:pStyle w:val="PlainText"/>
        <w:tabs>
          <w:tab w:val="left" w:pos="360"/>
        </w:tabs>
        <w:adjustRightInd w:val="0"/>
        <w:snapToGrid w:val="0"/>
        <w:spacing w:line="360" w:lineRule="auto"/>
        <w:ind w:firstLine="360"/>
        <w:rPr>
          <w:rFonts w:ascii="仿宋" w:eastAsia="仿宋" w:hAnsi="仿宋" w:cs="仿宋" w:hint="eastAsia"/>
          <w:snapToGrid w:val="0"/>
          <w:kern w:val="0"/>
          <w:sz w:val="24"/>
          <w:szCs w:val="24"/>
        </w:rPr>
      </w:pPr>
      <w:r>
        <w:rPr>
          <w:rFonts w:ascii="仿宋" w:eastAsia="仿宋" w:hAnsi="仿宋" w:cs="仿宋" w:hint="eastAsia"/>
          <w:snapToGrid w:val="0"/>
          <w:kern w:val="0"/>
          <w:sz w:val="24"/>
          <w:szCs w:val="24"/>
        </w:rPr>
        <w:t>（1）符合招标文件</w:t>
      </w:r>
      <w:r>
        <w:rPr>
          <w:rFonts w:ascii="仿宋" w:eastAsia="仿宋" w:hAnsi="仿宋" w:cs="仿宋" w:hint="eastAsia"/>
          <w:snapToGrid w:val="0"/>
          <w:kern w:val="0"/>
          <w:sz w:val="24"/>
          <w:szCs w:val="24"/>
        </w:rPr>
        <w:t>“</w:t>
      </w:r>
      <w:r>
        <w:rPr>
          <w:rFonts w:ascii="仿宋" w:eastAsia="仿宋" w:hAnsi="仿宋" w:cs="仿宋" w:hint="eastAsia"/>
          <w:snapToGrid w:val="0"/>
          <w:kern w:val="0"/>
          <w:sz w:val="24"/>
          <w:szCs w:val="24"/>
        </w:rPr>
        <w:t>供应商资格</w:t>
      </w:r>
      <w:r>
        <w:rPr>
          <w:rFonts w:ascii="仿宋" w:eastAsia="仿宋" w:hAnsi="仿宋" w:cs="仿宋" w:hint="eastAsia"/>
          <w:snapToGrid w:val="0"/>
          <w:kern w:val="0"/>
          <w:sz w:val="24"/>
          <w:szCs w:val="24"/>
        </w:rPr>
        <w:t>”</w:t>
      </w:r>
      <w:r>
        <w:rPr>
          <w:rFonts w:ascii="仿宋" w:eastAsia="仿宋" w:hAnsi="仿宋" w:cs="仿宋" w:hint="eastAsia"/>
          <w:snapToGrid w:val="0"/>
          <w:kern w:val="0"/>
          <w:sz w:val="24"/>
          <w:szCs w:val="24"/>
        </w:rPr>
        <w:t>规定要求</w:t>
      </w:r>
    </w:p>
    <w:p>
      <w:pPr>
        <w:pStyle w:val="PlainText"/>
        <w:tabs>
          <w:tab w:val="left" w:pos="360"/>
        </w:tabs>
        <w:adjustRightInd w:val="0"/>
        <w:snapToGrid w:val="0"/>
        <w:spacing w:line="360" w:lineRule="auto"/>
        <w:ind w:left="600" w:hanging="240"/>
        <w:rPr>
          <w:rFonts w:ascii="仿宋" w:eastAsia="仿宋" w:hAnsi="仿宋" w:cs="仿宋" w:hint="eastAsia"/>
          <w:sz w:val="24"/>
          <w:szCs w:val="24"/>
          <w:lang w:val="hr-HR"/>
        </w:rPr>
      </w:pPr>
      <w:r>
        <w:rPr>
          <w:rFonts w:ascii="仿宋" w:eastAsia="仿宋" w:hAnsi="仿宋" w:cs="仿宋" w:hint="eastAsia"/>
          <w:kern w:val="0"/>
          <w:sz w:val="24"/>
          <w:szCs w:val="24"/>
        </w:rPr>
        <w:t>（2）</w:t>
      </w:r>
      <w:r>
        <w:rPr>
          <w:rFonts w:ascii="仿宋" w:eastAsia="仿宋" w:hAnsi="仿宋" w:cs="仿宋" w:hint="eastAsia"/>
          <w:sz w:val="24"/>
          <w:szCs w:val="24"/>
          <w:lang w:val="hr-HR"/>
        </w:rPr>
        <w:t>按要求进行了</w:t>
      </w:r>
      <w:r>
        <w:rPr>
          <w:rFonts w:ascii="仿宋" w:eastAsia="仿宋" w:hAnsi="仿宋" w:cs="仿宋" w:hint="eastAsia"/>
          <w:sz w:val="24"/>
          <w:szCs w:val="24"/>
          <w:highlight w:val="yellow"/>
          <w:lang w:val="hr-HR"/>
        </w:rPr>
        <w:t>资格性审查</w:t>
      </w:r>
      <w:r>
        <w:rPr>
          <w:rFonts w:ascii="仿宋" w:eastAsia="仿宋" w:hAnsi="仿宋" w:cs="仿宋" w:hint="eastAsia"/>
          <w:sz w:val="24"/>
          <w:szCs w:val="24"/>
          <w:lang w:val="hr-HR"/>
        </w:rPr>
        <w:t>并通过；</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4、</w:t>
      </w:r>
      <w:r>
        <w:rPr>
          <w:rFonts w:ascii="仿宋" w:eastAsia="仿宋" w:hAnsi="仿宋" w:cs="仿宋" w:hint="eastAsia"/>
          <w:sz w:val="24"/>
          <w:szCs w:val="24"/>
        </w:rPr>
        <w:t>“</w:t>
      </w:r>
      <w:r>
        <w:rPr>
          <w:rFonts w:ascii="仿宋" w:eastAsia="仿宋" w:hAnsi="仿宋" w:cs="仿宋" w:hint="eastAsia"/>
          <w:sz w:val="24"/>
          <w:szCs w:val="24"/>
        </w:rPr>
        <w:t>中标人</w:t>
      </w:r>
      <w:r>
        <w:rPr>
          <w:rFonts w:ascii="仿宋" w:eastAsia="仿宋" w:hAnsi="仿宋" w:cs="仿宋" w:hint="eastAsia"/>
          <w:sz w:val="24"/>
          <w:szCs w:val="24"/>
        </w:rPr>
        <w:t>”</w:t>
      </w:r>
      <w:r>
        <w:rPr>
          <w:rFonts w:ascii="仿宋" w:eastAsia="仿宋" w:hAnsi="仿宋" w:cs="仿宋" w:hint="eastAsia"/>
          <w:sz w:val="24"/>
          <w:szCs w:val="24"/>
        </w:rPr>
        <w:t>是指经法定程序确定并授予合同的投标人；</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5、合格的货物和服务：</w:t>
      </w:r>
    </w:p>
    <w:p>
      <w:pPr>
        <w:pStyle w:val="PlainText"/>
        <w:adjustRightInd w:val="0"/>
        <w:snapToGrid w:val="0"/>
        <w:spacing w:line="360" w:lineRule="auto"/>
        <w:ind w:firstLine="240" w:firstLineChars="100"/>
        <w:rPr>
          <w:rFonts w:ascii="仿宋" w:eastAsia="仿宋" w:hAnsi="仿宋" w:cs="仿宋" w:hint="eastAsia"/>
          <w:snapToGrid w:val="0"/>
          <w:kern w:val="0"/>
          <w:sz w:val="24"/>
        </w:rPr>
      </w:pPr>
      <w:r>
        <w:rPr>
          <w:rFonts w:ascii="仿宋" w:eastAsia="仿宋" w:hAnsi="仿宋" w:cs="仿宋" w:hint="eastAsia"/>
          <w:sz w:val="24"/>
        </w:rPr>
        <w:t xml:space="preserve"> </w:t>
      </w:r>
      <w:r>
        <w:rPr>
          <w:rFonts w:ascii="仿宋" w:eastAsia="仿宋" w:hAnsi="仿宋" w:cs="仿宋" w:hint="eastAsia"/>
          <w:sz w:val="24"/>
        </w:rPr>
        <w:t>“</w:t>
      </w:r>
      <w:r>
        <w:rPr>
          <w:rFonts w:ascii="仿宋" w:eastAsia="仿宋" w:hAnsi="仿宋" w:cs="仿宋" w:hint="eastAsia"/>
          <w:sz w:val="24"/>
        </w:rPr>
        <w:t>货物</w:t>
      </w:r>
      <w:r>
        <w:rPr>
          <w:rFonts w:ascii="仿宋" w:eastAsia="仿宋" w:hAnsi="仿宋" w:cs="仿宋" w:hint="eastAsia"/>
          <w:sz w:val="24"/>
        </w:rPr>
        <w:t>”</w:t>
      </w:r>
      <w:r>
        <w:rPr>
          <w:rFonts w:ascii="仿宋" w:eastAsia="仿宋" w:hAnsi="仿宋" w:cs="仿宋" w:hint="eastAsia"/>
          <w:sz w:val="24"/>
        </w:rPr>
        <w:t>是指投标人制造或组织符合招标文件要求的货物等。招标文件中没有提及招标货物来源地的，根据《政府采购法》的相关规定均应是本国货物。</w:t>
      </w:r>
      <w:r>
        <w:rPr>
          <w:rFonts w:ascii="仿宋" w:eastAsia="仿宋" w:hAnsi="仿宋" w:cs="仿宋" w:hint="eastAsia"/>
          <w:snapToGrid w:val="0"/>
          <w:kern w:val="0"/>
          <w:sz w:val="24"/>
        </w:rPr>
        <w:t>投标的货物必须是其合法生产的符合国家有关标准要求的货物，并满足我院招标文件规定的规格、参数、质量、价格、有效期、售后服务等要求。</w:t>
      </w:r>
    </w:p>
    <w:p>
      <w:pPr>
        <w:pStyle w:val="PlainText"/>
        <w:adjustRightInd w:val="0"/>
        <w:snapToGrid w:val="0"/>
        <w:spacing w:line="360" w:lineRule="auto"/>
        <w:ind w:firstLine="240" w:firstLineChars="100"/>
        <w:rPr>
          <w:rFonts w:ascii="仿宋" w:eastAsia="仿宋" w:hAnsi="仿宋" w:cs="仿宋" w:hint="eastAsia"/>
          <w:snapToGrid w:val="0"/>
          <w:kern w:val="0"/>
          <w:sz w:val="24"/>
        </w:rPr>
      </w:pPr>
      <w:r>
        <w:rPr>
          <w:rFonts w:ascii="仿宋" w:eastAsia="仿宋" w:hAnsi="仿宋" w:cs="仿宋" w:hint="eastAsia"/>
          <w:snapToGrid w:val="0"/>
          <w:kern w:val="0"/>
          <w:sz w:val="24"/>
        </w:rPr>
        <w:t xml:space="preserve"> </w:t>
      </w:r>
      <w:r>
        <w:rPr>
          <w:rFonts w:ascii="仿宋" w:eastAsia="仿宋" w:hAnsi="仿宋" w:cs="仿宋" w:hint="eastAsia"/>
          <w:snapToGrid w:val="0"/>
          <w:kern w:val="0"/>
          <w:sz w:val="24"/>
        </w:rPr>
        <w:t>“</w:t>
      </w:r>
      <w:r>
        <w:rPr>
          <w:rFonts w:ascii="仿宋" w:eastAsia="仿宋" w:hAnsi="仿宋" w:cs="仿宋" w:hint="eastAsia"/>
          <w:snapToGrid w:val="0"/>
          <w:kern w:val="0"/>
          <w:sz w:val="24"/>
        </w:rPr>
        <w:t>服务</w:t>
      </w:r>
      <w:r>
        <w:rPr>
          <w:rFonts w:ascii="仿宋" w:eastAsia="仿宋" w:hAnsi="仿宋" w:cs="仿宋" w:hint="eastAsia"/>
          <w:snapToGrid w:val="0"/>
          <w:kern w:val="0"/>
          <w:sz w:val="24"/>
        </w:rPr>
        <w:t>”</w:t>
      </w:r>
      <w:r>
        <w:rPr>
          <w:rFonts w:ascii="仿宋" w:eastAsia="仿宋" w:hAnsi="仿宋" w:cs="仿宋" w:hint="eastAsia"/>
          <w:snapToGrid w:val="0"/>
          <w:kern w:val="0"/>
          <w:sz w:val="24"/>
        </w:rPr>
        <w:t>是指除货物和工程以外的采购对象，其中包括：投标人需承担的运输、安装、技术支持、培训以及招标文件规定的其他服务。</w:t>
      </w:r>
    </w:p>
    <w:p>
      <w:pPr>
        <w:numPr>
          <w:ilvl w:val="0"/>
          <w:numId w:val="17"/>
        </w:numPr>
        <w:spacing w:line="360" w:lineRule="auto"/>
        <w:ind w:firstLine="504" w:firstLineChars="210"/>
        <w:rPr>
          <w:rFonts w:ascii="仿宋" w:eastAsia="仿宋" w:hAnsi="仿宋" w:cs="仿宋" w:hint="eastAsia"/>
          <w:b/>
          <w:bCs/>
          <w:sz w:val="24"/>
          <w:highlight w:val="yellow"/>
        </w:rPr>
      </w:pPr>
      <w:r>
        <w:rPr>
          <w:rFonts w:ascii="仿宋" w:eastAsia="仿宋" w:hAnsi="仿宋" w:cs="仿宋" w:hint="eastAsia"/>
          <w:b/>
          <w:bCs/>
          <w:sz w:val="24"/>
          <w:highlight w:val="yellow"/>
        </w:rPr>
        <w:t>投标人不得恶意竞价。对于报价低于平均报价60%的，评审小组有权要求投标人在现场或规定的时间内提供相关证明材料，规定时间内不能提供材料或者无法证明的，评审小组有权裁定该报价是否为恶意竞价。恶意竞价的投标人将被取消中标资格，并列入黑名单，在此后三年内不得参与我院任何采买活动。</w:t>
      </w:r>
    </w:p>
    <w:p>
      <w:pPr>
        <w:spacing w:line="360" w:lineRule="auto"/>
        <w:rPr>
          <w:rFonts w:ascii="仿宋" w:eastAsia="仿宋" w:hAnsi="仿宋" w:cs="仿宋" w:hint="eastAsia"/>
          <w:b/>
          <w:bCs/>
          <w:sz w:val="24"/>
        </w:rPr>
      </w:pPr>
      <w:r>
        <w:rPr>
          <w:rFonts w:ascii="仿宋" w:eastAsia="仿宋" w:hAnsi="仿宋" w:cs="仿宋" w:hint="eastAsia"/>
          <w:b/>
          <w:bCs/>
          <w:sz w:val="24"/>
          <w:highlight w:val="yellow"/>
        </w:rPr>
        <w:t xml:space="preserve">    如出现两家及以上报价差异巨大（原则上为低于预算价50%的或成倍数下降的），评审小组有权对各报价进行核查判定是否报价合理，有权否决招标评审项目的预算价并要求重新审计。</w:t>
      </w:r>
    </w:p>
    <w:p>
      <w:pPr>
        <w:pStyle w:val="PlainText"/>
        <w:adjustRightInd w:val="0"/>
        <w:snapToGrid w:val="0"/>
        <w:spacing w:line="360" w:lineRule="auto"/>
        <w:rPr>
          <w:rFonts w:ascii="仿宋_GB2312" w:eastAsia="仿宋_GB2312" w:hAnsi="仿宋" w:cs="Times New Roman" w:hint="eastAsia"/>
          <w:bCs/>
          <w:sz w:val="28"/>
          <w:szCs w:val="28"/>
        </w:rPr>
      </w:pPr>
      <w:r>
        <w:rPr>
          <w:rFonts w:ascii="仿宋_GB2312" w:eastAsia="仿宋_GB2312" w:hAnsi="仿宋" w:cs="Times New Roman" w:hint="eastAsia"/>
          <w:b/>
          <w:sz w:val="24"/>
          <w:szCs w:val="24"/>
        </w:rPr>
        <w:t xml:space="preserve">    </w:t>
      </w:r>
      <w:r>
        <w:rPr>
          <w:rFonts w:ascii="仿宋" w:eastAsia="仿宋" w:hAnsi="仿宋" w:cs="仿宋" w:hint="eastAsia"/>
          <w:snapToGrid w:val="0"/>
          <w:kern w:val="0"/>
          <w:sz w:val="24"/>
        </w:rPr>
        <w:t>7、无效报价的认定</w:t>
      </w:r>
    </w:p>
    <w:p>
      <w:pPr>
        <w:pStyle w:val="PlainText"/>
        <w:spacing w:line="360" w:lineRule="auto"/>
        <w:rPr>
          <w:rFonts w:ascii="仿宋" w:eastAsia="仿宋" w:hAnsi="仿宋" w:cs="仿宋" w:hint="eastAsia"/>
          <w:sz w:val="24"/>
          <w:szCs w:val="24"/>
        </w:rPr>
      </w:pPr>
      <w:r>
        <w:rPr>
          <w:rFonts w:hint="eastAsia"/>
        </w:rPr>
        <w:t xml:space="preserve">    （1）</w:t>
      </w:r>
      <w:r>
        <w:rPr>
          <w:rFonts w:ascii="仿宋" w:eastAsia="仿宋" w:hAnsi="仿宋" w:cs="仿宋" w:hint="eastAsia"/>
          <w:sz w:val="24"/>
          <w:szCs w:val="24"/>
        </w:rPr>
        <w:t xml:space="preserve">报价文件没有有效签署的； </w:t>
      </w:r>
    </w:p>
    <w:p>
      <w:pPr>
        <w:pStyle w:val="PlainText"/>
        <w:spacing w:line="360" w:lineRule="auto"/>
        <w:rPr>
          <w:rFonts w:ascii="仿宋" w:eastAsia="仿宋" w:hAnsi="仿宋" w:cs="仿宋" w:hint="eastAsia"/>
          <w:sz w:val="24"/>
          <w:szCs w:val="24"/>
        </w:rPr>
        <w:sectPr>
          <w:headerReference w:type="default" r:id="rId38"/>
          <w:footerReference w:type="default" r:id="rId39"/>
          <w:type w:val="nextPage"/>
          <w:pgSz w:w="11906" w:h="16838"/>
          <w:pgMar w:top="1440" w:right="1800" w:bottom="1440" w:left="1800" w:header="851" w:footer="992" w:gutter="0"/>
          <w:pgNumType w:fmt="decimal" w:start="18"/>
          <w:cols w:space="708"/>
          <w:titlePg w:val="0"/>
          <w:docGrid w:type="lines" w:linePitch="312"/>
        </w:sectPr>
      </w:pPr>
      <w:r>
        <w:rPr>
          <w:rFonts w:ascii="仿宋" w:eastAsia="仿宋" w:hAnsi="仿宋" w:cs="仿宋" w:hint="eastAsia"/>
          <w:sz w:val="24"/>
          <w:szCs w:val="24"/>
        </w:rPr>
        <w:t xml:space="preserve">   （2）报价文件不响应评审小组评审时质疑提出的问题，且该问题将可能给采购人造成重大影响的；</w:t>
      </w:r>
    </w:p>
    <w:p>
      <w:pPr>
        <w:pStyle w:val="PlainText"/>
        <w:spacing w:line="360" w:lineRule="auto"/>
        <w:rPr>
          <w:rFonts w:ascii="仿宋" w:eastAsia="仿宋" w:hAnsi="仿宋" w:cs="仿宋" w:hint="eastAsia"/>
          <w:sz w:val="24"/>
          <w:szCs w:val="24"/>
        </w:rPr>
      </w:pPr>
      <w:r>
        <w:rPr>
          <w:rFonts w:ascii="仿宋" w:eastAsia="仿宋" w:hAnsi="仿宋" w:cs="仿宋" w:hint="eastAsia"/>
          <w:sz w:val="24"/>
          <w:szCs w:val="24"/>
        </w:rPr>
        <w:t xml:space="preserve">   （3）报价文件的报价明显过低，可能低于其成本，而投标响应供应商又不能作出合理说明的；</w:t>
      </w:r>
    </w:p>
    <w:p>
      <w:pPr>
        <w:pStyle w:val="PlainText"/>
        <w:spacing w:line="360" w:lineRule="auto"/>
        <w:rPr>
          <w:rFonts w:ascii="仿宋" w:eastAsia="仿宋" w:hAnsi="仿宋" w:cs="仿宋" w:hint="eastAsia"/>
          <w:sz w:val="24"/>
          <w:szCs w:val="24"/>
        </w:rPr>
      </w:pPr>
      <w:r>
        <w:rPr>
          <w:rFonts w:ascii="仿宋" w:eastAsia="仿宋" w:hAnsi="仿宋" w:cs="仿宋" w:hint="eastAsia"/>
          <w:sz w:val="24"/>
          <w:szCs w:val="24"/>
        </w:rPr>
        <w:t xml:space="preserve">   （4）报价文件的投标报价超出采购预算且采购人不能接受的；</w:t>
      </w:r>
    </w:p>
    <w:p>
      <w:pPr>
        <w:pStyle w:val="PlainText"/>
        <w:spacing w:line="360" w:lineRule="auto"/>
        <w:rPr>
          <w:rFonts w:ascii="仿宋" w:eastAsia="仿宋" w:hAnsi="仿宋" w:cs="仿宋" w:hint="eastAsia"/>
          <w:sz w:val="24"/>
          <w:szCs w:val="24"/>
        </w:rPr>
      </w:pPr>
      <w:r>
        <w:rPr>
          <w:rFonts w:ascii="仿宋" w:eastAsia="仿宋" w:hAnsi="仿宋" w:cs="仿宋" w:hint="eastAsia"/>
          <w:sz w:val="24"/>
          <w:szCs w:val="24"/>
        </w:rPr>
        <w:t xml:space="preserve">   （5）报价文件附有采购人不能接受的条件的；</w:t>
      </w:r>
    </w:p>
    <w:p>
      <w:pPr>
        <w:pStyle w:val="PlainText"/>
        <w:spacing w:line="360" w:lineRule="auto"/>
        <w:rPr>
          <w:rFonts w:ascii="仿宋" w:eastAsia="仿宋" w:hAnsi="仿宋" w:cs="仿宋" w:hint="eastAsia"/>
          <w:sz w:val="24"/>
          <w:szCs w:val="24"/>
        </w:rPr>
      </w:pPr>
      <w:r>
        <w:rPr>
          <w:rFonts w:ascii="仿宋" w:eastAsia="仿宋" w:hAnsi="仿宋" w:cs="仿宋" w:hint="eastAsia"/>
          <w:sz w:val="24"/>
          <w:szCs w:val="24"/>
        </w:rPr>
        <w:t xml:space="preserve">   （6）评审小组认为本次报价不响应招标文件实质性要求的；</w:t>
      </w:r>
    </w:p>
    <w:p>
      <w:pPr>
        <w:pStyle w:val="PlainText"/>
        <w:spacing w:line="360" w:lineRule="auto"/>
        <w:rPr>
          <w:rFonts w:ascii="仿宋" w:eastAsia="仿宋" w:hAnsi="仿宋" w:cs="仿宋" w:hint="eastAsia"/>
          <w:b/>
          <w:bCs/>
          <w:sz w:val="24"/>
          <w:szCs w:val="24"/>
        </w:rPr>
      </w:pPr>
      <w:r>
        <w:rPr>
          <w:rFonts w:ascii="仿宋" w:eastAsia="仿宋" w:hAnsi="仿宋" w:cs="仿宋" w:hint="eastAsia"/>
          <w:sz w:val="24"/>
          <w:szCs w:val="24"/>
        </w:rPr>
        <w:t xml:space="preserve">   （7）其它评审小组认为应作为无效报价的。</w:t>
      </w:r>
    </w:p>
    <w:p>
      <w:pPr>
        <w:pStyle w:val="PlainText"/>
        <w:adjustRightInd w:val="0"/>
        <w:snapToGrid w:val="0"/>
        <w:spacing w:line="360" w:lineRule="auto"/>
        <w:ind w:firstLine="480"/>
        <w:rPr>
          <w:rFonts w:ascii="仿宋" w:eastAsia="仿宋" w:hAnsi="仿宋" w:cs="仿宋" w:hint="eastAsia"/>
          <w:b/>
          <w:bCs/>
          <w:sz w:val="24"/>
          <w:szCs w:val="24"/>
        </w:rPr>
      </w:pPr>
      <w:r>
        <w:rPr>
          <w:rFonts w:ascii="仿宋" w:eastAsia="仿宋" w:hAnsi="仿宋" w:cs="仿宋" w:hint="eastAsia"/>
          <w:b/>
          <w:bCs/>
          <w:sz w:val="24"/>
          <w:szCs w:val="24"/>
        </w:rPr>
        <w:t>8、有以下情形的，将视为投标人互相串通投标，不得报名或投标无效：</w:t>
      </w:r>
    </w:p>
    <w:p>
      <w:pPr>
        <w:pStyle w:val="PlainText"/>
        <w:adjustRightInd w:val="0"/>
        <w:snapToGrid w:val="0"/>
        <w:spacing w:line="360" w:lineRule="auto"/>
        <w:ind w:firstLine="480"/>
        <w:rPr>
          <w:rFonts w:ascii="仿宋" w:eastAsia="仿宋" w:hAnsi="仿宋" w:cs="仿宋" w:hint="eastAsia"/>
          <w:sz w:val="24"/>
          <w:szCs w:val="24"/>
        </w:rPr>
      </w:pPr>
      <w:r>
        <w:rPr>
          <w:rFonts w:ascii="仿宋" w:eastAsia="仿宋" w:hAnsi="仿宋" w:cs="仿宋" w:hint="eastAsia"/>
          <w:sz w:val="24"/>
          <w:szCs w:val="24"/>
        </w:rPr>
        <w:t>（1）不同投标人委托同一单位或个人办理投标事宜；</w:t>
      </w:r>
    </w:p>
    <w:p>
      <w:pPr>
        <w:pStyle w:val="PlainText"/>
        <w:adjustRightInd w:val="0"/>
        <w:snapToGrid w:val="0"/>
        <w:spacing w:line="360" w:lineRule="auto"/>
        <w:ind w:firstLine="480"/>
        <w:rPr>
          <w:rFonts w:ascii="仿宋" w:eastAsia="仿宋" w:hAnsi="仿宋" w:cs="仿宋" w:hint="eastAsia"/>
          <w:sz w:val="24"/>
          <w:szCs w:val="24"/>
        </w:rPr>
      </w:pPr>
      <w:r>
        <w:rPr>
          <w:rFonts w:ascii="仿宋" w:eastAsia="仿宋" w:hAnsi="仿宋" w:cs="仿宋" w:hint="eastAsia"/>
          <w:sz w:val="24"/>
          <w:szCs w:val="24"/>
        </w:rPr>
        <w:t>（2）不同投标人的投标文件由同一单位或个人编制；</w:t>
      </w:r>
    </w:p>
    <w:p>
      <w:pPr>
        <w:pStyle w:val="PlainText"/>
        <w:adjustRightInd w:val="0"/>
        <w:snapToGrid w:val="0"/>
        <w:spacing w:line="360" w:lineRule="auto"/>
        <w:ind w:firstLine="480"/>
        <w:rPr>
          <w:rFonts w:ascii="仿宋" w:eastAsia="仿宋" w:hAnsi="仿宋" w:cs="仿宋" w:hint="eastAsia"/>
          <w:sz w:val="24"/>
          <w:szCs w:val="24"/>
        </w:rPr>
      </w:pPr>
      <w:r>
        <w:rPr>
          <w:rFonts w:ascii="仿宋" w:eastAsia="仿宋" w:hAnsi="仿宋" w:cs="仿宋" w:hint="eastAsia"/>
          <w:sz w:val="24"/>
          <w:szCs w:val="24"/>
        </w:rPr>
        <w:t>（3）不同投标人的投标文件异常一致或者投标报价呈规律性差异；</w:t>
      </w:r>
    </w:p>
    <w:p>
      <w:pPr>
        <w:pStyle w:val="PlainText"/>
        <w:adjustRightInd w:val="0"/>
        <w:snapToGrid w:val="0"/>
        <w:spacing w:line="360" w:lineRule="auto"/>
        <w:ind w:firstLine="480"/>
        <w:rPr>
          <w:rFonts w:ascii="仿宋" w:eastAsia="仿宋" w:hAnsi="仿宋" w:cs="仿宋" w:hint="eastAsia"/>
          <w:sz w:val="24"/>
          <w:szCs w:val="24"/>
        </w:rPr>
      </w:pPr>
      <w:r>
        <w:rPr>
          <w:rFonts w:ascii="仿宋" w:eastAsia="仿宋" w:hAnsi="仿宋" w:cs="仿宋" w:hint="eastAsia"/>
          <w:sz w:val="24"/>
          <w:szCs w:val="24"/>
        </w:rPr>
        <w:t>（4）不同投标人的投标文件相互混装；</w:t>
      </w:r>
    </w:p>
    <w:p>
      <w:pPr>
        <w:pStyle w:val="PlainText"/>
        <w:adjustRightInd w:val="0"/>
        <w:snapToGrid w:val="0"/>
        <w:spacing w:line="360" w:lineRule="auto"/>
        <w:ind w:firstLine="480"/>
        <w:rPr>
          <w:rFonts w:ascii="仿宋" w:eastAsia="仿宋" w:hAnsi="仿宋" w:cs="仿宋" w:hint="eastAsia"/>
          <w:sz w:val="24"/>
          <w:szCs w:val="24"/>
        </w:rPr>
      </w:pPr>
      <w:r>
        <w:rPr>
          <w:rFonts w:ascii="仿宋" w:eastAsia="仿宋" w:hAnsi="仿宋" w:cs="仿宋" w:hint="eastAsia"/>
          <w:sz w:val="24"/>
          <w:szCs w:val="24"/>
        </w:rPr>
        <w:t>（5）法定代表人为同一个人的两个及两个以上法人，母公司、全资子公司及其控股公司或有共同股东组成或主要管理人员中有共同人员的；</w:t>
      </w:r>
    </w:p>
    <w:p>
      <w:pPr>
        <w:pStyle w:val="PlainText"/>
        <w:adjustRightInd w:val="0"/>
        <w:snapToGrid w:val="0"/>
        <w:spacing w:line="360" w:lineRule="auto"/>
        <w:ind w:firstLine="480"/>
        <w:rPr>
          <w:rFonts w:ascii="仿宋" w:eastAsia="仿宋" w:hAnsi="仿宋" w:cs="仿宋" w:hint="eastAsia"/>
          <w:sz w:val="24"/>
          <w:szCs w:val="24"/>
        </w:rPr>
      </w:pPr>
      <w:r>
        <w:rPr>
          <w:rFonts w:ascii="仿宋" w:eastAsia="仿宋" w:hAnsi="仿宋" w:cs="仿宋" w:hint="eastAsia"/>
          <w:sz w:val="24"/>
          <w:szCs w:val="24"/>
        </w:rPr>
        <w:t>（6）不同投标人的投标文件载明的项目管理成员或者联系人为同一人。</w:t>
      </w:r>
    </w:p>
    <w:p>
      <w:pPr>
        <w:pStyle w:val="PlainText"/>
        <w:adjustRightInd w:val="0"/>
        <w:snapToGrid w:val="0"/>
        <w:spacing w:line="360" w:lineRule="auto"/>
        <w:rPr>
          <w:rFonts w:ascii="仿宋" w:eastAsia="仿宋" w:hAnsi="仿宋" w:cs="仿宋" w:hint="eastAsia"/>
          <w:b/>
          <w:bCs/>
          <w:sz w:val="24"/>
          <w:szCs w:val="24"/>
        </w:rPr>
      </w:pPr>
      <w:r>
        <w:rPr>
          <w:rFonts w:ascii="仿宋" w:eastAsia="仿宋" w:hAnsi="仿宋" w:cs="仿宋" w:hint="eastAsia"/>
          <w:b/>
          <w:bCs/>
          <w:sz w:val="24"/>
          <w:szCs w:val="24"/>
        </w:rPr>
        <w:t xml:space="preserve">    9、投标人有下列弄虚作假的行为的，不得报名或投标无效：</w:t>
      </w:r>
    </w:p>
    <w:p>
      <w:pPr>
        <w:pStyle w:val="PlainText"/>
        <w:adjustRightInd w:val="0"/>
        <w:snapToGrid w:val="0"/>
        <w:spacing w:line="360" w:lineRule="auto"/>
        <w:ind w:firstLine="480"/>
        <w:rPr>
          <w:rFonts w:ascii="仿宋" w:eastAsia="仿宋" w:hAnsi="仿宋" w:cs="仿宋" w:hint="eastAsia"/>
          <w:sz w:val="24"/>
          <w:szCs w:val="24"/>
        </w:rPr>
      </w:pPr>
      <w:r>
        <w:rPr>
          <w:rFonts w:ascii="仿宋" w:eastAsia="仿宋" w:hAnsi="仿宋" w:cs="仿宋" w:hint="eastAsia"/>
          <w:sz w:val="24"/>
          <w:szCs w:val="24"/>
        </w:rPr>
        <w:t>（1）使用伪造、变造的许可证件；</w:t>
      </w:r>
    </w:p>
    <w:p>
      <w:pPr>
        <w:pStyle w:val="PlainText"/>
        <w:adjustRightInd w:val="0"/>
        <w:snapToGrid w:val="0"/>
        <w:spacing w:line="360" w:lineRule="auto"/>
        <w:ind w:firstLine="480"/>
        <w:rPr>
          <w:rFonts w:ascii="仿宋" w:eastAsia="仿宋" w:hAnsi="仿宋" w:cs="仿宋" w:hint="eastAsia"/>
          <w:sz w:val="24"/>
          <w:szCs w:val="24"/>
        </w:rPr>
      </w:pPr>
      <w:r>
        <w:rPr>
          <w:rFonts w:ascii="仿宋" w:eastAsia="仿宋" w:hAnsi="仿宋" w:cs="仿宋" w:hint="eastAsia"/>
          <w:sz w:val="24"/>
          <w:szCs w:val="24"/>
        </w:rPr>
        <w:t>（2）提供虚假的财务状况或者业绩；</w:t>
      </w:r>
    </w:p>
    <w:p>
      <w:pPr>
        <w:pStyle w:val="PlainText"/>
        <w:adjustRightInd w:val="0"/>
        <w:snapToGrid w:val="0"/>
        <w:spacing w:line="360" w:lineRule="auto"/>
        <w:ind w:firstLine="480"/>
        <w:rPr>
          <w:rFonts w:ascii="仿宋" w:eastAsia="仿宋" w:hAnsi="仿宋" w:cs="仿宋" w:hint="eastAsia"/>
          <w:sz w:val="24"/>
          <w:szCs w:val="24"/>
        </w:rPr>
      </w:pPr>
      <w:r>
        <w:rPr>
          <w:rFonts w:ascii="仿宋" w:eastAsia="仿宋" w:hAnsi="仿宋" w:cs="仿宋" w:hint="eastAsia"/>
          <w:sz w:val="24"/>
          <w:szCs w:val="24"/>
        </w:rPr>
        <w:t>（3）提供虚假的项目负责人或者主要技术人员简历、劳动关系证明；</w:t>
      </w:r>
    </w:p>
    <w:p>
      <w:pPr>
        <w:pStyle w:val="PlainText"/>
        <w:adjustRightInd w:val="0"/>
        <w:snapToGrid w:val="0"/>
        <w:spacing w:line="360" w:lineRule="auto"/>
        <w:ind w:firstLine="480"/>
        <w:rPr>
          <w:rFonts w:ascii="仿宋" w:eastAsia="仿宋" w:hAnsi="仿宋" w:cs="仿宋" w:hint="eastAsia"/>
          <w:sz w:val="24"/>
          <w:szCs w:val="24"/>
        </w:rPr>
      </w:pPr>
      <w:r>
        <w:rPr>
          <w:rFonts w:ascii="仿宋" w:eastAsia="仿宋" w:hAnsi="仿宋" w:cs="仿宋" w:hint="eastAsia"/>
          <w:sz w:val="24"/>
          <w:szCs w:val="24"/>
        </w:rPr>
        <w:t>（4）提供虚假的信用状况；</w:t>
      </w:r>
    </w:p>
    <w:p>
      <w:pPr>
        <w:pStyle w:val="PlainText"/>
        <w:adjustRightInd w:val="0"/>
        <w:snapToGrid w:val="0"/>
        <w:spacing w:line="360" w:lineRule="auto"/>
        <w:ind w:firstLine="480"/>
        <w:rPr>
          <w:rFonts w:ascii="仿宋" w:eastAsia="仿宋" w:hAnsi="仿宋" w:cs="仿宋" w:hint="eastAsia"/>
          <w:sz w:val="24"/>
          <w:szCs w:val="24"/>
        </w:rPr>
      </w:pPr>
      <w:r>
        <w:rPr>
          <w:rFonts w:ascii="仿宋" w:eastAsia="仿宋" w:hAnsi="仿宋" w:cs="仿宋" w:hint="eastAsia"/>
          <w:sz w:val="24"/>
          <w:szCs w:val="24"/>
        </w:rPr>
        <w:t>（5）其他弄虚作假的行为。</w:t>
      </w:r>
    </w:p>
    <w:p>
      <w:pPr>
        <w:pStyle w:val="PlainText"/>
        <w:adjustRightInd w:val="0"/>
        <w:snapToGrid w:val="0"/>
        <w:spacing w:line="360" w:lineRule="auto"/>
        <w:ind w:firstLine="480"/>
        <w:rPr>
          <w:rFonts w:ascii="仿宋" w:eastAsia="仿宋" w:hAnsi="仿宋" w:cs="仿宋" w:hint="eastAsia"/>
          <w:b/>
          <w:sz w:val="24"/>
          <w:szCs w:val="24"/>
          <w:highlight w:val="yellow"/>
        </w:rPr>
      </w:pPr>
      <w:r>
        <w:rPr>
          <w:rFonts w:ascii="仿宋" w:eastAsia="仿宋" w:hAnsi="仿宋" w:cs="仿宋" w:hint="eastAsia"/>
          <w:b/>
          <w:sz w:val="24"/>
          <w:szCs w:val="24"/>
          <w:highlight w:val="yellow"/>
        </w:rPr>
        <w:t>（6）投标文件或报价文件中的签名代签或冒签的；</w:t>
      </w:r>
    </w:p>
    <w:p>
      <w:pPr>
        <w:pStyle w:val="PlainText"/>
        <w:adjustRightInd w:val="0"/>
        <w:snapToGrid w:val="0"/>
        <w:spacing w:line="360" w:lineRule="auto"/>
        <w:ind w:firstLine="480"/>
        <w:rPr>
          <w:rFonts w:ascii="仿宋" w:eastAsia="仿宋" w:hAnsi="仿宋" w:cs="仿宋" w:hint="eastAsia"/>
          <w:b/>
          <w:sz w:val="24"/>
          <w:szCs w:val="24"/>
        </w:rPr>
      </w:pPr>
      <w:r>
        <w:rPr>
          <w:rFonts w:ascii="仿宋" w:eastAsia="仿宋" w:hAnsi="仿宋" w:cs="仿宋" w:hint="eastAsia"/>
          <w:b/>
          <w:sz w:val="24"/>
          <w:szCs w:val="24"/>
          <w:highlight w:val="yellow"/>
        </w:rPr>
        <w:t>（7）被授权人委托他人投标，无委托书的。</w:t>
      </w:r>
    </w:p>
    <w:p>
      <w:pPr>
        <w:pStyle w:val="PlainText"/>
        <w:adjustRightInd w:val="0"/>
        <w:snapToGrid w:val="0"/>
        <w:spacing w:line="360" w:lineRule="auto"/>
        <w:ind w:firstLine="480"/>
        <w:rPr>
          <w:rFonts w:ascii="仿宋" w:eastAsia="仿宋" w:hAnsi="仿宋" w:cs="仿宋" w:hint="eastAsia"/>
          <w:b/>
          <w:sz w:val="24"/>
          <w:szCs w:val="24"/>
        </w:rPr>
      </w:pPr>
      <w:r>
        <w:rPr>
          <w:rFonts w:ascii="仿宋" w:eastAsia="仿宋" w:hAnsi="仿宋" w:cs="仿宋" w:hint="eastAsia"/>
          <w:b/>
          <w:bCs/>
          <w:sz w:val="24"/>
          <w:szCs w:val="24"/>
        </w:rPr>
        <w:t>10、</w:t>
      </w:r>
      <w:r>
        <w:rPr>
          <w:rFonts w:ascii="仿宋" w:eastAsia="仿宋" w:hAnsi="仿宋" w:cs="仿宋" w:hint="eastAsia"/>
          <w:b/>
          <w:bCs/>
          <w:sz w:val="24"/>
          <w:szCs w:val="24"/>
        </w:rPr>
        <w:t>“</w:t>
      </w:r>
      <w:r>
        <w:rPr>
          <w:rFonts w:ascii="仿宋" w:eastAsia="仿宋" w:hAnsi="仿宋" w:cs="仿宋" w:hint="eastAsia"/>
          <w:b/>
          <w:sz w:val="24"/>
          <w:szCs w:val="24"/>
        </w:rPr>
        <w:t>★”</w:t>
      </w:r>
      <w:r>
        <w:rPr>
          <w:rFonts w:ascii="仿宋" w:eastAsia="仿宋" w:hAnsi="仿宋" w:cs="仿宋" w:hint="eastAsia"/>
          <w:b/>
          <w:sz w:val="24"/>
          <w:szCs w:val="24"/>
        </w:rPr>
        <w:t>号条款：必须实质响应的条款，投标人不可偏离，负偏离将导致资格性符合性审查不合格，评审时认定为废标。</w:t>
      </w:r>
      <w:r>
        <w:rPr>
          <w:rFonts w:ascii="仿宋" w:eastAsia="仿宋" w:hAnsi="仿宋" w:cs="仿宋" w:hint="eastAsia"/>
          <w:b/>
          <w:sz w:val="24"/>
          <w:szCs w:val="24"/>
        </w:rPr>
        <w:t>“▲”</w:t>
      </w:r>
      <w:r>
        <w:rPr>
          <w:rFonts w:ascii="仿宋" w:eastAsia="仿宋" w:hAnsi="仿宋" w:cs="仿宋" w:hint="eastAsia"/>
          <w:b/>
          <w:sz w:val="24"/>
          <w:szCs w:val="24"/>
        </w:rPr>
        <w:t>号条款：可以偏离的响应条款，将影响投标人的</w:t>
      </w:r>
      <w:r>
        <w:rPr>
          <w:rFonts w:ascii="仿宋" w:eastAsia="仿宋" w:hAnsi="仿宋" w:cs="仿宋" w:hint="eastAsia"/>
          <w:b/>
          <w:bCs/>
          <w:sz w:val="24"/>
          <w:szCs w:val="24"/>
        </w:rPr>
        <w:t>技术</w:t>
      </w:r>
      <w:r>
        <w:rPr>
          <w:rFonts w:ascii="仿宋" w:eastAsia="仿宋" w:hAnsi="仿宋" w:cs="仿宋" w:hint="eastAsia"/>
          <w:b/>
          <w:sz w:val="24"/>
          <w:szCs w:val="24"/>
        </w:rPr>
        <w:t>得分。</w:t>
      </w:r>
    </w:p>
    <w:p>
      <w:pPr>
        <w:pStyle w:val="PlainText"/>
        <w:adjustRightInd w:val="0"/>
        <w:snapToGrid w:val="0"/>
        <w:spacing w:line="360" w:lineRule="auto"/>
        <w:ind w:firstLine="480"/>
        <w:rPr>
          <w:rFonts w:ascii="仿宋" w:eastAsia="仿宋" w:hAnsi="仿宋" w:cs="仿宋" w:hint="eastAsia"/>
          <w:b/>
          <w:sz w:val="24"/>
          <w:szCs w:val="24"/>
        </w:rPr>
      </w:pPr>
      <w:r>
        <w:rPr>
          <w:rFonts w:ascii="仿宋" w:eastAsia="仿宋" w:hAnsi="仿宋" w:cs="仿宋" w:hint="eastAsia"/>
          <w:b/>
          <w:sz w:val="24"/>
          <w:szCs w:val="24"/>
        </w:rPr>
        <w:t>11、投标文件自投标文件接收截止时点起，三个月内有效。</w:t>
      </w:r>
    </w:p>
    <w:p>
      <w:pPr>
        <w:pStyle w:val="PlainText"/>
        <w:adjustRightInd w:val="0"/>
        <w:snapToGrid w:val="0"/>
        <w:spacing w:line="360" w:lineRule="auto"/>
        <w:ind w:firstLine="480"/>
        <w:rPr>
          <w:rFonts w:ascii="仿宋" w:eastAsia="仿宋" w:hAnsi="仿宋" w:cs="仿宋" w:hint="eastAsia"/>
          <w:b/>
          <w:sz w:val="24"/>
          <w:szCs w:val="24"/>
        </w:rPr>
      </w:pPr>
      <w:r>
        <w:rPr>
          <w:rFonts w:ascii="仿宋" w:eastAsia="仿宋" w:hAnsi="仿宋" w:cs="仿宋" w:hint="eastAsia"/>
          <w:b/>
          <w:sz w:val="24"/>
          <w:szCs w:val="24"/>
        </w:rPr>
        <w:t>12、以下情形，拒收投标文件：</w:t>
      </w:r>
    </w:p>
    <w:p>
      <w:pPr>
        <w:pStyle w:val="PlainText"/>
        <w:adjustRightInd w:val="0"/>
        <w:snapToGrid w:val="0"/>
        <w:spacing w:line="360" w:lineRule="auto"/>
        <w:ind w:firstLine="480"/>
        <w:rPr>
          <w:rFonts w:ascii="仿宋" w:eastAsia="仿宋" w:hAnsi="仿宋" w:cs="仿宋" w:hint="eastAsia"/>
          <w:bCs/>
          <w:sz w:val="24"/>
          <w:szCs w:val="24"/>
        </w:rPr>
      </w:pPr>
      <w:r>
        <w:rPr>
          <w:rFonts w:ascii="仿宋" w:eastAsia="仿宋" w:hAnsi="仿宋" w:cs="仿宋" w:hint="eastAsia"/>
          <w:bCs/>
          <w:sz w:val="24"/>
          <w:szCs w:val="24"/>
        </w:rPr>
        <w:t>（1）逾期送达；</w:t>
      </w:r>
    </w:p>
    <w:p>
      <w:pPr>
        <w:pStyle w:val="PlainText"/>
        <w:adjustRightInd w:val="0"/>
        <w:snapToGrid w:val="0"/>
        <w:spacing w:line="360" w:lineRule="auto"/>
        <w:ind w:firstLine="480"/>
        <w:rPr>
          <w:rFonts w:ascii="仿宋" w:eastAsia="仿宋" w:hAnsi="仿宋" w:cs="仿宋" w:hint="eastAsia"/>
          <w:bCs/>
          <w:sz w:val="24"/>
          <w:szCs w:val="24"/>
        </w:rPr>
      </w:pPr>
      <w:r>
        <w:rPr>
          <w:rFonts w:ascii="仿宋" w:eastAsia="仿宋" w:hAnsi="仿宋" w:cs="仿宋" w:hint="eastAsia"/>
          <w:bCs/>
          <w:sz w:val="24"/>
          <w:szCs w:val="24"/>
        </w:rPr>
        <w:t>（2）未按招标文件要求密封（含密封连续开裂超过5cm的）。</w:t>
      </w:r>
    </w:p>
    <w:p>
      <w:pPr>
        <w:pStyle w:val="PlainText"/>
        <w:adjustRightInd w:val="0"/>
        <w:snapToGrid w:val="0"/>
        <w:spacing w:line="360" w:lineRule="auto"/>
        <w:rPr>
          <w:rFonts w:ascii="仿宋" w:eastAsia="仿宋" w:hAnsi="仿宋" w:cs="仿宋" w:hint="eastAsia"/>
          <w:b/>
          <w:sz w:val="24"/>
          <w:szCs w:val="24"/>
        </w:rPr>
        <w:sectPr>
          <w:headerReference w:type="default" r:id="rId40"/>
          <w:footerReference w:type="default" r:id="rId41"/>
          <w:type w:val="nextPage"/>
          <w:pgSz w:w="11906" w:h="16838"/>
          <w:pgMar w:top="1440" w:right="1800" w:bottom="1440" w:left="1800" w:header="851" w:footer="992" w:gutter="0"/>
          <w:pgNumType w:fmt="decimal" w:start="19"/>
          <w:cols w:space="708"/>
          <w:titlePg w:val="0"/>
          <w:docGrid w:type="lines" w:linePitch="312"/>
        </w:sectPr>
      </w:pPr>
      <w:r>
        <w:rPr>
          <w:rFonts w:ascii="仿宋" w:eastAsia="仿宋" w:hAnsi="仿宋" w:cs="仿宋" w:hint="eastAsia"/>
          <w:b/>
          <w:sz w:val="24"/>
          <w:szCs w:val="24"/>
        </w:rPr>
        <w:t xml:space="preserve">    13、有下列情形，评审小组将否决其投标：</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（1）投标文件未经投标单位盖章和法人或法定代表人（单位负责人）或被授权人签字；</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（2）投标联合体没有提交共同投标协议；</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（3）同一投标人提交两个以上不同的投标文件或者投标报价，招标文件要求提交备选投标的除外；</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（4）投标报价低于成本或者高于招标最高投标限价的；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（5）投标文件没有对招标文件的实质性要求和条件作出响应的，</w:t>
      </w:r>
      <w:r>
        <w:rPr>
          <w:rFonts w:ascii="仿宋" w:eastAsia="仿宋" w:hAnsi="仿宋" w:cs="仿宋" w:hint="eastAsia"/>
          <w:sz w:val="24"/>
          <w:szCs w:val="24"/>
        </w:rPr>
        <w:t>评审小组认为明显不符合评审要求的技术规格、技术标准、采购数量；</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（6）投标人有串通投标、弄虚作假等违法行为的；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highlight w:val="yellow"/>
        </w:rPr>
        <w:t>（7）投标文件出现雷同内容的；</w:t>
      </w:r>
    </w:p>
    <w:p>
      <w:pPr>
        <w:spacing w:line="360" w:lineRule="auto"/>
        <w:rPr>
          <w:rFonts w:ascii="仿宋" w:eastAsia="仿宋" w:hAnsi="仿宋" w:cs="仿宋" w:hint="eastAsia"/>
          <w:bCs/>
          <w:sz w:val="24"/>
        </w:rPr>
      </w:pPr>
      <w:r>
        <w:rPr>
          <w:rFonts w:ascii="仿宋" w:eastAsia="仿宋" w:hAnsi="仿宋" w:cs="仿宋" w:hint="eastAsia"/>
          <w:b/>
          <w:bCs/>
          <w:sz w:val="24"/>
        </w:rPr>
        <w:t xml:space="preserve">    </w:t>
      </w:r>
      <w:r>
        <w:rPr>
          <w:rFonts w:ascii="仿宋" w:eastAsia="仿宋" w:hAnsi="仿宋" w:cs="仿宋" w:hint="eastAsia"/>
          <w:bCs/>
          <w:sz w:val="24"/>
        </w:rPr>
        <w:t>（8）开标现场存在争议的。</w:t>
      </w:r>
    </w:p>
    <w:p>
      <w:pPr>
        <w:pStyle w:val="PlainText"/>
        <w:adjustRightInd w:val="0"/>
        <w:snapToGrid w:val="0"/>
        <w:spacing w:line="360" w:lineRule="auto"/>
        <w:ind w:firstLine="481"/>
        <w:rPr>
          <w:rFonts w:ascii="仿宋" w:eastAsia="仿宋" w:hAnsi="仿宋" w:cs="仿宋" w:hint="eastAsia"/>
          <w:b/>
          <w:sz w:val="24"/>
          <w:szCs w:val="24"/>
        </w:rPr>
      </w:pPr>
      <w:r>
        <w:rPr>
          <w:rFonts w:ascii="仿宋" w:eastAsia="仿宋" w:hAnsi="仿宋" w:cs="仿宋" w:hint="eastAsia"/>
          <w:b/>
          <w:sz w:val="24"/>
          <w:szCs w:val="24"/>
        </w:rPr>
        <w:t>14、供应商在招投标过程中出现的以下不良行为的，将列入我院黑名单管理，在此后的三年内不得参与我院任何采买活动：</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（1）远低于成本价恶意竞价或提供虚假材料谋求中标/成交的；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（2）采取不正当手段诋毁、排挤其他潜在供应商的；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（3）与其他潜在供应商恶意串通围标的；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（4）近两年内有受到上级行政部门处罚或者存在违法行为的；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（5）随意申请撤换或放弃中标/成交结果的；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（6）中标、成交后无正当理由拒绝或迟迟不签订采购合同的；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（7）中标/成交后，超过合同约定的供货（或服务）时间未按要求执行，给采购人造成损害的；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（8）在招标采购过程中，与相关部门协商谈判的；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（9）向医院涉及的相关部门行贿或者提供不正当利益的；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（10）拒绝有关部门监督检查或者提供虚假情况的；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（11）无正当理由拒绝履行合同和有关承诺，或擅自变更、中止（终止）采购合同的；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（12）提供假冒伪劣产品或走私物品的；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（13）不遵守开标现场纪律，扰乱评审现场，影响采购活动继续进行的；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（14）开标后擅自撤回采购相应文件，影响采购活动继续进行的；</w:t>
      </w:r>
    </w:p>
    <w:p>
      <w:pPr>
        <w:pStyle w:val="PlainText"/>
        <w:adjustRightInd w:val="0"/>
        <w:snapToGrid w:val="0"/>
        <w:spacing w:line="360" w:lineRule="auto"/>
        <w:ind w:firstLine="481"/>
        <w:rPr>
          <w:rFonts w:ascii="仿宋" w:eastAsia="仿宋" w:hAnsi="仿宋" w:cs="仿宋" w:hint="eastAsia"/>
          <w:bCs/>
          <w:sz w:val="24"/>
          <w:szCs w:val="24"/>
        </w:rPr>
        <w:sectPr>
          <w:headerReference w:type="default" r:id="rId42"/>
          <w:footerReference w:type="default" r:id="rId43"/>
          <w:type w:val="nextPage"/>
          <w:pgSz w:w="11906" w:h="16838"/>
          <w:pgMar w:top="1440" w:right="1800" w:bottom="1440" w:left="1800" w:header="851" w:footer="992" w:gutter="0"/>
          <w:pgNumType w:fmt="decimal" w:start="20"/>
          <w:cols w:space="708"/>
          <w:titlePg w:val="0"/>
          <w:docGrid w:type="lines" w:linePitch="312"/>
        </w:sectPr>
      </w:pPr>
      <w:r>
        <w:rPr>
          <w:rFonts w:ascii="仿宋" w:eastAsia="仿宋" w:hAnsi="仿宋" w:cs="仿宋" w:hint="eastAsia"/>
          <w:bCs/>
          <w:sz w:val="24"/>
          <w:szCs w:val="24"/>
        </w:rPr>
        <w:t>（15）中标/成交后，擅自将采购合同转包或分包给其他供应商的；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（16）不按招投标文件的要求和承诺执行或擅自降低投标/响应承诺的产品质量和售后服务或以次充好、偷工减料的；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（17）实际提供的有关产品性能指标和技术服务能力明显低于采购响应文件或询价、谈判时的承诺的；</w:t>
      </w:r>
    </w:p>
    <w:p>
      <w:pPr>
        <w:pStyle w:val="PlainText"/>
        <w:adjustRightInd w:val="0"/>
        <w:snapToGrid w:val="0"/>
        <w:spacing w:line="360" w:lineRule="auto"/>
        <w:rPr>
          <w:rFonts w:ascii="仿宋" w:eastAsia="仿宋" w:hAnsi="仿宋" w:cs="仿宋" w:hint="eastAsia"/>
          <w:bCs/>
          <w:sz w:val="24"/>
          <w:szCs w:val="24"/>
        </w:rPr>
      </w:pPr>
      <w:r>
        <w:rPr>
          <w:rFonts w:ascii="仿宋" w:eastAsia="仿宋" w:hAnsi="仿宋" w:cs="仿宋" w:hint="eastAsia"/>
          <w:bCs/>
          <w:sz w:val="24"/>
          <w:szCs w:val="24"/>
        </w:rPr>
        <w:t xml:space="preserve">    （18）一年内有一次以上投诉查无实据、捏造事实或者提供虚假投诉材料的；</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（19）连续两次供应商履约诚信量化评价得分不合格的供应商；</w:t>
      </w:r>
    </w:p>
    <w:p>
      <w:pPr>
        <w:pStyle w:val="PlainText"/>
        <w:adjustRightInd w:val="0"/>
        <w:snapToGrid w:val="0"/>
        <w:spacing w:line="360" w:lineRule="auto"/>
        <w:ind w:firstLine="481"/>
        <w:rPr>
          <w:rFonts w:ascii="仿宋" w:eastAsia="仿宋" w:hAnsi="仿宋" w:cs="仿宋" w:hint="eastAsia"/>
          <w:bCs/>
          <w:sz w:val="24"/>
          <w:szCs w:val="24"/>
        </w:rPr>
      </w:pPr>
      <w:r>
        <w:rPr>
          <w:rFonts w:ascii="仿宋" w:eastAsia="仿宋" w:hAnsi="仿宋" w:cs="仿宋" w:hint="eastAsia"/>
          <w:bCs/>
          <w:sz w:val="24"/>
          <w:szCs w:val="24"/>
        </w:rPr>
        <w:t>（20）一年内累计达两次报名且未按规定提前一天发函告知不投标的。</w:t>
      </w:r>
    </w:p>
    <w:p>
      <w:pPr>
        <w:pStyle w:val="PlainText"/>
        <w:adjustRightInd w:val="0"/>
        <w:snapToGrid w:val="0"/>
        <w:spacing w:line="360" w:lineRule="auto"/>
        <w:ind w:firstLine="481"/>
        <w:rPr>
          <w:rFonts w:ascii="仿宋" w:eastAsia="仿宋" w:hAnsi="仿宋" w:cs="仿宋" w:hint="eastAsia"/>
          <w:b/>
          <w:sz w:val="24"/>
          <w:szCs w:val="24"/>
        </w:rPr>
      </w:pPr>
      <w:r>
        <w:rPr>
          <w:rFonts w:ascii="仿宋" w:eastAsia="仿宋" w:hAnsi="仿宋" w:cs="仿宋" w:hint="eastAsia"/>
          <w:bCs/>
          <w:sz w:val="24"/>
          <w:szCs w:val="24"/>
        </w:rPr>
        <w:t>15、投标人在响应招标文件中必须列出具体数值，如果投标人只注明</w:t>
      </w:r>
      <w:r>
        <w:rPr>
          <w:rFonts w:ascii="仿宋" w:eastAsia="仿宋" w:hAnsi="仿宋" w:cs="仿宋" w:hint="eastAsia"/>
          <w:bCs/>
          <w:sz w:val="24"/>
          <w:szCs w:val="24"/>
        </w:rPr>
        <w:t>“</w:t>
      </w:r>
      <w:r>
        <w:rPr>
          <w:rFonts w:ascii="仿宋" w:eastAsia="仿宋" w:hAnsi="仿宋" w:cs="仿宋" w:hint="eastAsia"/>
          <w:bCs/>
          <w:sz w:val="24"/>
          <w:szCs w:val="24"/>
        </w:rPr>
        <w:t>差不多</w:t>
      </w:r>
      <w:r>
        <w:rPr>
          <w:rFonts w:ascii="仿宋" w:eastAsia="仿宋" w:hAnsi="仿宋" w:cs="仿宋" w:hint="eastAsia"/>
          <w:bCs/>
          <w:sz w:val="24"/>
          <w:szCs w:val="24"/>
        </w:rPr>
        <w:t>”“</w:t>
      </w:r>
      <w:r>
        <w:rPr>
          <w:rFonts w:ascii="仿宋" w:eastAsia="仿宋" w:hAnsi="仿宋" w:cs="仿宋" w:hint="eastAsia"/>
          <w:bCs/>
          <w:sz w:val="24"/>
          <w:szCs w:val="24"/>
        </w:rPr>
        <w:t>接近</w:t>
      </w:r>
      <w:r>
        <w:rPr>
          <w:rFonts w:ascii="仿宋" w:eastAsia="仿宋" w:hAnsi="仿宋" w:cs="仿宋" w:hint="eastAsia"/>
          <w:bCs/>
          <w:sz w:val="24"/>
          <w:szCs w:val="24"/>
        </w:rPr>
        <w:t>”</w:t>
      </w:r>
      <w:r>
        <w:rPr>
          <w:rFonts w:ascii="仿宋" w:eastAsia="仿宋" w:hAnsi="仿宋" w:cs="仿宋" w:hint="eastAsia"/>
          <w:bCs/>
          <w:sz w:val="24"/>
          <w:szCs w:val="24"/>
        </w:rPr>
        <w:t>等不明确表述，或擅自修改招标文件的招标技术、商务等要求的将导致评审小组拒绝其投标。</w:t>
      </w:r>
    </w:p>
    <w:p>
      <w:pPr>
        <w:pStyle w:val="PlainText"/>
        <w:adjustRightInd w:val="0"/>
        <w:snapToGrid w:val="0"/>
        <w:spacing w:line="360" w:lineRule="auto"/>
        <w:rPr>
          <w:rFonts w:ascii="仿宋" w:eastAsia="仿宋" w:hAnsi="仿宋" w:cs="仿宋" w:hint="eastAsia"/>
          <w:b/>
          <w:bCs/>
          <w:sz w:val="24"/>
        </w:rPr>
      </w:pPr>
      <w:r>
        <w:rPr>
          <w:rFonts w:ascii="仿宋" w:eastAsia="仿宋" w:hAnsi="仿宋" w:cs="仿宋" w:hint="eastAsia"/>
          <w:b/>
          <w:bCs/>
          <w:sz w:val="24"/>
        </w:rPr>
        <w:t xml:space="preserve">    二、招标文件</w:t>
      </w:r>
    </w:p>
    <w:p>
      <w:pPr>
        <w:pStyle w:val="PlainText"/>
        <w:adjustRightInd w:val="0"/>
        <w:snapToGrid w:val="0"/>
        <w:spacing w:line="360" w:lineRule="auto"/>
        <w:ind w:firstLine="240" w:firstLineChars="100"/>
        <w:rPr>
          <w:rFonts w:ascii="仿宋" w:eastAsia="仿宋" w:hAnsi="仿宋" w:cs="仿宋" w:hint="eastAsia"/>
          <w:sz w:val="24"/>
        </w:rPr>
      </w:pPr>
      <w:r>
        <w:rPr>
          <w:rFonts w:ascii="仿宋" w:eastAsia="仿宋" w:hAnsi="仿宋" w:cs="仿宋" w:hint="eastAsia"/>
          <w:sz w:val="24"/>
        </w:rPr>
        <w:t xml:space="preserve">  1、 招标文件主要由1) 投标邀请书；2) 采购项目内容；3) 投标人须知；4) 合同书格式；5) 投标文件格式 ；6) 在招标过程中由招标采购单位发出的修正和补充文件等。</w:t>
      </w:r>
    </w:p>
    <w:p>
      <w:pPr>
        <w:pStyle w:val="PlainText"/>
        <w:adjustRightInd w:val="0"/>
        <w:snapToGrid w:val="0"/>
        <w:spacing w:line="360" w:lineRule="auto"/>
        <w:rPr>
          <w:rFonts w:ascii="仿宋" w:eastAsia="仿宋" w:hAnsi="仿宋" w:cs="仿宋" w:hint="eastAsia"/>
          <w:sz w:val="24"/>
        </w:rPr>
      </w:pPr>
      <w:r>
        <w:rPr>
          <w:rFonts w:ascii="仿宋" w:eastAsia="仿宋" w:hAnsi="仿宋" w:cs="仿宋" w:hint="eastAsia"/>
          <w:sz w:val="24"/>
        </w:rPr>
        <w:t xml:space="preserve">    2、投标人应认真阅读、并充分理解招标文件的全部内容（包括所有的补充、修改内容、重要事项、格式、条款和技术规范、参数及要求等）。投标人没有按照招标文件要求提交全部资料，或者投标没有对招标文件在各方面都做出实质性响应是投标人的风险，有可能导致其投标被拒绝，或被认定为无效投标。</w:t>
      </w:r>
    </w:p>
    <w:p>
      <w:pPr>
        <w:pStyle w:val="PlainText"/>
        <w:adjustRightInd w:val="0"/>
        <w:snapToGrid w:val="0"/>
        <w:spacing w:line="360" w:lineRule="auto"/>
        <w:ind w:firstLine="240" w:firstLineChars="100"/>
        <w:rPr>
          <w:rFonts w:ascii="仿宋" w:eastAsia="仿宋" w:hAnsi="仿宋" w:cs="仿宋" w:hint="eastAsia"/>
          <w:sz w:val="24"/>
        </w:rPr>
      </w:pPr>
      <w:r>
        <w:rPr>
          <w:rFonts w:ascii="仿宋" w:eastAsia="仿宋" w:hAnsi="仿宋" w:cs="仿宋" w:hint="eastAsia"/>
          <w:sz w:val="24"/>
        </w:rPr>
        <w:t xml:space="preserve">  3、招标文件的澄清</w:t>
      </w:r>
    </w:p>
    <w:p>
      <w:pPr>
        <w:pStyle w:val="PlainText"/>
        <w:adjustRightInd w:val="0"/>
        <w:snapToGrid w:val="0"/>
        <w:spacing w:line="360" w:lineRule="auto"/>
        <w:rPr>
          <w:rFonts w:ascii="仿宋" w:eastAsia="仿宋" w:hAnsi="仿宋" w:cs="仿宋" w:hint="eastAsia"/>
          <w:sz w:val="24"/>
        </w:rPr>
      </w:pPr>
      <w:r>
        <w:rPr>
          <w:rFonts w:ascii="仿宋" w:eastAsia="仿宋" w:hAnsi="仿宋" w:cs="仿宋" w:hint="eastAsia"/>
          <w:sz w:val="24"/>
          <w:szCs w:val="24"/>
        </w:rPr>
        <w:t xml:space="preserve">    任何要求对招标文件进行澄清的投标人，均应以书面形式在投标截止时间五天前通知博罗县人民医院招标管理办公室。招标管理办公室将对投标人所要求澄</w:t>
      </w:r>
      <w:r>
        <w:rPr>
          <w:rFonts w:ascii="仿宋" w:eastAsia="仿宋" w:hAnsi="仿宋" w:cs="仿宋" w:hint="eastAsia"/>
          <w:sz w:val="24"/>
        </w:rPr>
        <w:t>清的内容均以书面形式予以答复。</w:t>
      </w:r>
    </w:p>
    <w:p>
      <w:pPr>
        <w:pStyle w:val="PlainText"/>
        <w:adjustRightInd w:val="0"/>
        <w:snapToGrid w:val="0"/>
        <w:spacing w:line="360" w:lineRule="auto"/>
        <w:ind w:firstLine="480"/>
        <w:rPr>
          <w:rFonts w:ascii="仿宋" w:eastAsia="仿宋" w:hAnsi="仿宋" w:cs="仿宋" w:hint="eastAsia"/>
          <w:b/>
          <w:bCs/>
          <w:sz w:val="24"/>
        </w:rPr>
      </w:pPr>
      <w:bookmarkStart w:id="0" w:name="OLE_LINK11"/>
      <w:r>
        <w:rPr>
          <w:rFonts w:ascii="仿宋" w:eastAsia="仿宋" w:hAnsi="仿宋" w:cs="仿宋" w:hint="eastAsia"/>
          <w:b/>
          <w:bCs/>
          <w:sz w:val="24"/>
        </w:rPr>
        <w:t xml:space="preserve">4、投标人应在收到招标文件后，应仔细阅读，有疑问的应在报名有效工作时间内提出质疑。在规定的时间内未对招标文件要求澄清或提出疑问的，我院将视其为无异议，不再接受对招标文件内容的质疑。 </w:t>
      </w:r>
    </w:p>
    <w:p>
      <w:pPr>
        <w:pStyle w:val="PlainText"/>
        <w:adjustRightInd w:val="0"/>
        <w:snapToGrid w:val="0"/>
        <w:spacing w:line="360" w:lineRule="auto"/>
        <w:ind w:firstLine="480"/>
        <w:rPr>
          <w:rFonts w:ascii="仿宋" w:eastAsia="仿宋" w:hAnsi="仿宋" w:cs="仿宋" w:hint="eastAsia"/>
          <w:b/>
          <w:bCs/>
          <w:sz w:val="24"/>
        </w:rPr>
      </w:pPr>
      <w:r>
        <w:rPr>
          <w:rFonts w:ascii="仿宋" w:eastAsia="仿宋" w:hAnsi="仿宋" w:cs="仿宋" w:hint="eastAsia"/>
          <w:b/>
          <w:bCs/>
          <w:sz w:val="24"/>
        </w:rPr>
        <w:t xml:space="preserve">5、要求响应人报名后应参加投标，报名后不投标的应在投标截止日前一天前致函我院招标管理办公室说明情况。如未致函说明者，将记不良行为一次，一年累计达两次者将被列入黑名单。   </w:t>
      </w:r>
    </w:p>
    <w:p>
      <w:pPr>
        <w:pStyle w:val="PlainText"/>
        <w:adjustRightInd w:val="0"/>
        <w:snapToGrid w:val="0"/>
        <w:spacing w:line="360" w:lineRule="auto"/>
        <w:rPr>
          <w:rFonts w:ascii="仿宋" w:eastAsia="仿宋" w:hAnsi="仿宋" w:cs="仿宋" w:hint="eastAsia"/>
          <w:sz w:val="24"/>
          <w:szCs w:val="24"/>
        </w:rPr>
        <w:sectPr>
          <w:headerReference w:type="default" r:id="rId44"/>
          <w:footerReference w:type="default" r:id="rId45"/>
          <w:type w:val="nextPage"/>
          <w:pgSz w:w="11906" w:h="16838"/>
          <w:pgMar w:top="1440" w:right="1800" w:bottom="1440" w:left="1800" w:header="851" w:footer="992" w:gutter="0"/>
          <w:pgNumType w:fmt="decimal" w:start="21"/>
          <w:cols w:space="708"/>
          <w:titlePg w:val="0"/>
          <w:docGrid w:type="lines" w:linePitch="312"/>
        </w:sectPr>
      </w:pPr>
      <w:bookmarkEnd w:id="0"/>
      <w:r>
        <w:rPr>
          <w:rFonts w:ascii="仿宋" w:eastAsia="仿宋" w:hAnsi="仿宋" w:cs="仿宋" w:hint="eastAsia"/>
          <w:sz w:val="24"/>
        </w:rPr>
        <w:t xml:space="preserve">    6、招</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标文件的修改，在投标截止时间三天前，无论出于何种原因，招标管理办公室可主动地或在解答投标人提出的疑问时对招标文件进行修改。修改后的内容是招标文件的组成部分，将以书面形式通知所有已登记报名投标的潜在投标人，并对潜在投标人具有约束力。潜在投标人在收到上述通知后，应立即以书面形式向我院招标管理办公室确认。</w:t>
      </w:r>
      <w:r>
        <w:rPr>
          <w:rFonts w:ascii="仿宋" w:eastAsia="仿宋" w:hAnsi="仿宋" w:cs="仿宋" w:hint="eastAsia"/>
          <w:sz w:val="24"/>
        </w:rPr>
        <w:t>为使投标人准备投标时有充足时间对招标文件的修改部分进行研究，可适当推迟投标截止</w:t>
      </w:r>
      <w:r>
        <w:rPr>
          <w:rFonts w:ascii="仿宋" w:eastAsia="仿宋" w:hAnsi="仿宋" w:cs="仿宋" w:hint="eastAsia"/>
          <w:sz w:val="24"/>
          <w:lang w:eastAsia="zh-CN"/>
        </w:rPr>
        <w:t>日</w:t>
      </w:r>
      <w:r>
        <w:rPr>
          <w:rFonts w:ascii="仿宋" w:eastAsia="仿宋" w:hAnsi="仿宋" w:cs="仿宋" w:hint="eastAsia"/>
          <w:sz w:val="24"/>
        </w:rPr>
        <w:t>期，但应发布公告并书面通知所有已</w:t>
      </w:r>
      <w:r>
        <w:rPr>
          <w:rFonts w:ascii="仿宋" w:eastAsia="仿宋" w:hAnsi="仿宋" w:cs="仿宋" w:hint="eastAsia"/>
          <w:sz w:val="24"/>
          <w:szCs w:val="24"/>
        </w:rPr>
        <w:t>登记报名的潜在投标人。</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w:t>
      </w:r>
      <w:r>
        <w:rPr>
          <w:rFonts w:ascii="仿宋" w:eastAsia="仿宋" w:hAnsi="仿宋" w:cs="仿宋" w:hint="eastAsia"/>
          <w:b/>
          <w:bCs/>
          <w:sz w:val="24"/>
          <w:szCs w:val="24"/>
        </w:rPr>
        <w:t xml:space="preserve"> 三、投标文件的编制和数量</w:t>
      </w:r>
      <w:r>
        <w:rPr>
          <w:rFonts w:ascii="仿宋" w:eastAsia="仿宋" w:hAnsi="仿宋" w:cs="仿宋" w:hint="eastAsia"/>
          <w:b/>
          <w:bCs/>
          <w:sz w:val="24"/>
          <w:highlight w:val="yellow"/>
        </w:rPr>
        <w:t>（</w:t>
      </w:r>
      <w:r>
        <w:rPr>
          <w:rFonts w:ascii="仿宋" w:eastAsia="仿宋" w:hAnsi="仿宋" w:cs="仿宋" w:hint="eastAsia"/>
          <w:b/>
          <w:bCs/>
          <w:sz w:val="24"/>
          <w:szCs w:val="24"/>
          <w:highlight w:val="yellow"/>
        </w:rPr>
        <w:t>投标文件</w:t>
      </w:r>
      <w:r>
        <w:rPr>
          <w:rFonts w:ascii="仿宋" w:eastAsia="仿宋" w:hAnsi="仿宋" w:cs="仿宋" w:hint="eastAsia"/>
          <w:b/>
          <w:bCs/>
          <w:sz w:val="24"/>
          <w:highlight w:val="yellow"/>
        </w:rPr>
        <w:t>由投标文件上册（资格性文件）+投标文件下册两部分组成），</w:t>
      </w:r>
      <w:r>
        <w:rPr>
          <w:rFonts w:ascii="仿宋" w:eastAsia="仿宋" w:hAnsi="仿宋" w:cs="仿宋" w:hint="eastAsia"/>
          <w:b/>
          <w:sz w:val="24"/>
          <w:highlight w:val="yellow"/>
        </w:rPr>
        <w:t>上册与</w:t>
      </w:r>
      <w:r>
        <w:rPr>
          <w:rFonts w:ascii="仿宋" w:eastAsia="仿宋" w:hAnsi="仿宋" w:cs="仿宋" w:hint="eastAsia"/>
          <w:b/>
          <w:kern w:val="0"/>
          <w:sz w:val="24"/>
          <w:szCs w:val="24"/>
          <w:highlight w:val="yellow"/>
        </w:rPr>
        <w:t>下册不得一起混装，否则将导致投标无效。</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1、投标人提交的投标文件（含资格性文件）以及投标人与我院招标管理办公室就有关投标的所有来往函电均应使用中文。投标人提交的支持文件或印刷的资料可以用另一种语言，但相应内容应附有中文翻译本，在解释投标文件的修改内容时以中文翻译本为准。对中文翻译有异议的，以权威机构的译本为准。</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2、投标文件的构成应符合法律法规及招标文件的要求。</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3、投标人对招标文件中多个包（组）进行投标的，其投标文件的编制应按每个包（组）的要求进行页码编制并分别装订和封装。投标人应当对投标文件进行装订，对未经装订的投标文件可能发生的文件散落或缺损，由此产生的后果由投标人承担。</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4、投标人应完整、真实、准确的填写招标文件中规定的所有内容。</w:t>
      </w:r>
    </w:p>
    <w:p>
      <w:pPr>
        <w:pStyle w:val="PlainText"/>
        <w:adjustRightInd w:val="0"/>
        <w:snapToGrid w:val="0"/>
        <w:spacing w:line="360" w:lineRule="auto"/>
        <w:ind w:firstLine="480"/>
        <w:rPr>
          <w:rFonts w:ascii="仿宋" w:eastAsia="仿宋" w:hAnsi="仿宋" w:cs="仿宋" w:hint="eastAsia"/>
          <w:sz w:val="24"/>
          <w:szCs w:val="24"/>
        </w:rPr>
      </w:pPr>
      <w:r>
        <w:rPr>
          <w:rFonts w:ascii="仿宋" w:eastAsia="仿宋" w:hAnsi="仿宋" w:cs="仿宋" w:hint="eastAsia"/>
          <w:sz w:val="24"/>
          <w:szCs w:val="24"/>
        </w:rPr>
        <w:t>5、投标人必须对投标文件所提供的全部资料的真实性承担法律责任，并无条件接受我院招标管理办公室和监督管理小组等对其中任何资料进行核实的要求。</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6、如果因为投标人投标文件填报的内容不详，或没有提供招标文件中所要求的全部资料及数据，由此造成的后果，其责任由投标人承担。</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7、投标人所提供的货物和服务均应以人民币报价，若同时以人民币及外币报价的，以人民币报价为准。</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8、投标总价中不得缺漏招标文件所要求的内容，否则，其投标将可能被视为无效投标。</w:t>
      </w:r>
    </w:p>
    <w:p>
      <w:pPr>
        <w:tabs>
          <w:tab w:val="left" w:pos="2880"/>
        </w:tabs>
        <w:spacing w:line="360" w:lineRule="auto"/>
        <w:ind w:left="40" w:firstLine="480" w:leftChars="19"/>
        <w:jc w:val="left"/>
        <w:rPr>
          <w:rFonts w:ascii="仿宋" w:eastAsia="仿宋" w:hAnsi="仿宋" w:cs="仿宋" w:hint="eastAsia"/>
          <w:b/>
          <w:sz w:val="24"/>
          <w:highlight w:val="yellow"/>
        </w:rPr>
        <w:sectPr>
          <w:headerReference w:type="default" r:id="rId46"/>
          <w:footerReference w:type="default" r:id="rId47"/>
          <w:type w:val="nextPage"/>
          <w:pgSz w:w="11906" w:h="16838"/>
          <w:pgMar w:top="1440" w:right="1800" w:bottom="1440" w:left="1800" w:header="851" w:footer="992" w:gutter="0"/>
          <w:pgNumType w:fmt="decimal" w:start="22"/>
          <w:cols w:space="708"/>
          <w:titlePg w:val="0"/>
          <w:docGrid w:type="lines" w:linePitch="312"/>
        </w:sectPr>
      </w:pPr>
      <w:r>
        <w:rPr>
          <w:rFonts w:ascii="仿宋" w:eastAsia="仿宋" w:hAnsi="仿宋" w:cs="仿宋" w:hint="eastAsia"/>
          <w:sz w:val="24"/>
          <w:highlight w:val="yellow"/>
        </w:rPr>
        <w:t>9、</w:t>
      </w:r>
      <w:r>
        <w:rPr>
          <w:rFonts w:ascii="仿宋" w:eastAsia="仿宋" w:hAnsi="仿宋" w:cs="仿宋" w:hint="eastAsia"/>
          <w:b/>
          <w:sz w:val="24"/>
          <w:highlight w:val="yellow"/>
        </w:rPr>
        <w:t>投标文件中的</w:t>
      </w:r>
      <w:r>
        <w:rPr>
          <w:rFonts w:ascii="仿宋" w:eastAsia="仿宋" w:hAnsi="仿宋" w:cs="仿宋" w:hint="eastAsia"/>
          <w:b/>
          <w:bCs/>
          <w:sz w:val="24"/>
          <w:highlight w:val="yellow"/>
        </w:rPr>
        <w:t>投标文件上册（资格性文件）、投标文件下册两部分</w:t>
      </w:r>
      <w:r>
        <w:rPr>
          <w:rFonts w:ascii="仿宋" w:eastAsia="仿宋" w:hAnsi="仿宋" w:cs="仿宋" w:hint="eastAsia"/>
          <w:b/>
          <w:sz w:val="24"/>
          <w:highlight w:val="yellow"/>
        </w:rPr>
        <w:t>应分别编制一式二份、一式四份，其中至少一份为原件正本，原则上要求标记正副本，如有疑问或正副本内容不一致的，一切以正本内容为准！如未标记正副本的，以盖红章投标文件为准！</w:t>
      </w:r>
    </w:p>
    <w:p>
      <w:pPr>
        <w:tabs>
          <w:tab w:val="left" w:pos="2880"/>
        </w:tabs>
        <w:spacing w:line="360" w:lineRule="auto"/>
        <w:ind w:left="40" w:firstLine="480" w:leftChars="19"/>
        <w:jc w:val="left"/>
        <w:rPr>
          <w:rFonts w:ascii="仿宋" w:eastAsia="仿宋" w:hAnsi="仿宋" w:cs="仿宋" w:hint="eastAsia"/>
          <w:b/>
          <w:sz w:val="24"/>
        </w:rPr>
      </w:pPr>
      <w:r>
        <w:rPr>
          <w:rFonts w:ascii="仿宋" w:eastAsia="仿宋" w:hAnsi="仿宋" w:cs="仿宋" w:hint="eastAsia"/>
          <w:b/>
          <w:sz w:val="24"/>
          <w:highlight w:val="yellow"/>
        </w:rPr>
        <w:t>投标文件上册（资格性文件）一式二份，投标文件下册一式四份，分别密封在同一个文件袋内，报价单一份另外单独封装。</w:t>
      </w:r>
    </w:p>
    <w:p>
      <w:pPr>
        <w:pStyle w:val="PlainText"/>
        <w:adjustRightInd w:val="0"/>
        <w:snapToGrid w:val="0"/>
        <w:spacing w:line="360" w:lineRule="auto"/>
        <w:ind w:left="420" w:hanging="420"/>
        <w:rPr>
          <w:rFonts w:ascii="仿宋" w:eastAsia="仿宋" w:hAnsi="仿宋" w:cs="仿宋" w:hint="eastAsia"/>
          <w:b/>
          <w:sz w:val="24"/>
          <w:szCs w:val="24"/>
        </w:rPr>
      </w:pPr>
      <w:r>
        <w:rPr>
          <w:rFonts w:ascii="仿宋" w:eastAsia="仿宋" w:hAnsi="仿宋" w:cs="仿宋" w:hint="eastAsia"/>
          <w:b/>
          <w:sz w:val="24"/>
          <w:szCs w:val="24"/>
        </w:rPr>
        <w:t xml:space="preserve">    四、投标文件的递交</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1、投标的信封袋或者文件袋应注明采购项目名称、采购项目编号、包号及投标文件上、下册和</w:t>
      </w:r>
      <w:r>
        <w:rPr>
          <w:rFonts w:ascii="仿宋" w:eastAsia="仿宋" w:hAnsi="仿宋" w:cs="仿宋" w:hint="eastAsia"/>
          <w:sz w:val="24"/>
          <w:szCs w:val="24"/>
        </w:rPr>
        <w:t>“</w:t>
      </w:r>
      <w:r>
        <w:rPr>
          <w:rFonts w:ascii="仿宋" w:eastAsia="仿宋" w:hAnsi="仿宋" w:cs="仿宋" w:hint="eastAsia"/>
          <w:sz w:val="24"/>
          <w:szCs w:val="24"/>
        </w:rPr>
        <w:t>在（招标文件中规定的开标日期和时点）前不得拆封</w:t>
      </w:r>
      <w:r>
        <w:rPr>
          <w:rFonts w:ascii="仿宋" w:eastAsia="仿宋" w:hAnsi="仿宋" w:cs="仿宋" w:hint="eastAsia"/>
          <w:sz w:val="24"/>
          <w:szCs w:val="24"/>
        </w:rPr>
        <w:t>”</w:t>
      </w:r>
      <w:r>
        <w:rPr>
          <w:rFonts w:ascii="仿宋" w:eastAsia="仿宋" w:hAnsi="仿宋" w:cs="仿宋" w:hint="eastAsia"/>
          <w:sz w:val="24"/>
          <w:szCs w:val="24"/>
        </w:rPr>
        <w:t>字样封口，加盖公章。未按要求密封和标记的，我院对误投或提前启封概不负责。</w:t>
      </w:r>
    </w:p>
    <w:p>
      <w:pPr>
        <w:tabs>
          <w:tab w:val="left" w:pos="2880"/>
        </w:tabs>
        <w:spacing w:line="360" w:lineRule="auto"/>
        <w:ind w:left="40" w:firstLine="480" w:leftChars="19"/>
        <w:jc w:val="left"/>
        <w:rPr>
          <w:rFonts w:ascii="仿宋" w:eastAsia="仿宋" w:hAnsi="仿宋" w:cs="仿宋" w:hint="eastAsia"/>
          <w:sz w:val="24"/>
        </w:rPr>
      </w:pPr>
      <w:r>
        <w:rPr>
          <w:rFonts w:ascii="仿宋" w:eastAsia="仿宋" w:hAnsi="仿宋" w:cs="仿宋" w:hint="eastAsia"/>
          <w:sz w:val="24"/>
        </w:rPr>
        <w:t>2、投标人在投标截止时间前，可以对所提交的投标文件进行补充、修改或撤回，但必须书面告知；在投标截止时间后，投标人不得对其投标文件做任何修改和补充，也不得撤回。</w:t>
      </w:r>
      <w:r>
        <w:rPr>
          <w:rFonts w:ascii="仿宋" w:eastAsia="仿宋" w:hAnsi="仿宋" w:cs="仿宋" w:hint="eastAsia"/>
          <w:b/>
          <w:bCs/>
          <w:sz w:val="24"/>
        </w:rPr>
        <w:t>超过截止时点后的投标视为无效投标，不予接收。</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3、投标人所提交的投标文件及附属非原件资料在评标结束后，无论中标与否都不予退还。</w:t>
      </w:r>
    </w:p>
    <w:p>
      <w:pPr>
        <w:pStyle w:val="PlainText"/>
        <w:adjustRightInd w:val="0"/>
        <w:snapToGrid w:val="0"/>
        <w:spacing w:line="360" w:lineRule="auto"/>
        <w:rPr>
          <w:rFonts w:ascii="仿宋" w:eastAsia="仿宋" w:hAnsi="仿宋" w:cs="仿宋" w:hint="eastAsia"/>
          <w:b/>
          <w:sz w:val="24"/>
          <w:szCs w:val="24"/>
        </w:rPr>
      </w:pPr>
      <w:r>
        <w:rPr>
          <w:rFonts w:ascii="仿宋" w:eastAsia="仿宋" w:hAnsi="仿宋" w:cs="仿宋" w:hint="eastAsia"/>
          <w:b/>
          <w:sz w:val="24"/>
          <w:szCs w:val="24"/>
        </w:rPr>
        <w:t xml:space="preserve">    五、开标、评标和定标</w:t>
      </w:r>
    </w:p>
    <w:p>
      <w:pPr>
        <w:pStyle w:val="PlainText"/>
        <w:adjustRightInd w:val="0"/>
        <w:snapToGrid w:val="0"/>
        <w:spacing w:line="360" w:lineRule="auto"/>
        <w:rPr>
          <w:rFonts w:ascii="仿宋" w:eastAsia="仿宋" w:hAnsi="仿宋" w:cs="仿宋" w:hint="eastAsia"/>
          <w:b/>
          <w:sz w:val="24"/>
          <w:szCs w:val="24"/>
          <w:highlight w:val="yellow"/>
        </w:rPr>
      </w:pPr>
      <w:r>
        <w:rPr>
          <w:rFonts w:ascii="仿宋" w:eastAsia="仿宋" w:hAnsi="仿宋" w:cs="仿宋" w:hint="eastAsia"/>
          <w:b/>
          <w:sz w:val="24"/>
          <w:szCs w:val="24"/>
        </w:rPr>
        <w:t xml:space="preserve">   （一）开标</w:t>
      </w:r>
    </w:p>
    <w:p>
      <w:pPr>
        <w:pStyle w:val="PlainText"/>
        <w:adjustRightInd w:val="0"/>
        <w:snapToGrid w:val="0"/>
        <w:spacing w:line="360" w:lineRule="auto"/>
        <w:rPr>
          <w:rFonts w:ascii="仿宋" w:eastAsia="仿宋" w:hAnsi="仿宋" w:cs="仿宋" w:hint="eastAsia"/>
          <w:b/>
          <w:sz w:val="24"/>
          <w:szCs w:val="24"/>
        </w:rPr>
      </w:pPr>
      <w:r>
        <w:rPr>
          <w:rFonts w:ascii="仿宋" w:eastAsia="仿宋" w:hAnsi="仿宋" w:cs="仿宋" w:hint="eastAsia"/>
          <w:b/>
          <w:sz w:val="24"/>
          <w:szCs w:val="24"/>
          <w:highlight w:val="yellow"/>
        </w:rPr>
        <w:t xml:space="preserve">    1、招标管理办公室在本招标书规定的日期、时间和地点组织开标。参加开标的代表应签到以证明其出席,并出示有效身份证件以供查验，原则上要求法人或被授权人亲自前来投标。确因不可抗拒之原因，委托他人前来投标的，应出具授权委托书（必须双方手写签名，未手写无效）、被授权人身份证复印件及近3个月社保证明资料并加盖公章，如缺少上述资料，按投标无效处理。</w:t>
      </w:r>
    </w:p>
    <w:p>
      <w:pPr>
        <w:pStyle w:val="PlainText"/>
        <w:adjustRightInd w:val="0"/>
        <w:snapToGrid w:val="0"/>
        <w:spacing w:line="360" w:lineRule="auto"/>
        <w:rPr>
          <w:rFonts w:ascii="仿宋" w:eastAsia="仿宋" w:hAnsi="仿宋" w:cs="仿宋" w:hint="eastAsia"/>
          <w:b/>
          <w:sz w:val="24"/>
          <w:szCs w:val="24"/>
        </w:rPr>
      </w:pPr>
      <w:r>
        <w:rPr>
          <w:rFonts w:ascii="仿宋" w:eastAsia="仿宋" w:hAnsi="仿宋" w:cs="仿宋" w:hint="eastAsia"/>
          <w:b/>
          <w:sz w:val="24"/>
          <w:szCs w:val="24"/>
        </w:rPr>
        <w:t xml:space="preserve">    </w:t>
      </w:r>
      <w:r>
        <w:rPr>
          <w:rFonts w:ascii="仿宋" w:eastAsia="仿宋" w:hAnsi="仿宋" w:cs="仿宋" w:hint="eastAsia"/>
          <w:b/>
          <w:sz w:val="24"/>
          <w:szCs w:val="24"/>
          <w:highlight w:val="yellow"/>
        </w:rPr>
        <w:t>投标人不参加现场开标的，视为无条件认同开标现场结果。</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2、各投标人验视文件的密封性完好无异议后，由招标管理办公室工作人员在监督人员的监督下于现场宣读各投标人货物名称、投标价格等实质内容，各投标人签名确认，一旦签名确认各投标人不得再对开标现场提出异议，否则按恶意竞争及恶意诋毁论处，将被取消资格。</w:t>
      </w:r>
    </w:p>
    <w:p>
      <w:pPr>
        <w:pStyle w:val="PlainText"/>
        <w:adjustRightInd w:val="0"/>
        <w:snapToGrid w:val="0"/>
        <w:spacing w:line="360" w:lineRule="auto"/>
        <w:ind w:right="32"/>
        <w:rPr>
          <w:rFonts w:ascii="仿宋" w:eastAsia="仿宋" w:hAnsi="仿宋" w:cs="仿宋" w:hint="eastAsia"/>
          <w:b/>
          <w:sz w:val="24"/>
          <w:szCs w:val="24"/>
        </w:rPr>
      </w:pPr>
      <w:r>
        <w:rPr>
          <w:rFonts w:ascii="仿宋" w:eastAsia="仿宋" w:hAnsi="仿宋" w:cs="仿宋" w:hint="eastAsia"/>
          <w:b/>
          <w:sz w:val="24"/>
          <w:szCs w:val="24"/>
        </w:rPr>
        <w:t xml:space="preserve">    （二）评审小组的组成</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1、评审小组按医院的规定从医院组建的</w:t>
      </w:r>
      <w:r>
        <w:rPr>
          <w:rFonts w:ascii="仿宋" w:eastAsia="仿宋" w:hAnsi="仿宋" w:cs="仿宋" w:hint="eastAsia"/>
          <w:sz w:val="24"/>
          <w:szCs w:val="24"/>
        </w:rPr>
        <w:t>“</w:t>
      </w:r>
      <w:r>
        <w:rPr>
          <w:rFonts w:ascii="仿宋" w:eastAsia="仿宋" w:hAnsi="仿宋" w:cs="仿宋" w:hint="eastAsia"/>
          <w:sz w:val="24"/>
          <w:szCs w:val="24"/>
        </w:rPr>
        <w:t>院内招标评审专家库</w:t>
      </w:r>
      <w:r>
        <w:rPr>
          <w:rFonts w:ascii="仿宋" w:eastAsia="仿宋" w:hAnsi="仿宋" w:cs="仿宋" w:hint="eastAsia"/>
          <w:sz w:val="24"/>
          <w:szCs w:val="24"/>
        </w:rPr>
        <w:t>”</w:t>
      </w:r>
      <w:r>
        <w:rPr>
          <w:rFonts w:ascii="仿宋" w:eastAsia="仿宋" w:hAnsi="仿宋" w:cs="仿宋" w:hint="eastAsia"/>
          <w:sz w:val="24"/>
          <w:szCs w:val="24"/>
        </w:rPr>
        <w:t>随机抽取不少于两名专家</w:t>
      </w:r>
      <w:r>
        <w:rPr>
          <w:rFonts w:ascii="仿宋" w:eastAsia="仿宋" w:hAnsi="仿宋" w:cs="仿宋" w:hint="eastAsia"/>
          <w:sz w:val="24"/>
          <w:szCs w:val="24"/>
          <w:lang w:eastAsia="zh-CN"/>
        </w:rPr>
        <w:t>与</w:t>
      </w:r>
      <w:r>
        <w:rPr>
          <w:rFonts w:ascii="仿宋" w:eastAsia="仿宋" w:hAnsi="仿宋" w:cs="仿宋" w:hint="eastAsia"/>
          <w:sz w:val="24"/>
          <w:szCs w:val="24"/>
        </w:rPr>
        <w:t>一名项目承办部门代表组成评审小组。评审小组在医院招标</w:t>
      </w:r>
      <w:r>
        <w:rPr>
          <w:rFonts w:ascii="仿宋" w:eastAsia="仿宋" w:hAnsi="仿宋" w:cs="仿宋" w:hint="eastAsia"/>
          <w:sz w:val="24"/>
          <w:szCs w:val="24"/>
          <w:lang w:eastAsia="zh-CN"/>
        </w:rPr>
        <w:t>投标</w:t>
      </w:r>
      <w:r>
        <w:rPr>
          <w:rFonts w:ascii="仿宋" w:eastAsia="仿宋" w:hAnsi="仿宋" w:cs="仿宋" w:hint="eastAsia"/>
          <w:sz w:val="24"/>
          <w:szCs w:val="24"/>
        </w:rPr>
        <w:t>监督小组代表的监督下本着公平、公正、科学、择优的原则，严格按照医院的院内招投标实施细则和招标文件的要求进行评审及推荐中标人。</w:t>
      </w:r>
    </w:p>
    <w:p>
      <w:pPr>
        <w:pStyle w:val="PlainText"/>
        <w:adjustRightInd w:val="0"/>
        <w:snapToGrid w:val="0"/>
        <w:spacing w:line="360" w:lineRule="auto"/>
        <w:rPr>
          <w:rFonts w:ascii="仿宋" w:eastAsia="仿宋" w:hAnsi="仿宋" w:cs="仿宋" w:hint="eastAsia"/>
          <w:sz w:val="24"/>
          <w:szCs w:val="24"/>
        </w:rPr>
        <w:sectPr>
          <w:headerReference w:type="default" r:id="rId48"/>
          <w:footerReference w:type="default" r:id="rId49"/>
          <w:type w:val="nextPage"/>
          <w:pgSz w:w="11906" w:h="16838"/>
          <w:pgMar w:top="1440" w:right="1800" w:bottom="1440" w:left="1800" w:header="851" w:footer="992" w:gutter="0"/>
          <w:pgNumType w:fmt="decimal" w:start="23"/>
          <w:cols w:space="708"/>
          <w:titlePg w:val="0"/>
          <w:docGrid w:type="lines" w:linePitch="312"/>
        </w:sectPr>
      </w:pPr>
      <w:r>
        <w:rPr>
          <w:rFonts w:ascii="仿宋" w:eastAsia="仿宋" w:hAnsi="仿宋" w:cs="仿宋" w:hint="eastAsia"/>
          <w:sz w:val="24"/>
          <w:szCs w:val="24"/>
        </w:rPr>
        <w:t xml:space="preserve">  </w:t>
      </w:r>
      <w:r>
        <w:rPr>
          <w:rFonts w:ascii="仿宋" w:eastAsia="仿宋" w:hAnsi="仿宋" w:cs="仿宋" w:hint="eastAsia"/>
          <w:sz w:val="24"/>
          <w:szCs w:val="24"/>
        </w:rPr>
        <w:t xml:space="preserve"> </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2、评审小组成员对需要共同认定的事项存在争议的，评审小组组长应当组织评审成员讨论，按照少数服从多数的原则做出结论。持不同意见的评审小组成员应当在评审报告上签署不同意见并说明理由，否则视为同意。</w:t>
      </w:r>
    </w:p>
    <w:p>
      <w:pPr>
        <w:pStyle w:val="PlainText"/>
        <w:adjustRightInd w:val="0"/>
        <w:snapToGrid w:val="0"/>
        <w:spacing w:line="360" w:lineRule="auto"/>
        <w:rPr>
          <w:rFonts w:ascii="仿宋" w:eastAsia="仿宋" w:hAnsi="仿宋" w:cs="仿宋" w:hint="eastAsia"/>
          <w:b/>
          <w:sz w:val="24"/>
          <w:szCs w:val="24"/>
        </w:rPr>
      </w:pPr>
      <w:r>
        <w:rPr>
          <w:rFonts w:ascii="仿宋" w:eastAsia="仿宋" w:hAnsi="仿宋" w:cs="仿宋" w:hint="eastAsia"/>
          <w:sz w:val="24"/>
          <w:szCs w:val="24"/>
        </w:rPr>
        <w:t xml:space="preserve">   </w:t>
      </w:r>
      <w:r>
        <w:rPr>
          <w:rFonts w:ascii="仿宋" w:eastAsia="仿宋" w:hAnsi="仿宋" w:cs="仿宋" w:hint="eastAsia"/>
          <w:b/>
          <w:sz w:val="24"/>
          <w:szCs w:val="24"/>
        </w:rPr>
        <w:t>（三）定 标</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1、评审小组认为招标文件的内容存在违反国家有关强制性规定的，应当停止评审并向招标办说明情况。</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2、评审小组按照招标文件确定的评标方法、步骤、标准，对投标文件进行评审，提交书面评标报告，按照得分由高到低的优选顺序对投标供应商进行排名。</w:t>
      </w:r>
    </w:p>
    <w:p>
      <w:pPr>
        <w:pStyle w:val="PlainText"/>
        <w:adjustRightInd w:val="0"/>
        <w:snapToGrid w:val="0"/>
        <w:spacing w:line="360" w:lineRule="auto"/>
        <w:ind w:firstLine="480" w:firstLineChars="200"/>
        <w:rPr>
          <w:rFonts w:ascii="仿宋" w:eastAsia="仿宋" w:hAnsi="仿宋" w:cs="仿宋" w:hint="eastAsia"/>
          <w:sz w:val="24"/>
          <w:szCs w:val="24"/>
        </w:rPr>
      </w:pPr>
      <w:r>
        <w:rPr>
          <w:rFonts w:ascii="仿宋" w:eastAsia="仿宋" w:hAnsi="仿宋" w:cs="仿宋" w:hint="eastAsia"/>
          <w:sz w:val="24"/>
          <w:szCs w:val="24"/>
        </w:rPr>
        <w:t>3、评审小组按照评审标准在评标报告中确定排名第一的投标人为中标供应商，并在评标报告上签字，对自己的评审意见承担法律责任。</w:t>
      </w:r>
    </w:p>
    <w:p>
      <w:pPr>
        <w:pStyle w:val="PlainText"/>
        <w:adjustRightInd w:val="0"/>
        <w:snapToGrid w:val="0"/>
        <w:spacing w:line="360" w:lineRule="auto"/>
        <w:ind w:firstLine="480" w:firstLineChars="200"/>
        <w:rPr>
          <w:rFonts w:ascii="仿宋" w:eastAsia="仿宋" w:hAnsi="仿宋" w:cs="仿宋" w:hint="eastAsia"/>
          <w:sz w:val="24"/>
          <w:szCs w:val="24"/>
        </w:rPr>
      </w:pPr>
      <w:r>
        <w:rPr>
          <w:rFonts w:ascii="仿宋" w:eastAsia="仿宋" w:hAnsi="仿宋" w:cs="仿宋" w:hint="eastAsia"/>
          <w:sz w:val="24"/>
          <w:szCs w:val="24"/>
        </w:rPr>
        <w:t>如出现得分一致的多名第一候选中标人时，由评审小组依据各投标人的投标报价，由低到高的顺序优选中标人。</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4、中标供应商确定、公示无异议后，我院招标管理办公室发出中标通知书。中标供应商无正当理由不履行采购合同或放弃中标的，我院可以确定排名第二的投标人为中标供应商或者重新招标。中标供应商无故放弃中标的，应当依法承担法律责任。</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5、凡发现中标供应商有下列行为之一的，将移交监管部门依法处理。</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w:t>
      </w:r>
      <w:r>
        <w:rPr>
          <w:rFonts w:ascii="仿宋" w:eastAsia="仿宋" w:hAnsi="仿宋" w:cs="仿宋" w:hint="eastAsia"/>
          <w:sz w:val="24"/>
          <w:szCs w:val="24"/>
          <w:highlight w:val="yellow"/>
        </w:rPr>
        <w:t xml:space="preserve"> （1）提供虚假材料谋取中标；</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（2）采取不正当手段诋毁、排挤其他供应商；</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（3）与采购人、其他供应商或者招标工作人员恶意串通；</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（4）向采购人、招标工作人员行贿或者提供其他不正当利益；</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（5）拒绝有关部门监督检查或者提供虚假情况；</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（6）向评审小组成员行贿或者提供其他不正当利益；</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（7）中标或者成交后无正当理由拒不与采购人签订采购合同；</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（8）未按照采购文件确定的事项签订采购合同；</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（9）将采购合同转包；</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（10）提供假冒伪劣产品；</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（11）擅自变更、中止或者终止采购合同；</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（12）有法律、法规规定的其他损害采购人利益和社会公共利益情形的。</w:t>
      </w:r>
    </w:p>
    <w:p>
      <w:pPr>
        <w:pStyle w:val="PlainText"/>
        <w:adjustRightInd w:val="0"/>
        <w:snapToGrid w:val="0"/>
        <w:spacing w:line="360" w:lineRule="auto"/>
        <w:rPr>
          <w:rFonts w:ascii="仿宋" w:eastAsia="仿宋" w:hAnsi="仿宋" w:cs="仿宋" w:hint="eastAsia"/>
          <w:b/>
          <w:kern w:val="0"/>
          <w:sz w:val="24"/>
          <w:szCs w:val="24"/>
        </w:rPr>
      </w:pPr>
      <w:r>
        <w:rPr>
          <w:rFonts w:ascii="仿宋" w:eastAsia="仿宋" w:hAnsi="仿宋" w:cs="仿宋" w:hint="eastAsia"/>
          <w:b/>
          <w:kern w:val="0"/>
          <w:sz w:val="24"/>
          <w:szCs w:val="24"/>
        </w:rPr>
        <w:t xml:space="preserve">    六、</w:t>
      </w:r>
      <w:r>
        <w:rPr>
          <w:rFonts w:ascii="仿宋" w:eastAsia="仿宋" w:hAnsi="仿宋" w:cs="仿宋" w:hint="eastAsia"/>
          <w:b/>
          <w:sz w:val="24"/>
          <w:szCs w:val="24"/>
        </w:rPr>
        <w:t>评标方法、步骤及标准</w:t>
      </w:r>
    </w:p>
    <w:p>
      <w:pPr>
        <w:pStyle w:val="PlainText"/>
        <w:adjustRightInd w:val="0"/>
        <w:snapToGrid w:val="0"/>
        <w:spacing w:line="360" w:lineRule="auto"/>
        <w:ind w:firstLine="540"/>
        <w:rPr>
          <w:rFonts w:ascii="仿宋" w:eastAsia="仿宋" w:hAnsi="仿宋" w:cs="仿宋" w:hint="eastAsia"/>
          <w:kern w:val="0"/>
          <w:sz w:val="24"/>
          <w:szCs w:val="24"/>
        </w:rPr>
      </w:pPr>
      <w:r>
        <w:rPr>
          <w:rFonts w:ascii="仿宋" w:eastAsia="仿宋" w:hAnsi="仿宋" w:cs="仿宋" w:hint="eastAsia"/>
          <w:kern w:val="0"/>
          <w:sz w:val="24"/>
          <w:szCs w:val="24"/>
        </w:rPr>
        <w:t>根据招标投标相关法规确定以下评标方法、步骤及标准：</w:t>
      </w:r>
    </w:p>
    <w:p>
      <w:pPr>
        <w:pStyle w:val="PlainText"/>
        <w:adjustRightInd w:val="0"/>
        <w:snapToGrid w:val="0"/>
        <w:spacing w:line="360" w:lineRule="auto"/>
        <w:rPr>
          <w:rFonts w:ascii="仿宋" w:eastAsia="仿宋" w:hAnsi="仿宋" w:cs="仿宋" w:hint="eastAsia"/>
          <w:b/>
          <w:sz w:val="24"/>
          <w:szCs w:val="24"/>
        </w:rPr>
        <w:sectPr>
          <w:headerReference w:type="default" r:id="rId50"/>
          <w:footerReference w:type="default" r:id="rId51"/>
          <w:type w:val="nextPage"/>
          <w:pgSz w:w="11906" w:h="16838"/>
          <w:pgMar w:top="1440" w:right="1800" w:bottom="1440" w:left="1800" w:header="851" w:footer="992" w:gutter="0"/>
          <w:pgNumType w:fmt="decimal" w:start="24"/>
          <w:cols w:space="708"/>
          <w:titlePg w:val="0"/>
          <w:docGrid w:type="lines" w:linePitch="312"/>
        </w:sectPr>
      </w:pPr>
      <w:r>
        <w:rPr>
          <w:rFonts w:ascii="仿宋" w:eastAsia="仿宋" w:hAnsi="仿宋" w:cs="仿宋" w:hint="eastAsia"/>
          <w:b/>
          <w:sz w:val="24"/>
          <w:szCs w:val="24"/>
        </w:rPr>
        <w:t xml:space="preserve">  </w:t>
      </w:r>
      <w:r>
        <w:rPr>
          <w:rFonts w:ascii="仿宋" w:eastAsia="仿宋" w:hAnsi="仿宋" w:cs="仿宋" w:hint="eastAsia"/>
          <w:b/>
          <w:color w:val="0000FF"/>
          <w:sz w:val="24"/>
          <w:szCs w:val="24"/>
        </w:rPr>
        <w:t xml:space="preserve"> </w:t>
      </w:r>
      <w:r>
        <w:rPr>
          <w:rFonts w:ascii="仿宋" w:eastAsia="仿宋" w:hAnsi="仿宋" w:cs="仿宋" w:hint="eastAsia"/>
          <w:b/>
          <w:sz w:val="24"/>
          <w:szCs w:val="24"/>
        </w:rPr>
        <w:t xml:space="preserve"> （一）评标方法</w:t>
      </w:r>
    </w:p>
    <w:p>
      <w:pPr>
        <w:pStyle w:val="PlainText"/>
        <w:adjustRightInd w:val="0"/>
        <w:snapToGrid w:val="0"/>
        <w:spacing w:line="360" w:lineRule="auto"/>
        <w:rPr>
          <w:rFonts w:ascii="仿宋" w:eastAsia="仿宋" w:hAnsi="仿宋" w:cs="仿宋" w:hint="eastAsia"/>
          <w:sz w:val="24"/>
          <w:szCs w:val="24"/>
        </w:rPr>
      </w:pPr>
      <w:r>
        <w:rPr>
          <w:rFonts w:ascii="仿宋" w:eastAsia="仿宋" w:hAnsi="仿宋" w:cs="仿宋" w:hint="eastAsia"/>
          <w:sz w:val="24"/>
          <w:szCs w:val="24"/>
        </w:rPr>
        <w:t xml:space="preserve">    </w:t>
      </w:r>
      <w:r>
        <w:rPr>
          <w:rFonts w:ascii="仿宋" w:eastAsia="仿宋" w:hAnsi="仿宋" w:cs="仿宋" w:hint="eastAsia"/>
          <w:sz w:val="24"/>
          <w:szCs w:val="24"/>
          <w:highlight w:val="yellow"/>
        </w:rPr>
        <w:t>本次评标采用</w:t>
      </w:r>
      <w:r>
        <w:rPr>
          <w:rFonts w:ascii="仿宋" w:eastAsia="仿宋" w:hAnsi="仿宋" w:cs="仿宋" w:hint="eastAsia"/>
          <w:b/>
          <w:bCs/>
          <w:sz w:val="24"/>
          <w:szCs w:val="24"/>
          <w:highlight w:val="yellow"/>
        </w:rPr>
        <w:t>综合评分法</w:t>
      </w:r>
      <w:r>
        <w:rPr>
          <w:rFonts w:ascii="仿宋" w:eastAsia="仿宋" w:hAnsi="仿宋" w:cs="仿宋" w:hint="eastAsia"/>
          <w:sz w:val="24"/>
          <w:szCs w:val="24"/>
          <w:highlight w:val="yellow"/>
        </w:rPr>
        <w:t>。</w:t>
      </w:r>
      <w:r>
        <w:rPr>
          <w:rFonts w:ascii="仿宋" w:eastAsia="仿宋" w:hAnsi="仿宋" w:cs="仿宋" w:hint="eastAsia"/>
          <w:sz w:val="24"/>
          <w:szCs w:val="24"/>
        </w:rPr>
        <w:t>评审小组依据投标证明文件从商务评议、技术评议、价格评议和服务评议等方面按公正、科学、客观、平等竞争的要求进行综合评审,按评审综合得分由高到低确定中标供应商。</w:t>
      </w:r>
    </w:p>
    <w:p>
      <w:pPr>
        <w:pStyle w:val="PlainText"/>
        <w:adjustRightInd w:val="0"/>
        <w:snapToGrid w:val="0"/>
        <w:spacing w:line="360" w:lineRule="auto"/>
        <w:ind w:firstLine="480"/>
        <w:rPr>
          <w:rFonts w:ascii="仿宋" w:eastAsia="仿宋" w:hAnsi="仿宋" w:cs="仿宋" w:hint="eastAsia"/>
          <w:b/>
          <w:sz w:val="24"/>
          <w:szCs w:val="24"/>
        </w:rPr>
      </w:pPr>
      <w:r>
        <w:rPr>
          <w:rFonts w:ascii="仿宋" w:eastAsia="仿宋" w:hAnsi="仿宋" w:cs="仿宋" w:hint="eastAsia"/>
          <w:b/>
          <w:sz w:val="24"/>
          <w:szCs w:val="24"/>
        </w:rPr>
        <w:t>(二)评标步骤</w:t>
      </w:r>
    </w:p>
    <w:p>
      <w:pPr>
        <w:pStyle w:val="PlainText"/>
        <w:adjustRightInd w:val="0"/>
        <w:snapToGrid w:val="0"/>
        <w:spacing w:line="360" w:lineRule="auto"/>
        <w:ind w:firstLine="480"/>
        <w:rPr>
          <w:rFonts w:ascii="仿宋" w:eastAsia="仿宋" w:hAnsi="仿宋" w:cs="仿宋" w:hint="eastAsia"/>
          <w:b/>
          <w:sz w:val="24"/>
          <w:szCs w:val="24"/>
        </w:rPr>
      </w:pPr>
      <w:r>
        <w:rPr>
          <w:rFonts w:ascii="仿宋" w:eastAsia="仿宋" w:hAnsi="仿宋" w:cs="仿宋" w:hint="eastAsia"/>
          <w:b/>
          <w:sz w:val="24"/>
          <w:szCs w:val="24"/>
        </w:rPr>
        <w:t>1、资格性审查</w:t>
      </w:r>
    </w:p>
    <w:p>
      <w:pPr>
        <w:pStyle w:val="PlainText"/>
        <w:adjustRightInd w:val="0"/>
        <w:snapToGrid w:val="0"/>
        <w:spacing w:line="360" w:lineRule="auto"/>
        <w:ind w:right="32" w:firstLine="458" w:firstLineChars="191"/>
        <w:rPr>
          <w:rFonts w:ascii="仿宋" w:eastAsia="仿宋" w:hAnsi="仿宋" w:cs="仿宋" w:hint="eastAsia"/>
          <w:bCs/>
          <w:sz w:val="24"/>
          <w:szCs w:val="24"/>
        </w:rPr>
      </w:pPr>
      <w:r>
        <w:rPr>
          <w:rFonts w:ascii="仿宋" w:eastAsia="仿宋" w:hAnsi="仿宋" w:cs="仿宋" w:hint="eastAsia"/>
          <w:bCs/>
          <w:sz w:val="24"/>
          <w:szCs w:val="24"/>
          <w:highlight w:val="yellow"/>
        </w:rPr>
        <w:t>资格性审查（即投标文件上册）采用资格前审的方式，由招标管理办公室工作人员在价格开标后进行；只有资格性审查通过的投标人才能交由评审小组进行符合性审查。</w:t>
      </w:r>
    </w:p>
    <w:p>
      <w:pPr>
        <w:pStyle w:val="PlainText"/>
        <w:adjustRightInd w:val="0"/>
        <w:snapToGrid w:val="0"/>
        <w:spacing w:line="360" w:lineRule="auto"/>
        <w:ind w:right="32" w:firstLine="458" w:firstLineChars="191"/>
        <w:rPr>
          <w:rFonts w:ascii="仿宋" w:eastAsia="仿宋" w:hAnsi="仿宋" w:cs="仿宋" w:hint="eastAsia"/>
          <w:bCs/>
          <w:sz w:val="24"/>
          <w:szCs w:val="24"/>
        </w:rPr>
      </w:pPr>
      <w:r>
        <w:rPr>
          <w:rFonts w:ascii="仿宋" w:eastAsia="仿宋" w:hAnsi="仿宋" w:cs="仿宋" w:hint="eastAsia"/>
          <w:bCs/>
          <w:sz w:val="24"/>
          <w:szCs w:val="24"/>
        </w:rPr>
        <w:t>资格性审查内容主要为对投标文件的投标/响应函、法定代表人/负责人资格证明书及授权委托书、准入条件和投标人的合格性（质量合格、来源合法合规、途径清晰等）等，详见招标文件第二部分第一点供应商资格。</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2"/>
        <w:gridCol w:w="1606"/>
        <w:gridCol w:w="6138"/>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2848" w:type="dxa"/>
            <w:gridSpan w:val="2"/>
          </w:tcPr>
          <w:p>
            <w:pPr>
              <w:spacing w:line="380" w:lineRule="exact"/>
              <w:jc w:val="center"/>
              <w:rPr>
                <w:rFonts w:hint="eastAsia"/>
              </w:rPr>
            </w:pPr>
            <w:r>
              <w:rPr>
                <w:rFonts w:ascii="仿宋" w:eastAsia="仿宋" w:hAnsi="仿宋" w:cs="仿宋" w:hint="eastAsia"/>
                <w:b/>
                <w:bCs/>
                <w:szCs w:val="21"/>
              </w:rPr>
              <w:t>评审内容</w:t>
            </w:r>
          </w:p>
        </w:tc>
        <w:tc>
          <w:tcPr>
            <w:tcW w:w="6138" w:type="dxa"/>
            <w:vAlign w:val="center"/>
          </w:tcPr>
          <w:p>
            <w:pPr>
              <w:spacing w:line="380" w:lineRule="exact"/>
              <w:ind w:left="-171"/>
              <w:jc w:val="center"/>
              <w:rPr>
                <w:rFonts w:hint="eastAsia"/>
              </w:rPr>
            </w:pPr>
            <w:r>
              <w:rPr>
                <w:rFonts w:ascii="仿宋" w:eastAsia="仿宋" w:hAnsi="仿宋" w:cs="仿宋" w:hint="eastAsia"/>
                <w:b/>
                <w:bCs/>
                <w:szCs w:val="21"/>
              </w:rPr>
              <w:t>招标/采购文件要求</w:t>
            </w:r>
          </w:p>
        </w:tc>
      </w:tr>
      <w:tr>
        <w:tblPrEx>
          <w:tblLayout w:type="fixed"/>
          <w:tblCellMar>
            <w:top w:w="0" w:type="dxa"/>
            <w:left w:w="108" w:type="dxa"/>
            <w:bottom w:w="0" w:type="dxa"/>
            <w:right w:w="108" w:type="dxa"/>
          </w:tblCellMar>
          <w:tblLook w:val="0000"/>
        </w:tblPrEx>
        <w:tc>
          <w:tcPr>
            <w:tcW w:w="1242" w:type="dxa"/>
            <w:vMerge w:val="restart"/>
            <w:vAlign w:val="center"/>
          </w:tcPr>
          <w:p>
            <w:pPr>
              <w:spacing w:line="380" w:lineRule="exact"/>
              <w:ind w:left="40" w:leftChars="19"/>
              <w:jc w:val="center"/>
              <w:rPr>
                <w:rFonts w:ascii="仿宋" w:eastAsia="仿宋" w:hAnsi="仿宋" w:cs="仿宋" w:hint="eastAsia"/>
                <w:szCs w:val="21"/>
              </w:rPr>
            </w:pPr>
            <w:r>
              <w:rPr>
                <w:rFonts w:ascii="仿宋" w:eastAsia="仿宋" w:hAnsi="仿宋" w:cs="仿宋" w:hint="eastAsia"/>
                <w:szCs w:val="21"/>
              </w:rPr>
              <w:t>资格性审查（投标文件上册）</w:t>
            </w:r>
          </w:p>
        </w:tc>
        <w:tc>
          <w:tcPr>
            <w:tcW w:w="1606" w:type="dxa"/>
            <w:vAlign w:val="center"/>
          </w:tcPr>
          <w:p>
            <w:pPr>
              <w:spacing w:line="380" w:lineRule="exact"/>
              <w:ind w:left="40" w:leftChars="19"/>
              <w:jc w:val="center"/>
              <w:rPr>
                <w:rFonts w:hint="eastAsia"/>
              </w:rPr>
            </w:pPr>
            <w:r>
              <w:rPr>
                <w:rFonts w:ascii="仿宋" w:eastAsia="仿宋" w:hAnsi="仿宋" w:cs="仿宋" w:hint="eastAsia"/>
                <w:szCs w:val="21"/>
              </w:rPr>
              <w:t>投标/响应函</w:t>
            </w:r>
          </w:p>
        </w:tc>
        <w:tc>
          <w:tcPr>
            <w:tcW w:w="6138" w:type="dxa"/>
            <w:vAlign w:val="center"/>
          </w:tcPr>
          <w:p>
            <w:pPr>
              <w:spacing w:line="380" w:lineRule="exact"/>
              <w:ind w:left="40" w:leftChars="19"/>
              <w:jc w:val="left"/>
              <w:rPr>
                <w:rFonts w:hint="eastAsia"/>
              </w:rPr>
            </w:pPr>
            <w:r>
              <w:rPr>
                <w:rFonts w:ascii="仿宋" w:eastAsia="仿宋" w:hAnsi="仿宋" w:cs="仿宋" w:hint="eastAsia"/>
                <w:szCs w:val="21"/>
              </w:rPr>
              <w:t>按对应格式文件填写、签署、盖章(原件)</w:t>
            </w:r>
          </w:p>
        </w:tc>
      </w:tr>
      <w:tr>
        <w:tblPrEx>
          <w:tblLayout w:type="fixed"/>
          <w:tblCellMar>
            <w:top w:w="0" w:type="dxa"/>
            <w:left w:w="108" w:type="dxa"/>
            <w:bottom w:w="0" w:type="dxa"/>
            <w:right w:w="108" w:type="dxa"/>
          </w:tblCellMar>
          <w:tblLook w:val="0000"/>
        </w:tblPrEx>
        <w:tc>
          <w:tcPr>
            <w:tcW w:w="1242" w:type="dxa"/>
            <w:vMerge/>
            <w:vAlign w:val="center"/>
          </w:tcPr>
          <w:p>
            <w:pPr>
              <w:spacing w:line="380" w:lineRule="exact"/>
              <w:ind w:left="40" w:leftChars="19"/>
              <w:jc w:val="center"/>
              <w:rPr>
                <w:rFonts w:ascii="仿宋" w:eastAsia="仿宋" w:hAnsi="仿宋" w:cs="仿宋" w:hint="eastAsia"/>
                <w:szCs w:val="21"/>
              </w:rPr>
            </w:pPr>
          </w:p>
        </w:tc>
        <w:tc>
          <w:tcPr>
            <w:tcW w:w="1606" w:type="dxa"/>
            <w:vAlign w:val="center"/>
          </w:tcPr>
          <w:p>
            <w:pPr>
              <w:ind w:left="40" w:leftChars="19"/>
              <w:jc w:val="center"/>
              <w:rPr>
                <w:rFonts w:hint="eastAsia"/>
              </w:rPr>
            </w:pPr>
            <w:r>
              <w:rPr>
                <w:rFonts w:ascii="仿宋" w:eastAsia="仿宋" w:hAnsi="仿宋" w:cs="仿宋" w:hint="eastAsia"/>
                <w:szCs w:val="21"/>
              </w:rPr>
              <w:t>法定代表人/负责人资格证明书及授权委托书</w:t>
            </w:r>
          </w:p>
        </w:tc>
        <w:tc>
          <w:tcPr>
            <w:tcW w:w="6138" w:type="dxa"/>
            <w:vAlign w:val="center"/>
          </w:tcPr>
          <w:p>
            <w:pPr>
              <w:ind w:left="40" w:leftChars="19"/>
              <w:jc w:val="left"/>
              <w:rPr>
                <w:rFonts w:hint="eastAsia"/>
              </w:rPr>
            </w:pPr>
            <w:r>
              <w:rPr>
                <w:rFonts w:ascii="仿宋" w:eastAsia="仿宋" w:hAnsi="仿宋" w:cs="仿宋" w:hint="eastAsia"/>
                <w:szCs w:val="21"/>
              </w:rPr>
              <w:t>按对应格式文件签署、盖章(原件)</w:t>
            </w:r>
          </w:p>
        </w:tc>
      </w:tr>
      <w:tr>
        <w:tblPrEx>
          <w:tblLayout w:type="fixed"/>
          <w:tblCellMar>
            <w:top w:w="0" w:type="dxa"/>
            <w:left w:w="108" w:type="dxa"/>
            <w:bottom w:w="0" w:type="dxa"/>
            <w:right w:w="108" w:type="dxa"/>
          </w:tblCellMar>
          <w:tblLook w:val="0000"/>
        </w:tblPrEx>
        <w:tc>
          <w:tcPr>
            <w:tcW w:w="1242" w:type="dxa"/>
            <w:vMerge/>
            <w:vAlign w:val="center"/>
          </w:tcPr>
          <w:p>
            <w:pPr>
              <w:spacing w:line="380" w:lineRule="exact"/>
              <w:ind w:left="40" w:leftChars="19"/>
              <w:jc w:val="center"/>
              <w:rPr>
                <w:rFonts w:ascii="仿宋" w:eastAsia="仿宋" w:hAnsi="仿宋" w:cs="仿宋" w:hint="eastAsia"/>
                <w:szCs w:val="21"/>
              </w:rPr>
            </w:pPr>
          </w:p>
        </w:tc>
        <w:tc>
          <w:tcPr>
            <w:tcW w:w="1606" w:type="dxa"/>
            <w:vAlign w:val="center"/>
          </w:tcPr>
          <w:p>
            <w:pPr>
              <w:ind w:left="40" w:leftChars="19"/>
              <w:jc w:val="center"/>
              <w:rPr>
                <w:rFonts w:ascii="仿宋" w:eastAsia="仿宋" w:hAnsi="仿宋" w:cs="仿宋" w:hint="eastAsia"/>
                <w:szCs w:val="21"/>
              </w:rPr>
            </w:pPr>
            <w:r>
              <w:rPr>
                <w:rFonts w:ascii="仿宋" w:eastAsia="仿宋" w:hAnsi="仿宋" w:cs="仿宋" w:hint="eastAsia"/>
                <w:szCs w:val="21"/>
              </w:rPr>
              <w:t xml:space="preserve">准入条件         </w:t>
            </w:r>
          </w:p>
          <w:p>
            <w:pPr>
              <w:ind w:left="40" w:leftChars="19"/>
              <w:jc w:val="center"/>
              <w:rPr>
                <w:rFonts w:hint="eastAsia"/>
              </w:rPr>
            </w:pPr>
            <w:r>
              <w:rPr>
                <w:rFonts w:ascii="仿宋" w:eastAsia="仿宋" w:hAnsi="仿宋" w:cs="仿宋" w:hint="eastAsia"/>
                <w:szCs w:val="21"/>
              </w:rPr>
              <w:t>(关于资格的声明函)</w:t>
            </w:r>
          </w:p>
        </w:tc>
        <w:tc>
          <w:tcPr>
            <w:tcW w:w="6138" w:type="dxa"/>
          </w:tcPr>
          <w:p>
            <w:pPr>
              <w:autoSpaceDE w:val="0"/>
              <w:autoSpaceDN w:val="0"/>
              <w:jc w:val="left"/>
              <w:rPr>
                <w:rFonts w:hint="eastAsia"/>
              </w:rPr>
            </w:pPr>
            <w:r>
              <w:rPr>
                <w:rFonts w:ascii="仿宋" w:eastAsia="仿宋" w:hAnsi="仿宋" w:cs="仿宋" w:hint="eastAsia"/>
                <w:szCs w:val="21"/>
              </w:rPr>
              <w:t>投标人必须是在招标办登记报名投标，并满足供应商资格条件（公司、厂家证照、产品相关注册证/备案证/免注册的法规条文等，详见招标文件第二部分第一点供应商资格）。</w:t>
            </w:r>
          </w:p>
        </w:tc>
      </w:tr>
      <w:tr>
        <w:tblPrEx>
          <w:tblLayout w:type="fixed"/>
          <w:tblCellMar>
            <w:top w:w="0" w:type="dxa"/>
            <w:left w:w="108" w:type="dxa"/>
            <w:bottom w:w="0" w:type="dxa"/>
            <w:right w:w="108" w:type="dxa"/>
          </w:tblCellMar>
          <w:tblLook w:val="0000"/>
        </w:tblPrEx>
        <w:trPr>
          <w:trHeight w:val="90"/>
        </w:trPr>
        <w:tc>
          <w:tcPr>
            <w:tcW w:w="1242" w:type="dxa"/>
            <w:vMerge/>
            <w:vAlign w:val="center"/>
          </w:tcPr>
          <w:p>
            <w:pPr>
              <w:spacing w:line="380" w:lineRule="exact"/>
              <w:ind w:left="40" w:leftChars="19"/>
              <w:jc w:val="center"/>
              <w:rPr>
                <w:rFonts w:ascii="仿宋" w:eastAsia="仿宋" w:hAnsi="仿宋" w:cs="仿宋" w:hint="eastAsia"/>
                <w:szCs w:val="21"/>
              </w:rPr>
            </w:pPr>
          </w:p>
        </w:tc>
        <w:tc>
          <w:tcPr>
            <w:tcW w:w="1606" w:type="dxa"/>
            <w:vAlign w:val="center"/>
          </w:tcPr>
          <w:p>
            <w:pPr>
              <w:spacing w:line="380" w:lineRule="exact"/>
              <w:ind w:left="-171"/>
              <w:jc w:val="center"/>
              <w:rPr>
                <w:rFonts w:hint="eastAsia"/>
              </w:rPr>
            </w:pPr>
            <w:r>
              <w:rPr>
                <w:rFonts w:ascii="仿宋" w:eastAsia="仿宋" w:hAnsi="仿宋" w:cs="仿宋" w:hint="eastAsia"/>
                <w:szCs w:val="21"/>
              </w:rPr>
              <w:t>其他要求</w:t>
            </w:r>
          </w:p>
        </w:tc>
        <w:tc>
          <w:tcPr>
            <w:tcW w:w="6138" w:type="dxa"/>
          </w:tcPr>
          <w:p>
            <w:pPr>
              <w:spacing w:line="380" w:lineRule="exact"/>
              <w:ind w:left="40" w:leftChars="19"/>
              <w:jc w:val="left"/>
              <w:rPr>
                <w:rFonts w:hint="eastAsia"/>
              </w:rPr>
            </w:pPr>
            <w:r>
              <w:rPr>
                <w:rFonts w:ascii="仿宋" w:eastAsia="仿宋" w:hAnsi="仿宋" w:cs="仿宋" w:hint="eastAsia"/>
                <w:szCs w:val="21"/>
              </w:rPr>
              <w:t>按投标/响应资料清单中规定提供</w:t>
            </w:r>
            <w:r>
              <w:rPr>
                <w:rFonts w:ascii="仿宋" w:eastAsia="仿宋" w:hAnsi="仿宋" w:cs="仿宋" w:hint="eastAsia"/>
                <w:szCs w:val="21"/>
              </w:rPr>
              <w:t>“</w:t>
            </w:r>
            <w:r>
              <w:rPr>
                <w:rFonts w:ascii="仿宋" w:eastAsia="仿宋" w:hAnsi="仿宋" w:cs="仿宋" w:hint="eastAsia"/>
                <w:szCs w:val="21"/>
              </w:rPr>
              <w:t>必须提交</w:t>
            </w:r>
            <w:r>
              <w:rPr>
                <w:rFonts w:ascii="仿宋" w:eastAsia="仿宋" w:hAnsi="仿宋" w:cs="仿宋" w:hint="eastAsia"/>
                <w:szCs w:val="21"/>
              </w:rPr>
              <w:t>”</w:t>
            </w:r>
            <w:r>
              <w:rPr>
                <w:rFonts w:ascii="仿宋" w:eastAsia="仿宋" w:hAnsi="仿宋" w:cs="仿宋" w:hint="eastAsia"/>
                <w:szCs w:val="21"/>
              </w:rPr>
              <w:t>的文件资料（近三年无违法违纪声明函）。</w:t>
            </w:r>
          </w:p>
        </w:tc>
      </w:tr>
    </w:tbl>
    <w:p>
      <w:pPr>
        <w:pStyle w:val="PlainText"/>
        <w:adjustRightInd w:val="0"/>
        <w:snapToGrid w:val="0"/>
        <w:spacing w:line="360" w:lineRule="auto"/>
        <w:ind w:right="32" w:firstLine="458" w:firstLineChars="191"/>
        <w:rPr>
          <w:rFonts w:ascii="仿宋" w:eastAsia="仿宋" w:hAnsi="仿宋" w:cs="仿宋" w:hint="eastAsia"/>
          <w:bCs/>
          <w:sz w:val="24"/>
          <w:szCs w:val="24"/>
        </w:rPr>
      </w:pPr>
    </w:p>
    <w:p>
      <w:pPr>
        <w:pStyle w:val="PlainText"/>
        <w:adjustRightInd w:val="0"/>
        <w:snapToGrid w:val="0"/>
        <w:spacing w:line="360" w:lineRule="auto"/>
        <w:ind w:right="32" w:firstLine="461" w:firstLineChars="192"/>
        <w:rPr>
          <w:rFonts w:ascii="仿宋" w:eastAsia="仿宋" w:hAnsi="仿宋" w:cs="仿宋" w:hint="eastAsia"/>
          <w:b/>
          <w:sz w:val="24"/>
          <w:szCs w:val="24"/>
        </w:rPr>
      </w:pPr>
      <w:r>
        <w:rPr>
          <w:rFonts w:ascii="仿宋" w:eastAsia="仿宋" w:hAnsi="仿宋" w:cs="仿宋" w:hint="eastAsia"/>
          <w:b/>
          <w:sz w:val="24"/>
          <w:szCs w:val="24"/>
        </w:rPr>
        <w:t>2、宣读评审纪律。</w:t>
      </w:r>
    </w:p>
    <w:p>
      <w:pPr>
        <w:pStyle w:val="PlainText"/>
        <w:adjustRightInd w:val="0"/>
        <w:snapToGrid w:val="0"/>
        <w:spacing w:line="360" w:lineRule="auto"/>
        <w:ind w:firstLine="461" w:firstLineChars="192"/>
        <w:rPr>
          <w:rFonts w:ascii="仿宋" w:eastAsia="仿宋" w:hAnsi="仿宋" w:cs="仿宋" w:hint="eastAsia"/>
          <w:sz w:val="24"/>
          <w:szCs w:val="24"/>
        </w:rPr>
      </w:pPr>
      <w:r>
        <w:rPr>
          <w:rFonts w:ascii="仿宋" w:eastAsia="仿宋" w:hAnsi="仿宋" w:cs="仿宋" w:hint="eastAsia"/>
          <w:sz w:val="24"/>
          <w:szCs w:val="24"/>
        </w:rPr>
        <w:t>评审专家签到，监督代表核对评审专家与随机抽取的专家名单，监督代表核对无误后，招标办工作人员在评审开始前宣读评标纪律及招标文件说明。</w:t>
      </w:r>
    </w:p>
    <w:p>
      <w:pPr>
        <w:autoSpaceDE w:val="0"/>
        <w:autoSpaceDN w:val="0"/>
        <w:adjustRightInd w:val="0"/>
        <w:snapToGrid w:val="0"/>
        <w:spacing w:line="360" w:lineRule="auto"/>
        <w:ind w:right="32" w:firstLine="461" w:firstLineChars="192"/>
        <w:rPr>
          <w:rFonts w:ascii="仿宋" w:eastAsia="仿宋" w:hAnsi="仿宋" w:cs="仿宋" w:hint="eastAsia"/>
          <w:kern w:val="0"/>
          <w:sz w:val="24"/>
        </w:rPr>
      </w:pPr>
      <w:r>
        <w:rPr>
          <w:rFonts w:ascii="仿宋" w:eastAsia="仿宋" w:hAnsi="仿宋" w:cs="仿宋" w:hint="eastAsia"/>
          <w:b/>
          <w:kern w:val="0"/>
          <w:sz w:val="24"/>
        </w:rPr>
        <w:t>3、</w:t>
      </w:r>
      <w:r>
        <w:rPr>
          <w:rFonts w:ascii="仿宋" w:eastAsia="仿宋" w:hAnsi="仿宋" w:cs="仿宋" w:hint="eastAsia"/>
          <w:kern w:val="0"/>
          <w:sz w:val="24"/>
        </w:rPr>
        <w:t>评审专家有下列情形之一的，受到邀请应主动提出回避，采购当事人也可以要求该评审专家回避：</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59"/>
        <w:gridCol w:w="7825"/>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859" w:type="dxa"/>
          </w:tcPr>
          <w:p>
            <w:pPr>
              <w:autoSpaceDE w:val="0"/>
              <w:autoSpaceDN w:val="0"/>
              <w:adjustRightInd w:val="0"/>
              <w:snapToGrid w:val="0"/>
              <w:ind w:right="32"/>
              <w:jc w:val="center"/>
              <w:rPr>
                <w:rFonts w:ascii="仿宋" w:eastAsia="仿宋" w:hAnsi="仿宋" w:cs="仿宋" w:hint="eastAsia"/>
                <w:kern w:val="0"/>
                <w:sz w:val="24"/>
              </w:rPr>
            </w:pPr>
            <w:r>
              <w:rPr>
                <w:rFonts w:ascii="仿宋" w:eastAsia="仿宋" w:hAnsi="仿宋" w:cs="仿宋" w:hint="eastAsia"/>
                <w:kern w:val="0"/>
                <w:sz w:val="24"/>
              </w:rPr>
              <w:t>序号</w:t>
            </w:r>
          </w:p>
        </w:tc>
        <w:tc>
          <w:tcPr>
            <w:tcW w:w="7825" w:type="dxa"/>
          </w:tcPr>
          <w:p>
            <w:pPr>
              <w:autoSpaceDE w:val="0"/>
              <w:autoSpaceDN w:val="0"/>
              <w:adjustRightInd w:val="0"/>
              <w:snapToGrid w:val="0"/>
              <w:ind w:right="32"/>
              <w:jc w:val="center"/>
              <w:rPr>
                <w:rFonts w:ascii="仿宋" w:eastAsia="仿宋" w:hAnsi="仿宋" w:cs="仿宋" w:hint="eastAsia"/>
                <w:kern w:val="0"/>
                <w:sz w:val="24"/>
              </w:rPr>
            </w:pPr>
            <w:r>
              <w:rPr>
                <w:rFonts w:ascii="仿宋" w:eastAsia="仿宋" w:hAnsi="仿宋" w:cs="仿宋" w:hint="eastAsia"/>
                <w:kern w:val="0"/>
                <w:sz w:val="24"/>
              </w:rPr>
              <w:t>评审专家回避情形</w:t>
            </w:r>
          </w:p>
        </w:tc>
      </w:tr>
      <w:tr>
        <w:tblPrEx>
          <w:jc w:val="center"/>
          <w:tblLayout w:type="fixed"/>
          <w:tblCellMar>
            <w:top w:w="0" w:type="dxa"/>
            <w:left w:w="108" w:type="dxa"/>
            <w:bottom w:w="0" w:type="dxa"/>
            <w:right w:w="108" w:type="dxa"/>
          </w:tblCellMar>
          <w:tblLook w:val="0000"/>
        </w:tblPrEx>
        <w:trPr>
          <w:jc w:val="center"/>
        </w:trPr>
        <w:tc>
          <w:tcPr>
            <w:tcW w:w="859" w:type="dxa"/>
            <w:vAlign w:val="center"/>
          </w:tcPr>
          <w:p>
            <w:pPr>
              <w:autoSpaceDE w:val="0"/>
              <w:autoSpaceDN w:val="0"/>
              <w:adjustRightInd w:val="0"/>
              <w:snapToGrid w:val="0"/>
              <w:ind w:right="32"/>
              <w:jc w:val="center"/>
              <w:rPr>
                <w:rFonts w:ascii="仿宋" w:eastAsia="仿宋" w:hAnsi="仿宋" w:cs="仿宋" w:hint="eastAsia"/>
                <w:kern w:val="0"/>
                <w:sz w:val="24"/>
              </w:rPr>
            </w:pPr>
            <w:r>
              <w:rPr>
                <w:rFonts w:ascii="仿宋" w:eastAsia="仿宋" w:hAnsi="仿宋" w:cs="仿宋" w:hint="eastAsia"/>
                <w:kern w:val="0"/>
                <w:sz w:val="24"/>
              </w:rPr>
              <w:t>1</w:t>
            </w:r>
          </w:p>
        </w:tc>
        <w:tc>
          <w:tcPr>
            <w:tcW w:w="7825" w:type="dxa"/>
          </w:tcPr>
          <w:p>
            <w:pPr>
              <w:autoSpaceDE w:val="0"/>
              <w:autoSpaceDN w:val="0"/>
              <w:adjustRightInd w:val="0"/>
              <w:snapToGrid w:val="0"/>
              <w:ind w:right="32"/>
              <w:rPr>
                <w:rFonts w:ascii="仿宋" w:eastAsia="仿宋" w:hAnsi="仿宋" w:cs="仿宋" w:hint="eastAsia"/>
                <w:kern w:val="0"/>
                <w:sz w:val="24"/>
              </w:rPr>
            </w:pPr>
            <w:r>
              <w:rPr>
                <w:rFonts w:ascii="仿宋" w:eastAsia="仿宋" w:hAnsi="仿宋" w:cs="仿宋" w:hint="eastAsia"/>
                <w:kern w:val="0"/>
                <w:sz w:val="24"/>
              </w:rPr>
              <w:t>现在或者在采购活动发生前三年内，与供应商存在雇佣关系；</w:t>
            </w:r>
          </w:p>
        </w:tc>
      </w:tr>
      <w:tr>
        <w:tblPrEx>
          <w:jc w:val="center"/>
          <w:tblLayout w:type="fixed"/>
          <w:tblCellMar>
            <w:top w:w="0" w:type="dxa"/>
            <w:left w:w="108" w:type="dxa"/>
            <w:bottom w:w="0" w:type="dxa"/>
            <w:right w:w="108" w:type="dxa"/>
          </w:tblCellMar>
          <w:tblLook w:val="0000"/>
        </w:tblPrEx>
        <w:trPr>
          <w:trHeight w:val="90"/>
          <w:jc w:val="center"/>
        </w:trPr>
        <w:tc>
          <w:tcPr>
            <w:tcW w:w="859" w:type="dxa"/>
            <w:vAlign w:val="center"/>
          </w:tcPr>
          <w:p>
            <w:pPr>
              <w:autoSpaceDE w:val="0"/>
              <w:autoSpaceDN w:val="0"/>
              <w:adjustRightInd w:val="0"/>
              <w:snapToGrid w:val="0"/>
              <w:ind w:right="32"/>
              <w:jc w:val="center"/>
              <w:rPr>
                <w:rFonts w:ascii="仿宋" w:eastAsia="仿宋" w:hAnsi="仿宋" w:cs="仿宋" w:hint="eastAsia"/>
                <w:kern w:val="0"/>
                <w:sz w:val="24"/>
              </w:rPr>
            </w:pPr>
            <w:r>
              <w:rPr>
                <w:rFonts w:ascii="仿宋" w:eastAsia="仿宋" w:hAnsi="仿宋" w:cs="仿宋" w:hint="eastAsia"/>
                <w:kern w:val="0"/>
                <w:sz w:val="24"/>
              </w:rPr>
              <w:t>2</w:t>
            </w:r>
          </w:p>
        </w:tc>
        <w:tc>
          <w:tcPr>
            <w:tcW w:w="7825" w:type="dxa"/>
          </w:tcPr>
          <w:p>
            <w:pPr>
              <w:autoSpaceDE w:val="0"/>
              <w:autoSpaceDN w:val="0"/>
              <w:adjustRightInd w:val="0"/>
              <w:snapToGrid w:val="0"/>
              <w:ind w:right="32"/>
              <w:rPr>
                <w:rFonts w:ascii="仿宋" w:eastAsia="仿宋" w:hAnsi="仿宋" w:cs="仿宋" w:hint="eastAsia"/>
                <w:kern w:val="0"/>
                <w:sz w:val="24"/>
              </w:rPr>
            </w:pPr>
            <w:r>
              <w:rPr>
                <w:rFonts w:ascii="仿宋" w:eastAsia="仿宋" w:hAnsi="仿宋" w:cs="仿宋" w:hint="eastAsia"/>
                <w:kern w:val="0"/>
                <w:sz w:val="24"/>
              </w:rPr>
              <w:t>现在或者在采购活动发生前三年内担任供应商的财务顾问、法律顾问或技术顾问；</w:t>
            </w:r>
          </w:p>
        </w:tc>
      </w:tr>
      <w:tr>
        <w:tblPrEx>
          <w:jc w:val="center"/>
          <w:tblLayout w:type="fixed"/>
          <w:tblCellMar>
            <w:top w:w="0" w:type="dxa"/>
            <w:left w:w="108" w:type="dxa"/>
            <w:bottom w:w="0" w:type="dxa"/>
            <w:right w:w="108" w:type="dxa"/>
          </w:tblCellMar>
          <w:tblLook w:val="0000"/>
        </w:tblPrEx>
        <w:trPr>
          <w:jc w:val="center"/>
        </w:trPr>
        <w:tc>
          <w:tcPr>
            <w:tcW w:w="859" w:type="dxa"/>
            <w:vAlign w:val="center"/>
          </w:tcPr>
          <w:p>
            <w:pPr>
              <w:autoSpaceDE w:val="0"/>
              <w:autoSpaceDN w:val="0"/>
              <w:adjustRightInd w:val="0"/>
              <w:snapToGrid w:val="0"/>
              <w:ind w:right="32"/>
              <w:jc w:val="center"/>
              <w:rPr>
                <w:rFonts w:ascii="仿宋" w:eastAsia="仿宋" w:hAnsi="仿宋" w:cs="仿宋" w:hint="eastAsia"/>
                <w:kern w:val="0"/>
                <w:sz w:val="24"/>
              </w:rPr>
            </w:pPr>
            <w:r>
              <w:rPr>
                <w:rFonts w:ascii="仿宋" w:eastAsia="仿宋" w:hAnsi="仿宋" w:cs="仿宋" w:hint="eastAsia"/>
                <w:kern w:val="0"/>
                <w:sz w:val="24"/>
              </w:rPr>
              <w:t>3</w:t>
            </w:r>
          </w:p>
        </w:tc>
        <w:tc>
          <w:tcPr>
            <w:tcW w:w="7825" w:type="dxa"/>
          </w:tcPr>
          <w:p>
            <w:pPr>
              <w:autoSpaceDE w:val="0"/>
              <w:autoSpaceDN w:val="0"/>
              <w:adjustRightInd w:val="0"/>
              <w:snapToGrid w:val="0"/>
              <w:ind w:right="32"/>
              <w:rPr>
                <w:rFonts w:ascii="仿宋" w:eastAsia="仿宋" w:hAnsi="仿宋" w:cs="仿宋" w:hint="eastAsia"/>
                <w:kern w:val="0"/>
                <w:sz w:val="24"/>
              </w:rPr>
            </w:pPr>
            <w:r>
              <w:rPr>
                <w:rFonts w:ascii="仿宋" w:eastAsia="仿宋" w:hAnsi="仿宋" w:cs="仿宋" w:hint="eastAsia"/>
                <w:kern w:val="0"/>
                <w:sz w:val="24"/>
              </w:rPr>
              <w:t>现在或者在采购活动发生前三年内是供应商的控股股东或者实际控制人；</w:t>
            </w:r>
          </w:p>
        </w:tc>
      </w:tr>
      <w:tr>
        <w:tblPrEx>
          <w:jc w:val="center"/>
          <w:tblLayout w:type="fixed"/>
          <w:tblCellMar>
            <w:top w:w="0" w:type="dxa"/>
            <w:left w:w="108" w:type="dxa"/>
            <w:bottom w:w="0" w:type="dxa"/>
            <w:right w:w="108" w:type="dxa"/>
          </w:tblCellMar>
          <w:tblLook w:val="0000"/>
        </w:tblPrEx>
        <w:trPr>
          <w:jc w:val="center"/>
        </w:trPr>
        <w:tc>
          <w:tcPr>
            <w:tcW w:w="859" w:type="dxa"/>
            <w:vAlign w:val="center"/>
          </w:tcPr>
          <w:p>
            <w:pPr>
              <w:autoSpaceDE w:val="0"/>
              <w:autoSpaceDN w:val="0"/>
              <w:adjustRightInd w:val="0"/>
              <w:snapToGrid w:val="0"/>
              <w:ind w:right="32"/>
              <w:jc w:val="center"/>
              <w:rPr>
                <w:rFonts w:ascii="仿宋" w:eastAsia="仿宋" w:hAnsi="仿宋" w:cs="仿宋" w:hint="eastAsia"/>
                <w:kern w:val="0"/>
                <w:sz w:val="24"/>
              </w:rPr>
            </w:pPr>
            <w:r>
              <w:rPr>
                <w:rFonts w:ascii="仿宋" w:eastAsia="仿宋" w:hAnsi="仿宋" w:cs="仿宋" w:hint="eastAsia"/>
                <w:kern w:val="0"/>
                <w:sz w:val="24"/>
              </w:rPr>
              <w:t>4</w:t>
            </w:r>
          </w:p>
        </w:tc>
        <w:tc>
          <w:tcPr>
            <w:tcW w:w="7825" w:type="dxa"/>
          </w:tcPr>
          <w:p>
            <w:pPr>
              <w:autoSpaceDE w:val="0"/>
              <w:autoSpaceDN w:val="0"/>
              <w:adjustRightInd w:val="0"/>
              <w:snapToGrid w:val="0"/>
              <w:ind w:right="32"/>
              <w:rPr>
                <w:rFonts w:ascii="仿宋" w:eastAsia="仿宋" w:hAnsi="仿宋" w:cs="仿宋" w:hint="eastAsia"/>
                <w:kern w:val="0"/>
                <w:sz w:val="24"/>
              </w:rPr>
            </w:pPr>
            <w:r>
              <w:rPr>
                <w:rFonts w:ascii="仿宋" w:eastAsia="仿宋" w:hAnsi="仿宋" w:cs="仿宋" w:hint="eastAsia"/>
                <w:kern w:val="0"/>
                <w:sz w:val="24"/>
              </w:rPr>
              <w:t>评审专家与参加该采购项目供应商发生过法律纠纷的；</w:t>
            </w:r>
          </w:p>
        </w:tc>
      </w:tr>
      <w:tr>
        <w:tblPrEx>
          <w:jc w:val="center"/>
          <w:tblLayout w:type="fixed"/>
          <w:tblCellMar>
            <w:top w:w="0" w:type="dxa"/>
            <w:left w:w="108" w:type="dxa"/>
            <w:bottom w:w="0" w:type="dxa"/>
            <w:right w:w="108" w:type="dxa"/>
          </w:tblCellMar>
          <w:tblLook w:val="0000"/>
        </w:tblPrEx>
        <w:trPr>
          <w:jc w:val="center"/>
        </w:trPr>
        <w:tc>
          <w:tcPr>
            <w:tcW w:w="859" w:type="dxa"/>
            <w:vAlign w:val="center"/>
          </w:tcPr>
          <w:p>
            <w:pPr>
              <w:autoSpaceDE w:val="0"/>
              <w:autoSpaceDN w:val="0"/>
              <w:adjustRightInd w:val="0"/>
              <w:snapToGrid w:val="0"/>
              <w:ind w:right="32"/>
              <w:jc w:val="center"/>
              <w:rPr>
                <w:rFonts w:ascii="仿宋" w:eastAsia="仿宋" w:hAnsi="仿宋" w:cs="仿宋" w:hint="eastAsia"/>
                <w:kern w:val="0"/>
                <w:sz w:val="24"/>
              </w:rPr>
            </w:pPr>
            <w:r>
              <w:rPr>
                <w:rFonts w:ascii="仿宋" w:eastAsia="仿宋" w:hAnsi="仿宋" w:cs="仿宋" w:hint="eastAsia"/>
                <w:kern w:val="0"/>
                <w:sz w:val="24"/>
              </w:rPr>
              <w:t>5</w:t>
            </w:r>
          </w:p>
        </w:tc>
        <w:tc>
          <w:tcPr>
            <w:tcW w:w="7825" w:type="dxa"/>
          </w:tcPr>
          <w:p>
            <w:pPr>
              <w:autoSpaceDE w:val="0"/>
              <w:autoSpaceDN w:val="0"/>
              <w:adjustRightInd w:val="0"/>
              <w:snapToGrid w:val="0"/>
              <w:spacing w:after="0"/>
              <w:ind w:right="32"/>
              <w:rPr>
                <w:rFonts w:ascii="仿宋" w:eastAsia="仿宋" w:hAnsi="仿宋" w:cs="仿宋" w:hint="eastAsia"/>
                <w:kern w:val="0"/>
                <w:sz w:val="24"/>
              </w:rPr>
            </w:pPr>
          </w:p>
        </w:tc>
      </w:tr>
    </w:tbl>
    <w:p>
      <w:pPr>
        <w:sectPr>
          <w:headerReference w:type="default" r:id="rId52"/>
          <w:footerReference w:type="default" r:id="rId53"/>
          <w:type w:val="nextPage"/>
          <w:pgSz w:w="11906" w:h="16838"/>
          <w:pgMar w:top="1440" w:right="1800" w:bottom="1440" w:left="1800" w:header="851" w:footer="992" w:gutter="0"/>
          <w:pgNumType w:fmt="decimal" w:start="25"/>
          <w:cols w:space="708"/>
          <w:titlePg w:val="0"/>
          <w:docGrid w:type="lines"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59"/>
        <w:gridCol w:w="7825"/>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859" w:type="dxa"/>
            <w:vAlign w:val="center"/>
          </w:tcPr>
          <w:p/>
        </w:tc>
        <w:tc>
          <w:tcPr>
            <w:tcW w:w="7825" w:type="dxa"/>
          </w:tcPr>
          <w:p>
            <w:pPr>
              <w:autoSpaceDE w:val="0"/>
              <w:autoSpaceDN w:val="0"/>
              <w:adjustRightInd w:val="0"/>
              <w:snapToGrid w:val="0"/>
              <w:spacing w:before="0"/>
              <w:ind w:right="32"/>
              <w:rPr>
                <w:rFonts w:ascii="仿宋" w:eastAsia="仿宋" w:hAnsi="仿宋" w:cs="仿宋" w:hint="eastAsia"/>
                <w:kern w:val="0"/>
                <w:sz w:val="24"/>
              </w:rPr>
            </w:pPr>
            <w:r>
              <w:rPr>
                <w:rFonts w:ascii="仿宋" w:eastAsia="仿宋" w:hAnsi="仿宋" w:cs="仿宋" w:hint="eastAsia"/>
                <w:kern w:val="0"/>
                <w:sz w:val="24"/>
              </w:rPr>
              <w:t>与供应商的法定代表人或者负责人有直系血亲、三代以内旁系血亲及姻亲关系；</w:t>
            </w:r>
          </w:p>
        </w:tc>
      </w:tr>
      <w:tr>
        <w:tblPrEx>
          <w:jc w:val="center"/>
          <w:tblLayout w:type="fixed"/>
          <w:tblCellMar>
            <w:top w:w="0" w:type="dxa"/>
            <w:left w:w="108" w:type="dxa"/>
            <w:bottom w:w="0" w:type="dxa"/>
            <w:right w:w="108" w:type="dxa"/>
          </w:tblCellMar>
          <w:tblLook w:val="0000"/>
        </w:tblPrEx>
        <w:trPr>
          <w:jc w:val="center"/>
        </w:trPr>
        <w:tc>
          <w:tcPr>
            <w:tcW w:w="859" w:type="dxa"/>
            <w:vAlign w:val="center"/>
          </w:tcPr>
          <w:p>
            <w:pPr>
              <w:autoSpaceDE w:val="0"/>
              <w:autoSpaceDN w:val="0"/>
              <w:adjustRightInd w:val="0"/>
              <w:snapToGrid w:val="0"/>
              <w:ind w:right="32"/>
              <w:jc w:val="center"/>
              <w:rPr>
                <w:rFonts w:ascii="仿宋" w:eastAsia="仿宋" w:hAnsi="仿宋" w:cs="仿宋" w:hint="eastAsia"/>
                <w:kern w:val="0"/>
                <w:sz w:val="24"/>
              </w:rPr>
            </w:pPr>
            <w:r>
              <w:rPr>
                <w:rFonts w:ascii="仿宋" w:eastAsia="仿宋" w:hAnsi="仿宋" w:cs="仿宋" w:hint="eastAsia"/>
                <w:kern w:val="0"/>
                <w:sz w:val="24"/>
              </w:rPr>
              <w:t>6</w:t>
            </w:r>
          </w:p>
        </w:tc>
        <w:tc>
          <w:tcPr>
            <w:tcW w:w="7825" w:type="dxa"/>
          </w:tcPr>
          <w:p>
            <w:pPr>
              <w:autoSpaceDE w:val="0"/>
              <w:autoSpaceDN w:val="0"/>
              <w:adjustRightInd w:val="0"/>
              <w:snapToGrid w:val="0"/>
              <w:ind w:right="32"/>
              <w:rPr>
                <w:rFonts w:ascii="仿宋" w:eastAsia="仿宋" w:hAnsi="仿宋" w:cs="仿宋" w:hint="eastAsia"/>
                <w:kern w:val="0"/>
                <w:sz w:val="24"/>
              </w:rPr>
            </w:pPr>
            <w:r>
              <w:rPr>
                <w:rFonts w:ascii="仿宋" w:eastAsia="仿宋" w:hAnsi="仿宋" w:cs="仿宋" w:hint="eastAsia"/>
                <w:kern w:val="0"/>
                <w:sz w:val="24"/>
              </w:rPr>
              <w:t>评审小组中，同一任职科室评审专家超过两名的；</w:t>
            </w:r>
          </w:p>
        </w:tc>
      </w:tr>
      <w:tr>
        <w:tblPrEx>
          <w:jc w:val="center"/>
          <w:tblLayout w:type="fixed"/>
          <w:tblCellMar>
            <w:top w:w="0" w:type="dxa"/>
            <w:left w:w="108" w:type="dxa"/>
            <w:bottom w:w="0" w:type="dxa"/>
            <w:right w:w="108" w:type="dxa"/>
          </w:tblCellMar>
          <w:tblLook w:val="0000"/>
        </w:tblPrEx>
        <w:trPr>
          <w:jc w:val="center"/>
        </w:trPr>
        <w:tc>
          <w:tcPr>
            <w:tcW w:w="859" w:type="dxa"/>
            <w:vAlign w:val="center"/>
          </w:tcPr>
          <w:p>
            <w:pPr>
              <w:autoSpaceDE w:val="0"/>
              <w:autoSpaceDN w:val="0"/>
              <w:adjustRightInd w:val="0"/>
              <w:snapToGrid w:val="0"/>
              <w:ind w:right="32"/>
              <w:jc w:val="center"/>
              <w:rPr>
                <w:rFonts w:ascii="仿宋" w:eastAsia="仿宋" w:hAnsi="仿宋" w:cs="仿宋" w:hint="eastAsia"/>
                <w:kern w:val="0"/>
                <w:sz w:val="24"/>
              </w:rPr>
            </w:pPr>
            <w:r>
              <w:rPr>
                <w:rFonts w:ascii="仿宋" w:eastAsia="仿宋" w:hAnsi="仿宋" w:cs="仿宋" w:hint="eastAsia"/>
                <w:kern w:val="0"/>
                <w:sz w:val="24"/>
              </w:rPr>
              <w:t>7</w:t>
            </w:r>
          </w:p>
        </w:tc>
        <w:tc>
          <w:tcPr>
            <w:tcW w:w="7825" w:type="dxa"/>
          </w:tcPr>
          <w:p>
            <w:pPr>
              <w:autoSpaceDE w:val="0"/>
              <w:autoSpaceDN w:val="0"/>
              <w:adjustRightInd w:val="0"/>
              <w:snapToGrid w:val="0"/>
              <w:ind w:right="32"/>
              <w:rPr>
                <w:rFonts w:ascii="仿宋" w:eastAsia="仿宋" w:hAnsi="仿宋" w:cs="仿宋" w:hint="eastAsia"/>
                <w:kern w:val="0"/>
                <w:sz w:val="24"/>
              </w:rPr>
            </w:pPr>
            <w:r>
              <w:rPr>
                <w:rFonts w:ascii="仿宋" w:eastAsia="仿宋" w:hAnsi="仿宋" w:cs="仿宋" w:hint="eastAsia"/>
                <w:kern w:val="0"/>
                <w:sz w:val="24"/>
              </w:rPr>
              <w:t>与供应商之间存在其他影响或可能影响采购活动依法进行的利害关系；</w:t>
            </w:r>
          </w:p>
        </w:tc>
      </w:tr>
      <w:tr>
        <w:tblPrEx>
          <w:jc w:val="center"/>
          <w:tblLayout w:type="fixed"/>
          <w:tblCellMar>
            <w:top w:w="0" w:type="dxa"/>
            <w:left w:w="108" w:type="dxa"/>
            <w:bottom w:w="0" w:type="dxa"/>
            <w:right w:w="108" w:type="dxa"/>
          </w:tblCellMar>
          <w:tblLook w:val="0000"/>
        </w:tblPrEx>
        <w:trPr>
          <w:jc w:val="center"/>
        </w:trPr>
        <w:tc>
          <w:tcPr>
            <w:tcW w:w="859" w:type="dxa"/>
            <w:vAlign w:val="center"/>
          </w:tcPr>
          <w:p>
            <w:pPr>
              <w:autoSpaceDE w:val="0"/>
              <w:autoSpaceDN w:val="0"/>
              <w:adjustRightInd w:val="0"/>
              <w:snapToGrid w:val="0"/>
              <w:ind w:right="32"/>
              <w:jc w:val="center"/>
              <w:rPr>
                <w:rFonts w:ascii="仿宋" w:eastAsia="仿宋" w:hAnsi="仿宋" w:cs="仿宋" w:hint="eastAsia"/>
                <w:kern w:val="0"/>
                <w:sz w:val="24"/>
              </w:rPr>
            </w:pPr>
            <w:r>
              <w:rPr>
                <w:rFonts w:ascii="仿宋" w:eastAsia="仿宋" w:hAnsi="仿宋" w:cs="仿宋" w:hint="eastAsia"/>
                <w:kern w:val="0"/>
                <w:sz w:val="24"/>
              </w:rPr>
              <w:t>8</w:t>
            </w:r>
          </w:p>
        </w:tc>
        <w:tc>
          <w:tcPr>
            <w:tcW w:w="7825" w:type="dxa"/>
          </w:tcPr>
          <w:p>
            <w:pPr>
              <w:autoSpaceDE w:val="0"/>
              <w:autoSpaceDN w:val="0"/>
              <w:adjustRightInd w:val="0"/>
              <w:snapToGrid w:val="0"/>
              <w:ind w:right="32"/>
              <w:rPr>
                <w:rFonts w:ascii="仿宋" w:eastAsia="仿宋" w:hAnsi="仿宋" w:cs="仿宋" w:hint="eastAsia"/>
                <w:kern w:val="0"/>
                <w:sz w:val="24"/>
              </w:rPr>
            </w:pPr>
            <w:r>
              <w:rPr>
                <w:rFonts w:ascii="仿宋" w:eastAsia="仿宋" w:hAnsi="仿宋" w:cs="仿宋" w:hint="eastAsia"/>
                <w:kern w:val="0"/>
                <w:sz w:val="24"/>
              </w:rPr>
              <w:t>法律、法规、规章规定应当回避以及其他可能影响公正评审的。</w:t>
            </w:r>
          </w:p>
        </w:tc>
      </w:tr>
    </w:tbl>
    <w:p>
      <w:pPr>
        <w:pStyle w:val="PlainText"/>
        <w:adjustRightInd w:val="0"/>
        <w:snapToGrid w:val="0"/>
        <w:spacing w:line="360" w:lineRule="auto"/>
        <w:ind w:right="32"/>
        <w:rPr>
          <w:rFonts w:ascii="仿宋" w:eastAsia="仿宋" w:hAnsi="仿宋" w:cs="仿宋" w:hint="eastAsia"/>
          <w:b/>
          <w:sz w:val="24"/>
          <w:szCs w:val="24"/>
        </w:rPr>
      </w:pPr>
      <w:r>
        <w:rPr>
          <w:rFonts w:ascii="仿宋" w:eastAsia="仿宋" w:hAnsi="仿宋" w:cs="仿宋" w:hint="eastAsia"/>
          <w:b/>
          <w:sz w:val="24"/>
          <w:szCs w:val="24"/>
        </w:rPr>
        <w:t xml:space="preserve">   4、推荐评审小组组长</w:t>
      </w:r>
    </w:p>
    <w:p>
      <w:pPr>
        <w:autoSpaceDE w:val="0"/>
        <w:autoSpaceDN w:val="0"/>
        <w:adjustRightInd w:val="0"/>
        <w:snapToGrid w:val="0"/>
        <w:spacing w:line="360" w:lineRule="auto"/>
        <w:ind w:right="32" w:firstLine="458" w:firstLineChars="191"/>
        <w:rPr>
          <w:rFonts w:ascii="仿宋" w:eastAsia="仿宋" w:hAnsi="仿宋" w:cs="仿宋" w:hint="eastAsia"/>
          <w:kern w:val="0"/>
          <w:sz w:val="24"/>
        </w:rPr>
      </w:pPr>
      <w:r>
        <w:rPr>
          <w:rFonts w:ascii="仿宋" w:eastAsia="仿宋" w:hAnsi="仿宋" w:cs="仿宋" w:hint="eastAsia"/>
          <w:kern w:val="0"/>
          <w:sz w:val="24"/>
        </w:rPr>
        <w:t>评标小组按照少数服从多数的原则推荐组长。评</w:t>
      </w:r>
      <w:r>
        <w:rPr>
          <w:rFonts w:ascii="仿宋" w:eastAsia="仿宋" w:hAnsi="仿宋" w:cs="仿宋" w:hint="eastAsia"/>
          <w:sz w:val="24"/>
        </w:rPr>
        <w:t>审</w:t>
      </w:r>
      <w:r>
        <w:rPr>
          <w:rFonts w:ascii="仿宋" w:eastAsia="仿宋" w:hAnsi="仿宋" w:cs="仿宋" w:hint="eastAsia"/>
          <w:kern w:val="0"/>
          <w:sz w:val="24"/>
        </w:rPr>
        <w:t>小组成员在履行独立评审权利义务的同时，不得发表有失公正和不负责任的言论，不得相互串通和压制他人意见，不得将个人倾向性意见诱导、暗示或强加于他人认同。</w:t>
      </w:r>
    </w:p>
    <w:p>
      <w:pPr>
        <w:pStyle w:val="PlainText"/>
        <w:adjustRightInd w:val="0"/>
        <w:snapToGrid w:val="0"/>
        <w:spacing w:line="360" w:lineRule="auto"/>
        <w:ind w:right="32" w:firstLine="458" w:firstLineChars="191"/>
        <w:rPr>
          <w:rFonts w:ascii="仿宋" w:eastAsia="仿宋" w:hAnsi="仿宋" w:cs="仿宋" w:hint="eastAsia"/>
          <w:b/>
          <w:sz w:val="24"/>
          <w:szCs w:val="24"/>
        </w:rPr>
      </w:pPr>
      <w:bookmarkStart w:id="1" w:name="OLE_LINK5"/>
      <w:r>
        <w:rPr>
          <w:rFonts w:ascii="仿宋" w:eastAsia="仿宋" w:hAnsi="仿宋" w:cs="仿宋" w:hint="eastAsia"/>
          <w:b/>
          <w:sz w:val="24"/>
          <w:szCs w:val="24"/>
        </w:rPr>
        <w:t>5、投标文件的符合性审查</w:t>
      </w:r>
    </w:p>
    <w:p>
      <w:pPr>
        <w:pStyle w:val="PlainText"/>
        <w:adjustRightInd w:val="0"/>
        <w:snapToGrid w:val="0"/>
        <w:spacing w:line="360" w:lineRule="auto"/>
        <w:ind w:right="32" w:firstLine="458" w:firstLineChars="191"/>
        <w:rPr>
          <w:rFonts w:ascii="仿宋" w:eastAsia="仿宋" w:hAnsi="仿宋" w:cs="仿宋" w:hint="eastAsia"/>
          <w:b/>
          <w:sz w:val="24"/>
          <w:szCs w:val="24"/>
        </w:rPr>
      </w:pPr>
      <w:r>
        <w:rPr>
          <w:rFonts w:ascii="仿宋" w:eastAsia="仿宋" w:hAnsi="仿宋" w:cs="仿宋" w:hint="eastAsia"/>
          <w:bCs/>
          <w:sz w:val="24"/>
          <w:szCs w:val="24"/>
        </w:rPr>
        <w:t>符合性审查内容主要为对投标文件的要求</w:t>
      </w:r>
      <w:r>
        <w:rPr>
          <w:rFonts w:ascii="仿宋" w:eastAsia="仿宋" w:hAnsi="仿宋" w:cs="仿宋" w:hint="eastAsia"/>
          <w:bCs/>
          <w:sz w:val="24"/>
          <w:szCs w:val="24"/>
          <w:lang w:eastAsia="zh-CN"/>
        </w:rPr>
        <w:t>、</w:t>
      </w:r>
      <w:r>
        <w:rPr>
          <w:rFonts w:ascii="仿宋" w:eastAsia="仿宋" w:hAnsi="仿宋" w:cs="仿宋" w:hint="eastAsia"/>
          <w:bCs/>
          <w:sz w:val="24"/>
          <w:szCs w:val="24"/>
        </w:rPr>
        <w:t>实质性响应的技术/参数要求、商务要求及报价的唯一性等，审查不合格者按投标无效处理。只有符合性全部审查合格才能进入后续评审。</w:t>
      </w:r>
      <w:bookmarkEnd w:id="1"/>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95"/>
        <w:gridCol w:w="2010"/>
        <w:gridCol w:w="5781"/>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3205" w:type="dxa"/>
            <w:gridSpan w:val="2"/>
          </w:tcPr>
          <w:p>
            <w:pPr>
              <w:spacing w:line="380" w:lineRule="exact"/>
              <w:jc w:val="center"/>
              <w:rPr>
                <w:rFonts w:hint="eastAsia"/>
              </w:rPr>
            </w:pPr>
            <w:r>
              <w:rPr>
                <w:rFonts w:ascii="仿宋" w:eastAsia="仿宋" w:hAnsi="仿宋" w:cs="仿宋" w:hint="eastAsia"/>
                <w:b/>
                <w:bCs/>
                <w:szCs w:val="21"/>
              </w:rPr>
              <w:t>评审内容</w:t>
            </w:r>
          </w:p>
        </w:tc>
        <w:tc>
          <w:tcPr>
            <w:tcW w:w="5781" w:type="dxa"/>
            <w:vAlign w:val="center"/>
          </w:tcPr>
          <w:p>
            <w:pPr>
              <w:spacing w:line="380" w:lineRule="exact"/>
              <w:ind w:left="-171"/>
              <w:jc w:val="center"/>
              <w:rPr>
                <w:rFonts w:hint="eastAsia"/>
              </w:rPr>
            </w:pPr>
            <w:r>
              <w:rPr>
                <w:rFonts w:ascii="仿宋" w:eastAsia="仿宋" w:hAnsi="仿宋" w:cs="仿宋" w:hint="eastAsia"/>
                <w:b/>
                <w:bCs/>
                <w:szCs w:val="21"/>
              </w:rPr>
              <w:t>招标/采购文件要求</w:t>
            </w:r>
          </w:p>
        </w:tc>
      </w:tr>
      <w:tr>
        <w:tblPrEx>
          <w:jc w:val="center"/>
          <w:tblLayout w:type="fixed"/>
          <w:tblCellMar>
            <w:top w:w="0" w:type="dxa"/>
            <w:left w:w="108" w:type="dxa"/>
            <w:bottom w:w="0" w:type="dxa"/>
            <w:right w:w="108" w:type="dxa"/>
          </w:tblCellMar>
          <w:tblLook w:val="0000"/>
        </w:tblPrEx>
        <w:trPr>
          <w:trHeight w:val="430"/>
          <w:jc w:val="center"/>
        </w:trPr>
        <w:tc>
          <w:tcPr>
            <w:tcW w:w="1195" w:type="dxa"/>
            <w:vMerge w:val="restart"/>
            <w:vAlign w:val="center"/>
          </w:tcPr>
          <w:p>
            <w:pPr>
              <w:spacing w:line="380" w:lineRule="exact"/>
              <w:ind w:left="40" w:leftChars="19"/>
              <w:jc w:val="center"/>
              <w:rPr>
                <w:rFonts w:ascii="仿宋" w:eastAsia="仿宋" w:hAnsi="仿宋" w:cs="仿宋" w:hint="eastAsia"/>
                <w:szCs w:val="21"/>
                <w:highlight w:val="yellow"/>
              </w:rPr>
            </w:pPr>
            <w:r>
              <w:rPr>
                <w:rFonts w:ascii="仿宋" w:eastAsia="仿宋" w:hAnsi="仿宋" w:cs="仿宋" w:hint="eastAsia"/>
                <w:szCs w:val="21"/>
              </w:rPr>
              <w:t>符合性审查（投标文件下册）</w:t>
            </w:r>
          </w:p>
        </w:tc>
        <w:tc>
          <w:tcPr>
            <w:tcW w:w="2010" w:type="dxa"/>
            <w:vAlign w:val="center"/>
          </w:tcPr>
          <w:p>
            <w:pPr>
              <w:spacing w:line="380" w:lineRule="exact"/>
              <w:ind w:left="40" w:leftChars="19"/>
              <w:jc w:val="center"/>
              <w:rPr>
                <w:rFonts w:eastAsia="仿宋" w:hint="eastAsia"/>
              </w:rPr>
            </w:pPr>
            <w:r>
              <w:rPr>
                <w:rFonts w:ascii="仿宋" w:eastAsia="仿宋" w:hAnsi="仿宋" w:cs="仿宋" w:hint="eastAsia"/>
                <w:szCs w:val="21"/>
              </w:rPr>
              <w:t>投标/响应函</w:t>
            </w:r>
          </w:p>
        </w:tc>
        <w:tc>
          <w:tcPr>
            <w:tcW w:w="5781" w:type="dxa"/>
            <w:vAlign w:val="center"/>
          </w:tcPr>
          <w:p>
            <w:pPr>
              <w:spacing w:line="380" w:lineRule="exact"/>
              <w:ind w:left="40" w:leftChars="19"/>
              <w:jc w:val="left"/>
              <w:rPr>
                <w:rFonts w:hint="eastAsia"/>
              </w:rPr>
            </w:pPr>
            <w:r>
              <w:rPr>
                <w:rFonts w:ascii="仿宋" w:eastAsia="仿宋" w:hAnsi="仿宋" w:cs="仿宋" w:hint="eastAsia"/>
                <w:szCs w:val="21"/>
              </w:rPr>
              <w:t>按对应格式文件填写、签署、盖章(原件)</w:t>
            </w:r>
          </w:p>
        </w:tc>
      </w:tr>
      <w:tr>
        <w:tblPrEx>
          <w:jc w:val="center"/>
          <w:tblLayout w:type="fixed"/>
          <w:tblCellMar>
            <w:top w:w="0" w:type="dxa"/>
            <w:left w:w="108" w:type="dxa"/>
            <w:bottom w:w="0" w:type="dxa"/>
            <w:right w:w="108" w:type="dxa"/>
          </w:tblCellMar>
          <w:tblLook w:val="0000"/>
        </w:tblPrEx>
        <w:trPr>
          <w:trHeight w:val="430"/>
          <w:jc w:val="center"/>
        </w:trPr>
        <w:tc>
          <w:tcPr>
            <w:tcW w:w="1195" w:type="dxa"/>
            <w:vMerge/>
            <w:vAlign w:val="center"/>
          </w:tcPr>
          <w:p>
            <w:pPr>
              <w:spacing w:line="380" w:lineRule="exact"/>
              <w:ind w:left="40" w:leftChars="19"/>
              <w:jc w:val="center"/>
              <w:rPr>
                <w:rFonts w:ascii="仿宋" w:eastAsia="仿宋" w:hAnsi="仿宋" w:cs="仿宋" w:hint="eastAsia"/>
                <w:szCs w:val="21"/>
              </w:rPr>
            </w:pPr>
          </w:p>
        </w:tc>
        <w:tc>
          <w:tcPr>
            <w:tcW w:w="2010" w:type="dxa"/>
            <w:vAlign w:val="center"/>
          </w:tcPr>
          <w:p>
            <w:pPr>
              <w:spacing w:line="380" w:lineRule="exact"/>
              <w:ind w:left="-171" w:leftChars="0"/>
              <w:jc w:val="center"/>
              <w:rPr>
                <w:rFonts w:hint="eastAsia"/>
              </w:rPr>
            </w:pPr>
            <w:r>
              <w:rPr>
                <w:rFonts w:ascii="仿宋" w:eastAsia="仿宋" w:hAnsi="仿宋" w:cs="仿宋" w:hint="eastAsia"/>
                <w:szCs w:val="21"/>
                <w:lang w:eastAsia="zh-CN"/>
              </w:rPr>
              <w:t>技术</w:t>
            </w:r>
            <w:r>
              <w:rPr>
                <w:rFonts w:ascii="仿宋" w:eastAsia="仿宋" w:hAnsi="仿宋" w:cs="仿宋" w:hint="eastAsia"/>
                <w:szCs w:val="21"/>
              </w:rPr>
              <w:t>/</w:t>
            </w:r>
            <w:r>
              <w:rPr>
                <w:rFonts w:ascii="仿宋" w:eastAsia="仿宋" w:hAnsi="仿宋" w:cs="仿宋" w:hint="eastAsia"/>
                <w:szCs w:val="21"/>
                <w:lang w:eastAsia="zh-CN"/>
              </w:rPr>
              <w:t>参数</w:t>
            </w:r>
            <w:r>
              <w:rPr>
                <w:rFonts w:ascii="仿宋" w:eastAsia="仿宋" w:hAnsi="仿宋" w:cs="仿宋" w:hint="eastAsia"/>
                <w:szCs w:val="21"/>
              </w:rPr>
              <w:t>要求评审</w:t>
            </w:r>
          </w:p>
        </w:tc>
        <w:tc>
          <w:tcPr>
            <w:tcW w:w="5781" w:type="dxa"/>
          </w:tcPr>
          <w:p>
            <w:pPr>
              <w:spacing w:line="380" w:lineRule="exact"/>
              <w:jc w:val="left"/>
              <w:rPr>
                <w:rFonts w:hint="eastAsia"/>
              </w:rPr>
            </w:pPr>
            <w:r>
              <w:rPr>
                <w:rFonts w:ascii="仿宋" w:eastAsia="仿宋" w:hAnsi="仿宋" w:cs="仿宋" w:hint="eastAsia"/>
                <w:szCs w:val="21"/>
              </w:rPr>
              <w:t>实质性（</w:t>
            </w:r>
            <w:r>
              <w:rPr>
                <w:rFonts w:ascii="仿宋" w:eastAsia="仿宋" w:hAnsi="仿宋" w:cs="仿宋" w:hint="eastAsia"/>
                <w:szCs w:val="21"/>
              </w:rPr>
              <w:t>“★”</w:t>
            </w:r>
            <w:r>
              <w:rPr>
                <w:rFonts w:ascii="仿宋" w:eastAsia="仿宋" w:hAnsi="仿宋" w:cs="仿宋" w:hint="eastAsia"/>
                <w:szCs w:val="21"/>
              </w:rPr>
              <w:t>项）技术条款是否全部完全响应</w:t>
            </w:r>
          </w:p>
        </w:tc>
      </w:tr>
      <w:tr>
        <w:tblPrEx>
          <w:jc w:val="center"/>
          <w:tblLayout w:type="fixed"/>
          <w:tblCellMar>
            <w:top w:w="0" w:type="dxa"/>
            <w:left w:w="108" w:type="dxa"/>
            <w:bottom w:w="0" w:type="dxa"/>
            <w:right w:w="108" w:type="dxa"/>
          </w:tblCellMar>
          <w:tblLook w:val="0000"/>
        </w:tblPrEx>
        <w:trPr>
          <w:trHeight w:val="290"/>
          <w:jc w:val="center"/>
        </w:trPr>
        <w:tc>
          <w:tcPr>
            <w:tcW w:w="1195" w:type="dxa"/>
            <w:vMerge/>
          </w:tcPr>
          <w:p>
            <w:pPr>
              <w:spacing w:line="380" w:lineRule="exact"/>
              <w:ind w:left="40" w:leftChars="19"/>
              <w:jc w:val="center"/>
              <w:rPr>
                <w:rFonts w:ascii="仿宋" w:eastAsia="仿宋" w:hAnsi="仿宋" w:cs="仿宋" w:hint="eastAsia"/>
                <w:szCs w:val="21"/>
              </w:rPr>
            </w:pPr>
          </w:p>
        </w:tc>
        <w:tc>
          <w:tcPr>
            <w:tcW w:w="2010" w:type="dxa"/>
            <w:vAlign w:val="center"/>
          </w:tcPr>
          <w:p>
            <w:pPr>
              <w:tabs>
                <w:tab w:val="left" w:pos="2880"/>
              </w:tabs>
              <w:spacing w:line="380" w:lineRule="exact"/>
              <w:ind w:left="40" w:leftChars="19"/>
              <w:jc w:val="center"/>
              <w:rPr>
                <w:rFonts w:ascii="仿宋" w:eastAsia="仿宋" w:hAnsi="仿宋" w:cs="仿宋" w:hint="eastAsia"/>
                <w:szCs w:val="21"/>
              </w:rPr>
            </w:pPr>
            <w:r>
              <w:rPr>
                <w:rFonts w:ascii="仿宋" w:eastAsia="仿宋" w:hAnsi="仿宋" w:cs="仿宋" w:hint="eastAsia"/>
                <w:szCs w:val="21"/>
              </w:rPr>
              <w:t>商务要求评审</w:t>
            </w:r>
          </w:p>
        </w:tc>
        <w:tc>
          <w:tcPr>
            <w:tcW w:w="5781" w:type="dxa"/>
            <w:vAlign w:val="center"/>
          </w:tcPr>
          <w:p>
            <w:pPr>
              <w:tabs>
                <w:tab w:val="left" w:pos="2880"/>
              </w:tabs>
              <w:spacing w:line="380" w:lineRule="exact"/>
              <w:ind w:left="40" w:leftChars="19"/>
              <w:jc w:val="left"/>
              <w:rPr>
                <w:rFonts w:ascii="仿宋" w:eastAsia="仿宋" w:hAnsi="仿宋" w:cs="仿宋" w:hint="eastAsia"/>
                <w:szCs w:val="21"/>
              </w:rPr>
            </w:pPr>
            <w:r>
              <w:rPr>
                <w:rFonts w:ascii="仿宋" w:eastAsia="仿宋" w:hAnsi="仿宋" w:cs="仿宋" w:hint="eastAsia"/>
                <w:szCs w:val="21"/>
              </w:rPr>
              <w:t>实质性（</w:t>
            </w:r>
            <w:r>
              <w:rPr>
                <w:rFonts w:ascii="仿宋" w:eastAsia="仿宋" w:hAnsi="仿宋" w:cs="仿宋" w:hint="eastAsia"/>
                <w:szCs w:val="21"/>
              </w:rPr>
              <w:t>“★”</w:t>
            </w:r>
            <w:r>
              <w:rPr>
                <w:rFonts w:ascii="仿宋" w:eastAsia="仿宋" w:hAnsi="仿宋" w:cs="仿宋" w:hint="eastAsia"/>
                <w:szCs w:val="21"/>
              </w:rPr>
              <w:t>项）商务条款是否全部完全响应</w:t>
            </w:r>
          </w:p>
        </w:tc>
      </w:tr>
      <w:tr>
        <w:tblPrEx>
          <w:jc w:val="center"/>
          <w:tblLayout w:type="fixed"/>
          <w:tblCellMar>
            <w:top w:w="0" w:type="dxa"/>
            <w:left w:w="108" w:type="dxa"/>
            <w:bottom w:w="0" w:type="dxa"/>
            <w:right w:w="108" w:type="dxa"/>
          </w:tblCellMar>
          <w:tblLook w:val="0000"/>
        </w:tblPrEx>
        <w:trPr>
          <w:jc w:val="center"/>
        </w:trPr>
        <w:tc>
          <w:tcPr>
            <w:tcW w:w="1195" w:type="dxa"/>
            <w:vMerge/>
          </w:tcPr>
          <w:p>
            <w:pPr>
              <w:spacing w:line="380" w:lineRule="exact"/>
              <w:ind w:left="40" w:leftChars="19"/>
              <w:jc w:val="center"/>
              <w:rPr>
                <w:rFonts w:ascii="仿宋" w:eastAsia="仿宋" w:hAnsi="仿宋" w:cs="仿宋" w:hint="eastAsia"/>
                <w:szCs w:val="21"/>
              </w:rPr>
            </w:pPr>
          </w:p>
        </w:tc>
        <w:tc>
          <w:tcPr>
            <w:tcW w:w="2010" w:type="dxa"/>
            <w:vAlign w:val="center"/>
          </w:tcPr>
          <w:p>
            <w:pPr>
              <w:tabs>
                <w:tab w:val="left" w:pos="2880"/>
              </w:tabs>
              <w:spacing w:line="380" w:lineRule="exact"/>
              <w:ind w:left="40" w:leftChars="19"/>
              <w:jc w:val="center"/>
              <w:rPr>
                <w:rFonts w:ascii="仿宋" w:eastAsia="仿宋" w:hAnsi="仿宋" w:cs="仿宋" w:hint="eastAsia"/>
                <w:szCs w:val="21"/>
              </w:rPr>
            </w:pPr>
            <w:r>
              <w:rPr>
                <w:rFonts w:ascii="仿宋" w:eastAsia="仿宋" w:hAnsi="仿宋" w:cs="仿宋" w:hint="eastAsia"/>
                <w:szCs w:val="21"/>
              </w:rPr>
              <w:t>报价的合格性</w:t>
            </w:r>
          </w:p>
        </w:tc>
        <w:tc>
          <w:tcPr>
            <w:tcW w:w="5781" w:type="dxa"/>
            <w:vAlign w:val="center"/>
          </w:tcPr>
          <w:p>
            <w:pPr>
              <w:tabs>
                <w:tab w:val="left" w:pos="2880"/>
              </w:tabs>
              <w:spacing w:line="380" w:lineRule="exact"/>
              <w:ind w:left="40" w:leftChars="19"/>
              <w:jc w:val="left"/>
              <w:rPr>
                <w:rFonts w:ascii="仿宋" w:eastAsia="仿宋" w:hAnsi="仿宋" w:cs="仿宋" w:hint="eastAsia"/>
                <w:szCs w:val="21"/>
              </w:rPr>
            </w:pPr>
            <w:r>
              <w:rPr>
                <w:rFonts w:ascii="仿宋" w:eastAsia="仿宋" w:hAnsi="仿宋" w:cs="仿宋" w:hint="eastAsia"/>
                <w:szCs w:val="21"/>
              </w:rPr>
              <w:t>在经营范围内报价，投标报价</w:t>
            </w:r>
            <w:r>
              <w:rPr>
                <w:rFonts w:ascii="仿宋" w:eastAsia="仿宋" w:hAnsi="仿宋" w:cs="仿宋" w:hint="eastAsia"/>
                <w:szCs w:val="21"/>
                <w:lang w:eastAsia="zh-CN"/>
              </w:rPr>
              <w:t>不高</w:t>
            </w:r>
            <w:r>
              <w:rPr>
                <w:rFonts w:ascii="仿宋" w:eastAsia="仿宋" w:hAnsi="仿宋" w:cs="仿宋" w:hint="eastAsia"/>
                <w:szCs w:val="21"/>
              </w:rPr>
              <w:t>于</w:t>
            </w:r>
            <w:r>
              <w:rPr>
                <w:rFonts w:ascii="仿宋" w:eastAsia="仿宋" w:hAnsi="仿宋" w:cs="仿宋" w:hint="eastAsia"/>
                <w:szCs w:val="21"/>
                <w:lang w:eastAsia="zh-CN"/>
              </w:rPr>
              <w:t>招标文件要求</w:t>
            </w:r>
            <w:r>
              <w:rPr>
                <w:rFonts w:ascii="仿宋" w:eastAsia="仿宋" w:hAnsi="仿宋" w:cs="仿宋" w:hint="eastAsia"/>
                <w:szCs w:val="21"/>
              </w:rPr>
              <w:t>，报价方案唯一确定</w:t>
            </w:r>
          </w:p>
        </w:tc>
      </w:tr>
      <w:tr>
        <w:tblPrEx>
          <w:jc w:val="center"/>
          <w:tblLayout w:type="fixed"/>
          <w:tblCellMar>
            <w:top w:w="0" w:type="dxa"/>
            <w:left w:w="108" w:type="dxa"/>
            <w:bottom w:w="0" w:type="dxa"/>
            <w:right w:w="108" w:type="dxa"/>
          </w:tblCellMar>
          <w:tblLook w:val="0000"/>
        </w:tblPrEx>
        <w:trPr>
          <w:jc w:val="center"/>
        </w:trPr>
        <w:tc>
          <w:tcPr>
            <w:tcW w:w="1195" w:type="dxa"/>
            <w:vMerge/>
          </w:tcPr>
          <w:p>
            <w:pPr>
              <w:spacing w:line="380" w:lineRule="exact"/>
              <w:ind w:left="40" w:leftChars="19"/>
              <w:jc w:val="center"/>
              <w:rPr>
                <w:rFonts w:ascii="仿宋" w:eastAsia="仿宋" w:hAnsi="仿宋" w:cs="仿宋" w:hint="eastAsia"/>
                <w:szCs w:val="21"/>
              </w:rPr>
            </w:pPr>
          </w:p>
        </w:tc>
        <w:tc>
          <w:tcPr>
            <w:tcW w:w="2010" w:type="dxa"/>
            <w:vAlign w:val="center"/>
          </w:tcPr>
          <w:p>
            <w:pPr>
              <w:tabs>
                <w:tab w:val="left" w:pos="2880"/>
              </w:tabs>
              <w:spacing w:line="380" w:lineRule="exact"/>
              <w:ind w:left="40" w:leftChars="19"/>
              <w:jc w:val="center"/>
              <w:rPr>
                <w:rFonts w:ascii="仿宋" w:eastAsia="仿宋" w:hAnsi="仿宋" w:cs="仿宋" w:hint="eastAsia"/>
                <w:szCs w:val="21"/>
              </w:rPr>
            </w:pPr>
            <w:r>
              <w:rPr>
                <w:rFonts w:ascii="仿宋" w:eastAsia="仿宋" w:hAnsi="仿宋" w:cs="仿宋" w:hint="eastAsia"/>
                <w:szCs w:val="21"/>
              </w:rPr>
              <w:t>其他</w:t>
            </w:r>
          </w:p>
        </w:tc>
        <w:tc>
          <w:tcPr>
            <w:tcW w:w="5781" w:type="dxa"/>
            <w:vAlign w:val="center"/>
          </w:tcPr>
          <w:p>
            <w:pPr>
              <w:tabs>
                <w:tab w:val="left" w:pos="2880"/>
              </w:tabs>
              <w:spacing w:line="380" w:lineRule="exact"/>
              <w:ind w:left="40" w:leftChars="19"/>
              <w:jc w:val="left"/>
              <w:rPr>
                <w:rFonts w:ascii="仿宋" w:eastAsia="仿宋" w:hAnsi="仿宋" w:cs="仿宋" w:hint="eastAsia"/>
                <w:szCs w:val="21"/>
              </w:rPr>
            </w:pPr>
            <w:r>
              <w:rPr>
                <w:rFonts w:ascii="仿宋" w:eastAsia="仿宋" w:hAnsi="仿宋" w:cs="仿宋" w:hint="eastAsia"/>
                <w:szCs w:val="21"/>
              </w:rPr>
              <w:t>非医院招标文件格式要求，投标文件中出现错误字/词/句位置一致的，雷同内容达20字及以上的等涉嫌围标或串标行为的。</w:t>
            </w:r>
          </w:p>
        </w:tc>
      </w:tr>
    </w:tbl>
    <w:p>
      <w:pPr>
        <w:pStyle w:val="PlainText"/>
        <w:adjustRightInd w:val="0"/>
        <w:snapToGrid w:val="0"/>
        <w:spacing w:line="360" w:lineRule="auto"/>
        <w:ind w:right="32"/>
        <w:rPr>
          <w:rFonts w:ascii="仿宋" w:eastAsia="仿宋" w:hAnsi="仿宋" w:cs="仿宋" w:hint="eastAsia"/>
          <w:b/>
          <w:sz w:val="24"/>
          <w:szCs w:val="24"/>
        </w:rPr>
      </w:pPr>
    </w:p>
    <w:p>
      <w:pPr>
        <w:pStyle w:val="PlainText"/>
        <w:adjustRightInd w:val="0"/>
        <w:snapToGrid w:val="0"/>
        <w:spacing w:line="360" w:lineRule="auto"/>
        <w:ind w:right="32" w:firstLine="458" w:firstLineChars="191"/>
        <w:rPr>
          <w:rFonts w:ascii="仿宋" w:eastAsia="仿宋" w:hAnsi="仿宋" w:cs="仿宋" w:hint="eastAsia"/>
          <w:b/>
          <w:sz w:val="24"/>
          <w:szCs w:val="24"/>
        </w:rPr>
      </w:pPr>
      <w:r>
        <w:rPr>
          <w:rFonts w:ascii="仿宋" w:eastAsia="仿宋" w:hAnsi="仿宋" w:cs="仿宋" w:hint="eastAsia"/>
          <w:b/>
          <w:sz w:val="24"/>
          <w:szCs w:val="24"/>
        </w:rPr>
        <w:t>6、投标文件的比较和评价</w:t>
      </w:r>
    </w:p>
    <w:p>
      <w:pPr>
        <w:autoSpaceDE w:val="0"/>
        <w:autoSpaceDN w:val="0"/>
        <w:adjustRightInd w:val="0"/>
        <w:snapToGrid w:val="0"/>
        <w:spacing w:line="360" w:lineRule="auto"/>
        <w:ind w:right="32" w:firstLine="458" w:firstLineChars="191"/>
        <w:rPr>
          <w:rFonts w:ascii="仿宋" w:eastAsia="仿宋" w:hAnsi="仿宋" w:cs="仿宋" w:hint="eastAsia"/>
          <w:kern w:val="0"/>
          <w:sz w:val="24"/>
        </w:rPr>
      </w:pPr>
      <w:r>
        <w:rPr>
          <w:rFonts w:ascii="仿宋" w:eastAsia="仿宋" w:hAnsi="仿宋" w:cs="仿宋" w:hint="eastAsia"/>
          <w:kern w:val="0"/>
          <w:sz w:val="24"/>
        </w:rPr>
        <w:t>评</w:t>
      </w:r>
      <w:r>
        <w:rPr>
          <w:rFonts w:ascii="仿宋" w:eastAsia="仿宋" w:hAnsi="仿宋" w:cs="仿宋" w:hint="eastAsia"/>
          <w:sz w:val="24"/>
        </w:rPr>
        <w:t>审</w:t>
      </w:r>
      <w:r>
        <w:rPr>
          <w:rFonts w:ascii="仿宋" w:eastAsia="仿宋" w:hAnsi="仿宋" w:cs="仿宋" w:hint="eastAsia"/>
          <w:kern w:val="0"/>
          <w:sz w:val="24"/>
        </w:rPr>
        <w:t>小组按招标文件中规定的评标方法和标准，对审查合格的投标文件的商务、技术、服务和价格进行评估，最后进行综合比较与评价。</w:t>
      </w:r>
    </w:p>
    <w:p>
      <w:pPr>
        <w:autoSpaceDE w:val="0"/>
        <w:autoSpaceDN w:val="0"/>
        <w:adjustRightInd w:val="0"/>
        <w:snapToGrid w:val="0"/>
        <w:spacing w:line="360" w:lineRule="auto"/>
        <w:ind w:right="32"/>
        <w:rPr>
          <w:rFonts w:ascii="仿宋" w:eastAsia="仿宋" w:hAnsi="仿宋" w:cs="仿宋" w:hint="eastAsia"/>
          <w:kern w:val="0"/>
          <w:sz w:val="24"/>
        </w:rPr>
      </w:pPr>
      <w:r>
        <w:rPr>
          <w:rFonts w:ascii="仿宋" w:eastAsia="仿宋" w:hAnsi="仿宋" w:cs="仿宋" w:hint="eastAsia"/>
          <w:kern w:val="0"/>
          <w:sz w:val="24"/>
        </w:rPr>
        <w:t xml:space="preserve">    评</w:t>
      </w:r>
      <w:r>
        <w:rPr>
          <w:rFonts w:ascii="仿宋" w:eastAsia="仿宋" w:hAnsi="仿宋" w:cs="仿宋" w:hint="eastAsia"/>
          <w:sz w:val="24"/>
        </w:rPr>
        <w:t>审</w:t>
      </w:r>
      <w:r>
        <w:rPr>
          <w:rFonts w:ascii="仿宋" w:eastAsia="仿宋" w:hAnsi="仿宋" w:cs="仿宋" w:hint="eastAsia"/>
          <w:kern w:val="0"/>
          <w:sz w:val="24"/>
        </w:rPr>
        <w:t>小组对技术规格偏离表、服务响应偏离表的投标资料等进行评审，并</w:t>
      </w:r>
    </w:p>
    <w:p>
      <w:pPr>
        <w:autoSpaceDE w:val="0"/>
        <w:autoSpaceDN w:val="0"/>
        <w:adjustRightInd w:val="0"/>
        <w:snapToGrid w:val="0"/>
        <w:spacing w:line="360" w:lineRule="auto"/>
        <w:ind w:right="32"/>
        <w:rPr>
          <w:rFonts w:ascii="仿宋" w:eastAsia="仿宋" w:hAnsi="仿宋" w:cs="仿宋" w:hint="eastAsia"/>
          <w:kern w:val="0"/>
          <w:sz w:val="24"/>
        </w:rPr>
      </w:pPr>
      <w:r>
        <w:rPr>
          <w:rFonts w:ascii="仿宋" w:eastAsia="仿宋" w:hAnsi="仿宋" w:cs="仿宋" w:hint="eastAsia"/>
          <w:kern w:val="0"/>
          <w:sz w:val="24"/>
        </w:rPr>
        <w:t>填写相关表格。</w:t>
      </w:r>
    </w:p>
    <w:tbl>
      <w:tblPr>
        <w:tblStyle w:val="TableNormal"/>
        <w:jc w:val="center"/>
        <w:tblLayout w:type="fixed"/>
        <w:tblCellMar>
          <w:top w:w="0" w:type="dxa"/>
          <w:left w:w="108" w:type="dxa"/>
          <w:bottom w:w="0" w:type="dxa"/>
          <w:right w:w="108" w:type="dxa"/>
        </w:tblCellMar>
        <w:tblLook w:val="0000"/>
      </w:tblPr>
      <w:tblGrid>
        <w:gridCol w:w="762"/>
        <w:gridCol w:w="1272"/>
        <w:gridCol w:w="767"/>
        <w:gridCol w:w="7803"/>
      </w:tblGrid>
      <w:tr>
        <w:tblPrEx>
          <w:jc w:val="center"/>
          <w:tblLayout w:type="fixed"/>
          <w:tblCellMar>
            <w:top w:w="0" w:type="dxa"/>
            <w:left w:w="108" w:type="dxa"/>
            <w:bottom w:w="0" w:type="dxa"/>
            <w:right w:w="108" w:type="dxa"/>
          </w:tblCellMar>
          <w:tblLook w:val="0000"/>
        </w:tblPrEx>
        <w:trPr>
          <w:trHeight w:val="450"/>
          <w:jc w:val="center"/>
        </w:trPr>
        <w:tc>
          <w:tcPr>
            <w:tcW w:w="10604" w:type="dxa"/>
            <w:gridSpan w:val="4"/>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b/>
                <w:kern w:val="0"/>
                <w:sz w:val="24"/>
              </w:rPr>
              <w:t>评审标准</w:t>
            </w:r>
          </w:p>
        </w:tc>
      </w:tr>
      <w:tr>
        <w:tblPrEx>
          <w:jc w:val="center"/>
          <w:tblLayout w:type="fixed"/>
          <w:tblCellMar>
            <w:top w:w="0" w:type="dxa"/>
            <w:left w:w="108" w:type="dxa"/>
            <w:bottom w:w="0" w:type="dxa"/>
            <w:right w:w="108" w:type="dxa"/>
          </w:tblCellMar>
          <w:tblLook w:val="0000"/>
        </w:tblPrEx>
        <w:trPr>
          <w:trHeight w:val="480"/>
          <w:jc w:val="center"/>
        </w:trPr>
        <w:tc>
          <w:tcPr>
            <w:tcW w:w="762"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评审项目</w:t>
            </w:r>
          </w:p>
        </w:tc>
        <w:tc>
          <w:tcPr>
            <w:tcW w:w="1272" w:type="dxa"/>
            <w:tcBorders>
              <w:top w:val="single" w:sz="4" w:space="0" w:color="auto"/>
              <w:left w:val="nil"/>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评议内容</w:t>
            </w:r>
          </w:p>
        </w:tc>
        <w:tc>
          <w:tcPr>
            <w:tcW w:w="767" w:type="dxa"/>
            <w:tcBorders>
              <w:top w:val="single" w:sz="4" w:space="0" w:color="auto"/>
              <w:left w:val="nil"/>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分值100</w:t>
            </w:r>
          </w:p>
        </w:tc>
        <w:tc>
          <w:tcPr>
            <w:tcW w:w="7803" w:type="dxa"/>
            <w:tcBorders>
              <w:top w:val="single" w:sz="4" w:space="0" w:color="auto"/>
              <w:left w:val="nil"/>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评分细则</w:t>
            </w:r>
          </w:p>
        </w:tc>
      </w:tr>
      <w:tr>
        <w:tblPrEx>
          <w:jc w:val="center"/>
          <w:tblLayout w:type="fixed"/>
          <w:tblCellMar>
            <w:top w:w="0" w:type="dxa"/>
            <w:left w:w="108" w:type="dxa"/>
            <w:bottom w:w="0" w:type="dxa"/>
            <w:right w:w="108" w:type="dxa"/>
          </w:tblCellMar>
          <w:tblLook w:val="0000"/>
        </w:tblPrEx>
        <w:trPr>
          <w:trHeight w:val="469"/>
          <w:jc w:val="center"/>
        </w:trPr>
        <w:tc>
          <w:tcPr>
            <w:tcW w:w="762"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信誉</w:t>
            </w:r>
          </w:p>
        </w:tc>
        <w:tc>
          <w:tcPr>
            <w:tcW w:w="1272"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sz w:val="24"/>
              </w:rPr>
            </w:pPr>
            <w:r>
              <w:rPr>
                <w:rFonts w:ascii="仿宋" w:eastAsia="仿宋" w:hAnsi="仿宋" w:cs="仿宋" w:hint="eastAsia"/>
                <w:sz w:val="24"/>
              </w:rPr>
              <w:t>诚信投标</w:t>
            </w:r>
          </w:p>
          <w:p>
            <w:pPr>
              <w:widowControl/>
              <w:rPr>
                <w:rFonts w:ascii="仿宋" w:eastAsia="仿宋" w:hAnsi="仿宋" w:cs="仿宋" w:hint="eastAsia"/>
                <w:kern w:val="0"/>
                <w:sz w:val="24"/>
              </w:rPr>
            </w:pPr>
            <w:r>
              <w:rPr>
                <w:rFonts w:ascii="仿宋" w:eastAsia="仿宋" w:hAnsi="仿宋" w:cs="仿宋" w:hint="eastAsia"/>
                <w:sz w:val="24"/>
              </w:rPr>
              <w:t>承诺</w:t>
            </w:r>
          </w:p>
        </w:tc>
        <w:tc>
          <w:tcPr>
            <w:tcW w:w="76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10</w:t>
            </w:r>
          </w:p>
        </w:tc>
        <w:tc>
          <w:tcPr>
            <w:tcW w:w="7803"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sz w:val="24"/>
              </w:rPr>
            </w:pPr>
            <w:r>
              <w:rPr>
                <w:rFonts w:ascii="仿宋" w:eastAsia="仿宋" w:hAnsi="仿宋" w:cs="仿宋" w:hint="eastAsia"/>
                <w:sz w:val="24"/>
              </w:rPr>
              <w:t>投标人诚信承诺书。</w:t>
            </w:r>
          </w:p>
          <w:p>
            <w:pPr>
              <w:widowControl/>
              <w:rPr>
                <w:rFonts w:ascii="仿宋" w:eastAsia="仿宋" w:hAnsi="仿宋" w:cs="仿宋" w:hint="eastAsia"/>
                <w:sz w:val="24"/>
              </w:rPr>
            </w:pPr>
            <w:r>
              <w:rPr>
                <w:rFonts w:ascii="仿宋" w:eastAsia="仿宋" w:hAnsi="仿宋" w:cs="仿宋" w:hint="eastAsia"/>
                <w:sz w:val="24"/>
              </w:rPr>
              <w:t>信誉得分=(在我院既往履约服务半年诚信量化评分/100)*</w:t>
            </w:r>
            <w:r>
              <w:rPr>
                <w:rFonts w:ascii="仿宋" w:eastAsia="仿宋" w:hAnsi="仿宋" w:cs="仿宋" w:hint="eastAsia"/>
                <w:sz w:val="24"/>
                <w:lang w:eastAsia="zh-CN"/>
              </w:rPr>
              <w:t>该项分值</w:t>
            </w:r>
            <w:r>
              <w:rPr>
                <w:rFonts w:ascii="仿宋" w:eastAsia="仿宋" w:hAnsi="仿宋" w:cs="仿宋" w:hint="eastAsia"/>
                <w:sz w:val="24"/>
              </w:rPr>
              <w:t>。</w:t>
            </w:r>
          </w:p>
          <w:p>
            <w:pPr>
              <w:widowControl/>
              <w:rPr>
                <w:rFonts w:ascii="仿宋" w:eastAsia="仿宋" w:hAnsi="仿宋" w:cs="仿宋" w:hint="eastAsia"/>
                <w:sz w:val="24"/>
              </w:rPr>
            </w:pPr>
            <w:r>
              <w:rPr>
                <w:rFonts w:ascii="仿宋" w:eastAsia="仿宋" w:hAnsi="仿宋" w:cs="仿宋" w:hint="eastAsia"/>
                <w:sz w:val="24"/>
              </w:rPr>
              <w:t>注：在我院服务的供应商量化评分按承办部门的半年量化评价得分，未在我院参加过招投标或服务过的投标人默认其诚信量化评分为满分100；</w:t>
            </w:r>
          </w:p>
        </w:tc>
      </w:tr>
    </w:tbl>
    <w:p>
      <w:pPr>
        <w:sectPr>
          <w:headerReference w:type="default" r:id="rId54"/>
          <w:footerReference w:type="default" r:id="rId55"/>
          <w:type w:val="nextPage"/>
          <w:pgSz w:w="11906" w:h="16838"/>
          <w:pgMar w:top="1440" w:right="1800" w:bottom="1440" w:left="1800" w:header="851" w:footer="992" w:gutter="0"/>
          <w:pgNumType w:fmt="decimal" w:start="26"/>
          <w:cols w:space="708"/>
          <w:titlePg w:val="0"/>
          <w:docGrid w:type="lines" w:linePitch="312"/>
        </w:sectPr>
      </w:pPr>
    </w:p>
    <w:tbl>
      <w:tblPr>
        <w:tblStyle w:val="TableNormal"/>
        <w:jc w:val="center"/>
        <w:tblLayout w:type="fixed"/>
        <w:tblCellMar>
          <w:top w:w="0" w:type="dxa"/>
          <w:left w:w="108" w:type="dxa"/>
          <w:bottom w:w="0" w:type="dxa"/>
          <w:right w:w="108" w:type="dxa"/>
        </w:tblCellMar>
        <w:tblLook w:val="0000"/>
      </w:tblPr>
      <w:tblGrid>
        <w:gridCol w:w="762"/>
        <w:gridCol w:w="1272"/>
        <w:gridCol w:w="767"/>
        <w:gridCol w:w="7803"/>
      </w:tblGrid>
      <w:tr>
        <w:tblPrEx>
          <w:jc w:val="center"/>
          <w:tblLayout w:type="fixed"/>
          <w:tblCellMar>
            <w:top w:w="0" w:type="dxa"/>
            <w:left w:w="108" w:type="dxa"/>
            <w:bottom w:w="0" w:type="dxa"/>
            <w:right w:w="108" w:type="dxa"/>
          </w:tblCellMar>
          <w:tblLook w:val="0000"/>
        </w:tblPrEx>
        <w:trPr>
          <w:trHeight w:val="908"/>
          <w:jc w:val="center"/>
        </w:trPr>
        <w:tc>
          <w:tcPr>
            <w:tcW w:w="762"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sz w:val="24"/>
              </w:rPr>
            </w:pPr>
            <w:r>
              <w:rPr>
                <w:rFonts w:ascii="仿宋" w:eastAsia="仿宋" w:hAnsi="仿宋" w:cs="仿宋" w:hint="eastAsia"/>
                <w:kern w:val="0"/>
                <w:sz w:val="24"/>
              </w:rPr>
              <w:t>技术</w:t>
            </w:r>
          </w:p>
        </w:tc>
        <w:tc>
          <w:tcPr>
            <w:tcW w:w="1272"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sz w:val="24"/>
                <w:highlight w:val="yellow"/>
              </w:rPr>
            </w:pPr>
            <w:r>
              <w:rPr>
                <w:rFonts w:ascii="仿宋" w:eastAsia="仿宋" w:hAnsi="仿宋" w:cs="仿宋" w:hint="eastAsia"/>
                <w:kern w:val="0"/>
                <w:sz w:val="24"/>
                <w:highlight w:val="none"/>
              </w:rPr>
              <w:t>技术参数响应情况</w:t>
            </w:r>
          </w:p>
        </w:tc>
        <w:tc>
          <w:tcPr>
            <w:tcW w:w="76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3</w:t>
            </w:r>
            <w:r>
              <w:rPr>
                <w:rFonts w:ascii="仿宋" w:eastAsia="仿宋" w:hAnsi="仿宋" w:cs="仿宋" w:hint="eastAsia"/>
                <w:kern w:val="0"/>
                <w:sz w:val="24"/>
                <w:lang w:val="en-US" w:eastAsia="zh-CN"/>
              </w:rPr>
              <w:t>8</w:t>
            </w:r>
          </w:p>
        </w:tc>
        <w:tc>
          <w:tcPr>
            <w:tcW w:w="7803"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sz w:val="24"/>
              </w:rPr>
            </w:pPr>
            <w:r>
              <w:rPr>
                <w:rFonts w:ascii="仿宋" w:eastAsia="仿宋" w:hAnsi="仿宋" w:cs="仿宋" w:hint="eastAsia"/>
                <w:sz w:val="24"/>
              </w:rPr>
              <w:t>技术参数标</w:t>
            </w:r>
            <w:r>
              <w:rPr>
                <w:rFonts w:ascii="仿宋" w:eastAsia="仿宋" w:hAnsi="仿宋" w:cs="仿宋" w:hint="eastAsia"/>
                <w:sz w:val="24"/>
              </w:rPr>
              <w:t>“▲”</w:t>
            </w:r>
            <w:r>
              <w:rPr>
                <w:rFonts w:ascii="仿宋" w:eastAsia="仿宋" w:hAnsi="仿宋" w:cs="仿宋" w:hint="eastAsia"/>
                <w:sz w:val="24"/>
              </w:rPr>
              <w:t>的重要技术指标，一个负偏离减3分</w:t>
            </w:r>
            <w:r>
              <w:rPr>
                <w:rFonts w:ascii="仿宋" w:eastAsia="仿宋" w:hAnsi="仿宋" w:cs="仿宋" w:hint="eastAsia"/>
                <w:sz w:val="24"/>
                <w:lang w:eastAsia="zh-CN"/>
              </w:rPr>
              <w:t>，单一产品</w:t>
            </w:r>
            <w:r>
              <w:rPr>
                <w:rFonts w:ascii="仿宋" w:eastAsia="仿宋" w:hAnsi="仿宋" w:cs="仿宋" w:hint="eastAsia"/>
                <w:sz w:val="24"/>
              </w:rPr>
              <w:t>有</w:t>
            </w:r>
            <w:r>
              <w:rPr>
                <w:rFonts w:ascii="仿宋" w:eastAsia="仿宋" w:hAnsi="仿宋" w:cs="仿宋" w:hint="eastAsia"/>
                <w:sz w:val="24"/>
                <w:highlight w:val="yellow"/>
              </w:rPr>
              <w:t>三个及以上</w:t>
            </w:r>
            <w:r>
              <w:rPr>
                <w:rFonts w:ascii="仿宋" w:eastAsia="仿宋" w:hAnsi="仿宋" w:cs="仿宋" w:hint="eastAsia"/>
                <w:sz w:val="24"/>
              </w:rPr>
              <w:t>标</w:t>
            </w:r>
            <w:r>
              <w:rPr>
                <w:rFonts w:ascii="仿宋" w:eastAsia="仿宋" w:hAnsi="仿宋" w:cs="仿宋" w:hint="eastAsia"/>
                <w:sz w:val="24"/>
              </w:rPr>
              <w:t>“▲”</w:t>
            </w:r>
            <w:r>
              <w:rPr>
                <w:rFonts w:ascii="仿宋" w:eastAsia="仿宋" w:hAnsi="仿宋" w:cs="仿宋" w:hint="eastAsia"/>
                <w:sz w:val="24"/>
              </w:rPr>
              <w:t>的重要技术指标</w:t>
            </w:r>
            <w:r>
              <w:rPr>
                <w:rFonts w:ascii="仿宋" w:eastAsia="仿宋" w:hAnsi="仿宋" w:cs="仿宋" w:hint="eastAsia"/>
                <w:sz w:val="24"/>
                <w:highlight w:val="yellow"/>
              </w:rPr>
              <w:t>负偏离此项不得分</w:t>
            </w:r>
            <w:r>
              <w:rPr>
                <w:rFonts w:ascii="仿宋" w:eastAsia="仿宋" w:hAnsi="仿宋" w:cs="仿宋" w:hint="eastAsia"/>
                <w:sz w:val="24"/>
                <w:highlight w:val="yellow"/>
                <w:lang w:eastAsia="zh-CN"/>
              </w:rPr>
              <w:t>，</w:t>
            </w:r>
            <w:r>
              <w:rPr>
                <w:rFonts w:ascii="仿宋" w:eastAsia="仿宋" w:hAnsi="仿宋" w:cs="仿宋" w:hint="eastAsia"/>
                <w:sz w:val="24"/>
              </w:rPr>
              <w:t>一般参数一个负偏离扣1分。提供产品彩页或厂家产品说明书或厂家技术说明函等能证明所投产品</w:t>
            </w:r>
            <w:r>
              <w:rPr>
                <w:rFonts w:ascii="仿宋" w:eastAsia="仿宋" w:hAnsi="仿宋" w:cs="仿宋" w:hint="eastAsia"/>
                <w:kern w:val="0"/>
                <w:sz w:val="24"/>
              </w:rPr>
              <w:t>重要技术参数</w:t>
            </w:r>
            <w:r>
              <w:rPr>
                <w:rFonts w:ascii="仿宋" w:eastAsia="仿宋" w:hAnsi="仿宋" w:cs="仿宋" w:hint="eastAsia"/>
                <w:sz w:val="24"/>
              </w:rPr>
              <w:t>能满足或达到招标要求的证明材料，</w:t>
            </w:r>
            <w:r>
              <w:rPr>
                <w:rFonts w:ascii="仿宋" w:eastAsia="仿宋" w:hAnsi="仿宋" w:cs="仿宋" w:hint="eastAsia"/>
                <w:b/>
                <w:bCs/>
                <w:sz w:val="24"/>
              </w:rPr>
              <w:t>不能出具材料证明主要投标技术参数符合招标要求的视为不满足则该项不得分</w:t>
            </w:r>
            <w:r>
              <w:rPr>
                <w:rFonts w:ascii="仿宋" w:eastAsia="仿宋" w:hAnsi="仿宋" w:cs="仿宋" w:hint="eastAsia"/>
                <w:sz w:val="24"/>
              </w:rPr>
              <w:t>。</w:t>
            </w:r>
          </w:p>
        </w:tc>
      </w:tr>
      <w:tr>
        <w:tblPrEx>
          <w:jc w:val="center"/>
          <w:tblLayout w:type="fixed"/>
          <w:tblCellMar>
            <w:top w:w="0" w:type="dxa"/>
            <w:left w:w="108" w:type="dxa"/>
            <w:bottom w:w="0" w:type="dxa"/>
            <w:right w:w="108" w:type="dxa"/>
          </w:tblCellMar>
          <w:tblLook w:val="0000"/>
        </w:tblPrEx>
        <w:trPr>
          <w:trHeight w:val="541"/>
          <w:jc w:val="center"/>
        </w:trPr>
        <w:tc>
          <w:tcPr>
            <w:tcW w:w="762" w:type="dxa"/>
            <w:vMerge/>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p>
        </w:tc>
        <w:tc>
          <w:tcPr>
            <w:tcW w:w="1272"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kern w:val="0"/>
                <w:sz w:val="24"/>
              </w:rPr>
            </w:pPr>
            <w:r>
              <w:rPr>
                <w:rFonts w:ascii="仿宋" w:eastAsia="仿宋" w:hAnsi="仿宋" w:cs="仿宋" w:hint="eastAsia"/>
                <w:kern w:val="0"/>
                <w:sz w:val="24"/>
              </w:rPr>
              <w:t>配置响应情况</w:t>
            </w:r>
          </w:p>
        </w:tc>
        <w:tc>
          <w:tcPr>
            <w:tcW w:w="76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5</w:t>
            </w:r>
          </w:p>
        </w:tc>
        <w:tc>
          <w:tcPr>
            <w:tcW w:w="7803"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kern w:val="0"/>
                <w:sz w:val="24"/>
              </w:rPr>
            </w:pPr>
            <w:r>
              <w:rPr>
                <w:rFonts w:ascii="仿宋" w:eastAsia="仿宋" w:hAnsi="仿宋" w:cs="仿宋" w:hint="eastAsia"/>
                <w:sz w:val="24"/>
              </w:rPr>
              <w:t>完全响应且有优化（正偏离）得5分，完全响应（无偏离）为良得3分，不完全响应（负偏离）得0分。</w:t>
            </w:r>
          </w:p>
        </w:tc>
      </w:tr>
      <w:tr>
        <w:tblPrEx>
          <w:jc w:val="center"/>
          <w:tblLayout w:type="fixed"/>
          <w:tblCellMar>
            <w:top w:w="0" w:type="dxa"/>
            <w:left w:w="108" w:type="dxa"/>
            <w:bottom w:w="0" w:type="dxa"/>
            <w:right w:w="108" w:type="dxa"/>
          </w:tblCellMar>
          <w:tblLook w:val="0000"/>
        </w:tblPrEx>
        <w:trPr>
          <w:trHeight w:val="780"/>
          <w:jc w:val="center"/>
        </w:trPr>
        <w:tc>
          <w:tcPr>
            <w:tcW w:w="762"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sz w:val="24"/>
              </w:rPr>
              <w:t>商务</w:t>
            </w:r>
          </w:p>
        </w:tc>
        <w:tc>
          <w:tcPr>
            <w:tcW w:w="1272"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kern w:val="0"/>
                <w:sz w:val="24"/>
              </w:rPr>
            </w:pPr>
            <w:r>
              <w:rPr>
                <w:rFonts w:ascii="仿宋" w:eastAsia="仿宋" w:hAnsi="仿宋" w:cs="仿宋" w:hint="eastAsia"/>
                <w:sz w:val="24"/>
              </w:rPr>
              <w:t>质保期限的响应</w:t>
            </w:r>
          </w:p>
        </w:tc>
        <w:tc>
          <w:tcPr>
            <w:tcW w:w="76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6</w:t>
            </w:r>
          </w:p>
        </w:tc>
        <w:tc>
          <w:tcPr>
            <w:tcW w:w="7803"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sz w:val="24"/>
              </w:rPr>
            </w:pPr>
            <w:r>
              <w:rPr>
                <w:rFonts w:ascii="仿宋" w:eastAsia="仿宋" w:hAnsi="仿宋" w:cs="仿宋" w:hint="eastAsia"/>
                <w:kern w:val="0"/>
                <w:sz w:val="24"/>
              </w:rPr>
              <w:t>由评委对各投标人的货物的质保期限说明进行评议及打分。质保期限符合招标文件要求，</w:t>
            </w:r>
            <w:r>
              <w:rPr>
                <w:rFonts w:ascii="仿宋" w:eastAsia="仿宋" w:hAnsi="仿宋" w:cs="仿宋" w:hint="eastAsia"/>
                <w:kern w:val="0"/>
                <w:sz w:val="24"/>
                <w:highlight w:val="yellow"/>
                <w:lang w:val="en-US" w:eastAsia="zh-CN"/>
              </w:rPr>
              <w:t>01包裂隙灯显微镜质量保证（修）期为至少</w:t>
            </w:r>
            <w:r>
              <w:rPr>
                <w:rFonts w:ascii="仿宋" w:eastAsia="仿宋" w:hAnsi="仿宋" w:cs="仿宋" w:hint="eastAsia"/>
                <w:kern w:val="0"/>
                <w:sz w:val="24"/>
                <w:highlight w:val="yellow"/>
                <w:u w:val="single"/>
                <w:lang w:val="en-US" w:eastAsia="zh-CN"/>
              </w:rPr>
              <w:t xml:space="preserve"> 叁 </w:t>
            </w:r>
            <w:r>
              <w:rPr>
                <w:rFonts w:ascii="仿宋" w:eastAsia="仿宋" w:hAnsi="仿宋" w:cs="仿宋" w:hint="eastAsia"/>
                <w:kern w:val="0"/>
                <w:sz w:val="24"/>
                <w:highlight w:val="yellow"/>
                <w:lang w:val="en-US" w:eastAsia="zh-CN"/>
              </w:rPr>
              <w:t>年、病人监护仪质量保证（修）期为至少</w:t>
            </w:r>
            <w:r>
              <w:rPr>
                <w:rFonts w:ascii="仿宋" w:eastAsia="仿宋" w:hAnsi="仿宋" w:cs="仿宋" w:hint="eastAsia"/>
                <w:kern w:val="0"/>
                <w:sz w:val="24"/>
                <w:highlight w:val="yellow"/>
                <w:u w:val="single"/>
                <w:lang w:val="en-US" w:eastAsia="zh-CN"/>
              </w:rPr>
              <w:t xml:space="preserve"> 壹 </w:t>
            </w:r>
            <w:r>
              <w:rPr>
                <w:rFonts w:ascii="仿宋" w:eastAsia="仿宋" w:hAnsi="仿宋" w:cs="仿宋" w:hint="eastAsia"/>
                <w:kern w:val="0"/>
                <w:sz w:val="24"/>
                <w:highlight w:val="yellow"/>
                <w:lang w:val="en-US" w:eastAsia="zh-CN"/>
              </w:rPr>
              <w:t>年的</w:t>
            </w:r>
            <w:r>
              <w:rPr>
                <w:rFonts w:ascii="仿宋" w:eastAsia="仿宋" w:hAnsi="仿宋" w:cs="仿宋" w:hint="eastAsia"/>
                <w:sz w:val="24"/>
                <w:highlight w:val="yellow"/>
                <w:lang w:eastAsia="zh-CN"/>
              </w:rPr>
              <w:t>得</w:t>
            </w:r>
            <w:r>
              <w:rPr>
                <w:rFonts w:ascii="仿宋" w:eastAsia="仿宋" w:hAnsi="仿宋" w:cs="仿宋" w:hint="eastAsia"/>
                <w:sz w:val="24"/>
                <w:highlight w:val="yellow"/>
                <w:lang w:val="en-US" w:eastAsia="zh-CN"/>
              </w:rPr>
              <w:t>2分</w:t>
            </w:r>
            <w:r>
              <w:rPr>
                <w:rFonts w:ascii="仿宋" w:eastAsia="仿宋" w:hAnsi="仿宋" w:cs="仿宋" w:hint="eastAsia"/>
                <w:sz w:val="24"/>
                <w:highlight w:val="yellow"/>
                <w:lang w:eastAsia="zh-CN"/>
              </w:rPr>
              <w:t>；</w:t>
            </w:r>
            <w:r>
              <w:rPr>
                <w:rFonts w:ascii="仿宋" w:eastAsia="仿宋" w:hAnsi="仿宋" w:cs="仿宋" w:hint="eastAsia"/>
                <w:kern w:val="0"/>
                <w:sz w:val="24"/>
                <w:highlight w:val="yellow"/>
                <w:lang w:val="en-US" w:eastAsia="zh-CN"/>
              </w:rPr>
              <w:t>02包</w:t>
            </w:r>
            <w:r>
              <w:rPr>
                <w:rFonts w:ascii="仿宋" w:eastAsia="仿宋" w:hAnsi="仿宋" w:cs="仿宋" w:hint="eastAsia"/>
                <w:sz w:val="24"/>
                <w:highlight w:val="yellow"/>
              </w:rPr>
              <w:t>病人监护仪</w:t>
            </w:r>
            <w:r>
              <w:rPr>
                <w:rFonts w:ascii="仿宋" w:eastAsia="仿宋" w:hAnsi="仿宋" w:cs="仿宋" w:hint="eastAsia"/>
                <w:sz w:val="24"/>
                <w:highlight w:val="yellow"/>
                <w:lang w:eastAsia="zh-CN"/>
              </w:rPr>
              <w:t>质保期</w:t>
            </w:r>
            <w:r>
              <w:rPr>
                <w:rFonts w:ascii="仿宋" w:eastAsia="仿宋" w:hAnsi="仿宋" w:cs="仿宋" w:hint="eastAsia"/>
                <w:sz w:val="24"/>
                <w:highlight w:val="yellow"/>
              </w:rPr>
              <w:t>期为</w:t>
            </w:r>
            <w:r>
              <w:rPr>
                <w:rFonts w:ascii="仿宋" w:eastAsia="仿宋" w:hAnsi="仿宋" w:cs="仿宋" w:hint="eastAsia"/>
                <w:sz w:val="24"/>
                <w:highlight w:val="yellow"/>
                <w:u w:val="single"/>
              </w:rPr>
              <w:t xml:space="preserve"> 叁 </w:t>
            </w:r>
            <w:r>
              <w:rPr>
                <w:rFonts w:ascii="仿宋" w:eastAsia="仿宋" w:hAnsi="仿宋" w:cs="仿宋" w:hint="eastAsia"/>
                <w:sz w:val="24"/>
                <w:highlight w:val="yellow"/>
              </w:rPr>
              <w:t>年</w:t>
            </w:r>
            <w:r>
              <w:rPr>
                <w:rFonts w:ascii="仿宋" w:eastAsia="仿宋" w:hAnsi="仿宋" w:cs="仿宋" w:hint="eastAsia"/>
                <w:sz w:val="24"/>
                <w:highlight w:val="yellow"/>
                <w:lang w:eastAsia="zh-CN"/>
              </w:rPr>
              <w:t>、除颤</w:t>
            </w:r>
            <w:r>
              <w:rPr>
                <w:rFonts w:ascii="仿宋" w:eastAsia="仿宋" w:hAnsi="仿宋" w:cs="仿宋" w:hint="eastAsia"/>
                <w:sz w:val="24"/>
                <w:highlight w:val="yellow"/>
              </w:rPr>
              <w:t>监护仪</w:t>
            </w:r>
            <w:r>
              <w:rPr>
                <w:rFonts w:ascii="仿宋" w:eastAsia="仿宋" w:hAnsi="仿宋" w:cs="仿宋" w:hint="eastAsia"/>
                <w:sz w:val="24"/>
                <w:highlight w:val="yellow"/>
                <w:lang w:eastAsia="zh-CN"/>
              </w:rPr>
              <w:t>质保期</w:t>
            </w:r>
            <w:r>
              <w:rPr>
                <w:rFonts w:ascii="仿宋" w:eastAsia="仿宋" w:hAnsi="仿宋" w:cs="仿宋" w:hint="eastAsia"/>
                <w:sz w:val="24"/>
                <w:highlight w:val="yellow"/>
              </w:rPr>
              <w:t>期为</w:t>
            </w:r>
            <w:r>
              <w:rPr>
                <w:rFonts w:ascii="仿宋" w:eastAsia="仿宋" w:hAnsi="仿宋" w:cs="仿宋" w:hint="eastAsia"/>
                <w:sz w:val="24"/>
                <w:highlight w:val="yellow"/>
                <w:u w:val="single"/>
              </w:rPr>
              <w:t xml:space="preserve"> </w:t>
            </w:r>
            <w:r>
              <w:rPr>
                <w:rFonts w:ascii="仿宋" w:eastAsia="仿宋" w:hAnsi="仿宋" w:cs="仿宋" w:hint="eastAsia"/>
                <w:sz w:val="24"/>
                <w:highlight w:val="yellow"/>
                <w:u w:val="single"/>
                <w:lang w:eastAsia="zh-CN"/>
              </w:rPr>
              <w:t>贰</w:t>
            </w:r>
            <w:r>
              <w:rPr>
                <w:rFonts w:ascii="仿宋" w:eastAsia="仿宋" w:hAnsi="仿宋" w:cs="仿宋" w:hint="eastAsia"/>
                <w:sz w:val="24"/>
                <w:highlight w:val="yellow"/>
                <w:u w:val="single"/>
              </w:rPr>
              <w:t xml:space="preserve"> </w:t>
            </w:r>
            <w:r>
              <w:rPr>
                <w:rFonts w:ascii="仿宋" w:eastAsia="仿宋" w:hAnsi="仿宋" w:cs="仿宋" w:hint="eastAsia"/>
                <w:sz w:val="24"/>
                <w:highlight w:val="yellow"/>
              </w:rPr>
              <w:t>年</w:t>
            </w:r>
            <w:r>
              <w:rPr>
                <w:rFonts w:ascii="仿宋" w:eastAsia="仿宋" w:hAnsi="仿宋" w:cs="仿宋" w:hint="eastAsia"/>
                <w:sz w:val="24"/>
                <w:highlight w:val="yellow"/>
                <w:lang w:eastAsia="zh-CN"/>
              </w:rPr>
              <w:t>的得</w:t>
            </w:r>
            <w:r>
              <w:rPr>
                <w:rFonts w:ascii="仿宋" w:eastAsia="仿宋" w:hAnsi="仿宋" w:cs="仿宋" w:hint="eastAsia"/>
                <w:sz w:val="24"/>
                <w:highlight w:val="yellow"/>
                <w:lang w:val="en-US" w:eastAsia="zh-CN"/>
              </w:rPr>
              <w:t>2分；03包数字化十二导心电图机</w:t>
            </w:r>
            <w:r>
              <w:rPr>
                <w:rFonts w:ascii="仿宋" w:eastAsia="仿宋" w:hAnsi="仿宋" w:cs="仿宋" w:hint="eastAsia"/>
                <w:sz w:val="24"/>
                <w:highlight w:val="yellow"/>
                <w:lang w:eastAsia="zh-CN"/>
              </w:rPr>
              <w:t>质保期</w:t>
            </w:r>
            <w:r>
              <w:rPr>
                <w:rFonts w:ascii="仿宋" w:eastAsia="仿宋" w:hAnsi="仿宋" w:cs="仿宋" w:hint="eastAsia"/>
                <w:sz w:val="24"/>
                <w:highlight w:val="yellow"/>
              </w:rPr>
              <w:t>期为</w:t>
            </w:r>
            <w:r>
              <w:rPr>
                <w:rFonts w:ascii="仿宋" w:eastAsia="仿宋" w:hAnsi="仿宋" w:cs="仿宋" w:hint="eastAsia"/>
                <w:sz w:val="24"/>
                <w:highlight w:val="yellow"/>
                <w:u w:val="single"/>
                <w:lang w:val="en-US" w:eastAsia="zh-CN"/>
              </w:rPr>
              <w:t xml:space="preserve"> </w:t>
            </w:r>
            <w:r>
              <w:rPr>
                <w:rFonts w:ascii="仿宋" w:eastAsia="仿宋" w:hAnsi="仿宋" w:cs="仿宋" w:hint="eastAsia"/>
                <w:sz w:val="24"/>
                <w:highlight w:val="yellow"/>
                <w:u w:val="single"/>
                <w:lang w:eastAsia="zh-CN"/>
              </w:rPr>
              <w:t>壹</w:t>
            </w:r>
            <w:r>
              <w:rPr>
                <w:rFonts w:ascii="仿宋" w:eastAsia="仿宋" w:hAnsi="仿宋" w:cs="仿宋" w:hint="eastAsia"/>
                <w:sz w:val="24"/>
                <w:highlight w:val="yellow"/>
                <w:u w:val="single"/>
                <w:lang w:val="en-US" w:eastAsia="zh-CN"/>
              </w:rPr>
              <w:t xml:space="preserve"> </w:t>
            </w:r>
            <w:r>
              <w:rPr>
                <w:rFonts w:ascii="仿宋" w:eastAsia="仿宋" w:hAnsi="仿宋" w:cs="仿宋" w:hint="eastAsia"/>
                <w:sz w:val="24"/>
                <w:highlight w:val="yellow"/>
              </w:rPr>
              <w:t>年</w:t>
            </w:r>
            <w:r>
              <w:rPr>
                <w:rFonts w:ascii="仿宋" w:eastAsia="仿宋" w:hAnsi="仿宋" w:cs="仿宋" w:hint="eastAsia"/>
                <w:sz w:val="24"/>
                <w:highlight w:val="yellow"/>
                <w:lang w:eastAsia="zh-CN"/>
              </w:rPr>
              <w:t>的得</w:t>
            </w:r>
            <w:r>
              <w:rPr>
                <w:rFonts w:ascii="仿宋" w:eastAsia="仿宋" w:hAnsi="仿宋" w:cs="仿宋" w:hint="eastAsia"/>
                <w:sz w:val="24"/>
                <w:highlight w:val="yellow"/>
                <w:lang w:val="en-US" w:eastAsia="zh-CN"/>
              </w:rPr>
              <w:t>2分</w:t>
            </w:r>
            <w:r>
              <w:rPr>
                <w:rFonts w:ascii="仿宋" w:eastAsia="仿宋" w:hAnsi="仿宋" w:cs="仿宋" w:hint="eastAsia"/>
                <w:sz w:val="24"/>
                <w:highlight w:val="yellow"/>
                <w:lang w:eastAsia="zh-CN"/>
              </w:rPr>
              <w:t>；</w:t>
            </w:r>
            <w:r>
              <w:rPr>
                <w:rFonts w:ascii="仿宋" w:eastAsia="仿宋" w:hAnsi="仿宋" w:cs="仿宋" w:hint="eastAsia"/>
                <w:kern w:val="0"/>
                <w:sz w:val="24"/>
              </w:rPr>
              <w:t>在此基础上</w:t>
            </w:r>
            <w:r>
              <w:rPr>
                <w:rFonts w:ascii="仿宋" w:eastAsia="仿宋" w:hAnsi="仿宋" w:cs="仿宋" w:hint="eastAsia"/>
                <w:kern w:val="0"/>
                <w:sz w:val="24"/>
                <w:lang w:eastAsia="zh-CN"/>
              </w:rPr>
              <w:t>单一设备</w:t>
            </w:r>
            <w:r>
              <w:rPr>
                <w:rFonts w:ascii="仿宋" w:eastAsia="仿宋" w:hAnsi="仿宋" w:cs="仿宋" w:hint="eastAsia"/>
                <w:kern w:val="0"/>
                <w:sz w:val="24"/>
              </w:rPr>
              <w:t>每增加壹年加</w:t>
            </w:r>
            <w:r>
              <w:rPr>
                <w:rFonts w:ascii="仿宋" w:eastAsia="仿宋" w:hAnsi="仿宋" w:cs="仿宋" w:hint="eastAsia"/>
                <w:kern w:val="0"/>
                <w:sz w:val="24"/>
                <w:lang w:val="en-US" w:eastAsia="zh-CN"/>
              </w:rPr>
              <w:t>1</w:t>
            </w:r>
            <w:r>
              <w:rPr>
                <w:rFonts w:ascii="仿宋" w:eastAsia="仿宋" w:hAnsi="仿宋" w:cs="仿宋" w:hint="eastAsia"/>
                <w:kern w:val="0"/>
                <w:sz w:val="24"/>
              </w:rPr>
              <w:t>分，加完为止。</w:t>
            </w:r>
          </w:p>
        </w:tc>
      </w:tr>
      <w:tr>
        <w:tblPrEx>
          <w:jc w:val="center"/>
          <w:tblLayout w:type="fixed"/>
          <w:tblCellMar>
            <w:top w:w="0" w:type="dxa"/>
            <w:left w:w="108" w:type="dxa"/>
            <w:bottom w:w="0" w:type="dxa"/>
            <w:right w:w="108" w:type="dxa"/>
          </w:tblCellMar>
          <w:tblLook w:val="0000"/>
        </w:tblPrEx>
        <w:trPr>
          <w:trHeight w:val="780"/>
          <w:jc w:val="center"/>
        </w:trPr>
        <w:tc>
          <w:tcPr>
            <w:tcW w:w="762" w:type="dxa"/>
            <w:vMerge/>
            <w:tcBorders>
              <w:left w:val="single" w:sz="4" w:space="0" w:color="auto"/>
              <w:right w:val="single" w:sz="4" w:space="0" w:color="auto"/>
            </w:tcBorders>
            <w:vAlign w:val="center"/>
          </w:tcPr>
          <w:p>
            <w:pPr>
              <w:widowControl/>
              <w:jc w:val="center"/>
              <w:rPr>
                <w:rFonts w:ascii="仿宋" w:eastAsia="仿宋" w:hAnsi="仿宋" w:cs="仿宋" w:hint="eastAsia"/>
                <w:kern w:val="0"/>
                <w:sz w:val="24"/>
              </w:rPr>
            </w:pPr>
          </w:p>
        </w:tc>
        <w:tc>
          <w:tcPr>
            <w:tcW w:w="1272"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kern w:val="0"/>
                <w:sz w:val="24"/>
              </w:rPr>
            </w:pPr>
            <w:r>
              <w:rPr>
                <w:rFonts w:ascii="仿宋" w:eastAsia="仿宋" w:hAnsi="仿宋" w:cs="仿宋" w:hint="eastAsia"/>
                <w:kern w:val="0"/>
                <w:sz w:val="24"/>
              </w:rPr>
              <w:t>售后服务承诺书/方案</w:t>
            </w:r>
          </w:p>
        </w:tc>
        <w:tc>
          <w:tcPr>
            <w:tcW w:w="76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5</w:t>
            </w:r>
          </w:p>
        </w:tc>
        <w:tc>
          <w:tcPr>
            <w:tcW w:w="7803"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sz w:val="24"/>
              </w:rPr>
            </w:pPr>
            <w:r>
              <w:rPr>
                <w:rFonts w:ascii="仿宋" w:eastAsia="仿宋" w:hAnsi="仿宋" w:cs="仿宋" w:hint="eastAsia"/>
                <w:kern w:val="0"/>
                <w:sz w:val="24"/>
              </w:rPr>
              <w:t>提供售后服务承诺书/服务方案且承诺书/方案清晰,对应维保年限、维修响应时间及便利性、配件供应、培训计划等明确承诺得4-5分；提供售后服务承诺书/方案且对应承诺但不够清晰得2-3分；仅提供售后服务承诺书/方案方案不清晰且未对应承诺只得1分；未提供服务承诺书/服务方案得0分；</w:t>
            </w:r>
          </w:p>
        </w:tc>
      </w:tr>
      <w:tr>
        <w:tblPrEx>
          <w:jc w:val="center"/>
          <w:tblLayout w:type="fixed"/>
          <w:tblCellMar>
            <w:top w:w="0" w:type="dxa"/>
            <w:left w:w="108" w:type="dxa"/>
            <w:bottom w:w="0" w:type="dxa"/>
            <w:right w:w="108" w:type="dxa"/>
          </w:tblCellMar>
          <w:tblLook w:val="0000"/>
        </w:tblPrEx>
        <w:trPr>
          <w:trHeight w:val="780"/>
          <w:jc w:val="center"/>
        </w:trPr>
        <w:tc>
          <w:tcPr>
            <w:tcW w:w="762" w:type="dxa"/>
            <w:vMerge/>
            <w:tcBorders>
              <w:left w:val="single" w:sz="4" w:space="0" w:color="auto"/>
              <w:right w:val="single" w:sz="4" w:space="0" w:color="auto"/>
            </w:tcBorders>
            <w:vAlign w:val="center"/>
          </w:tcPr>
          <w:p>
            <w:pPr>
              <w:widowControl/>
              <w:jc w:val="center"/>
              <w:rPr>
                <w:rFonts w:ascii="仿宋" w:eastAsia="仿宋" w:hAnsi="仿宋" w:cs="仿宋" w:hint="eastAsia"/>
                <w:kern w:val="0"/>
                <w:sz w:val="24"/>
              </w:rPr>
            </w:pPr>
          </w:p>
        </w:tc>
        <w:tc>
          <w:tcPr>
            <w:tcW w:w="1272"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kern w:val="0"/>
                <w:sz w:val="24"/>
              </w:rPr>
            </w:pPr>
            <w:r>
              <w:rPr>
                <w:rFonts w:ascii="仿宋" w:eastAsia="仿宋" w:hAnsi="仿宋" w:cs="仿宋" w:hint="eastAsia"/>
                <w:kern w:val="0"/>
                <w:sz w:val="24"/>
              </w:rPr>
              <w:t>一般商务条款的响应</w:t>
            </w:r>
          </w:p>
        </w:tc>
        <w:tc>
          <w:tcPr>
            <w:tcW w:w="76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lang w:val="en-US" w:eastAsia="zh-CN"/>
              </w:rPr>
              <w:t>4</w:t>
            </w:r>
          </w:p>
        </w:tc>
        <w:tc>
          <w:tcPr>
            <w:tcW w:w="7803"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sz w:val="24"/>
              </w:rPr>
            </w:pPr>
            <w:r>
              <w:rPr>
                <w:rFonts w:ascii="仿宋" w:eastAsia="仿宋" w:hAnsi="仿宋" w:cs="仿宋" w:hint="eastAsia"/>
                <w:kern w:val="0"/>
                <w:sz w:val="24"/>
              </w:rPr>
              <w:t>根据各投标人响应招标文件一般商务要求的情况进行综合评审，优于招标文件要求得</w:t>
            </w:r>
            <w:r>
              <w:rPr>
                <w:rFonts w:ascii="仿宋" w:eastAsia="仿宋" w:hAnsi="仿宋" w:cs="仿宋" w:hint="eastAsia"/>
                <w:kern w:val="0"/>
                <w:sz w:val="24"/>
                <w:lang w:val="en-US" w:eastAsia="zh-CN"/>
              </w:rPr>
              <w:t>4</w:t>
            </w:r>
            <w:r>
              <w:rPr>
                <w:rFonts w:ascii="仿宋" w:eastAsia="仿宋" w:hAnsi="仿宋" w:cs="仿宋" w:hint="eastAsia"/>
                <w:kern w:val="0"/>
                <w:sz w:val="24"/>
              </w:rPr>
              <w:t>分，基本满足招标文件要求得</w:t>
            </w:r>
            <w:r>
              <w:rPr>
                <w:rFonts w:ascii="仿宋" w:eastAsia="仿宋" w:hAnsi="仿宋" w:cs="仿宋" w:hint="eastAsia"/>
                <w:kern w:val="0"/>
                <w:sz w:val="24"/>
                <w:lang w:val="en-US" w:eastAsia="zh-CN"/>
              </w:rPr>
              <w:t>3</w:t>
            </w:r>
            <w:r>
              <w:rPr>
                <w:rFonts w:ascii="仿宋" w:eastAsia="仿宋" w:hAnsi="仿宋" w:cs="仿宋" w:hint="eastAsia"/>
                <w:kern w:val="0"/>
                <w:sz w:val="24"/>
              </w:rPr>
              <w:t>分，低于招标文件要求得0-</w:t>
            </w:r>
            <w:r>
              <w:rPr>
                <w:rFonts w:ascii="仿宋" w:eastAsia="仿宋" w:hAnsi="仿宋" w:cs="仿宋" w:hint="eastAsia"/>
                <w:kern w:val="0"/>
                <w:sz w:val="24"/>
                <w:lang w:val="en-US" w:eastAsia="zh-CN"/>
              </w:rPr>
              <w:t>2</w:t>
            </w:r>
            <w:r>
              <w:rPr>
                <w:rFonts w:ascii="仿宋" w:eastAsia="仿宋" w:hAnsi="仿宋" w:cs="仿宋" w:hint="eastAsia"/>
                <w:kern w:val="0"/>
                <w:sz w:val="24"/>
              </w:rPr>
              <w:t>分；</w:t>
            </w:r>
          </w:p>
        </w:tc>
      </w:tr>
      <w:tr>
        <w:tblPrEx>
          <w:jc w:val="center"/>
          <w:tblLayout w:type="fixed"/>
          <w:tblCellMar>
            <w:top w:w="0" w:type="dxa"/>
            <w:left w:w="108" w:type="dxa"/>
            <w:bottom w:w="0" w:type="dxa"/>
            <w:right w:w="108" w:type="dxa"/>
          </w:tblCellMar>
          <w:tblLook w:val="0000"/>
        </w:tblPrEx>
        <w:trPr>
          <w:trHeight w:val="505"/>
          <w:jc w:val="center"/>
        </w:trPr>
        <w:tc>
          <w:tcPr>
            <w:tcW w:w="762"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价格</w:t>
            </w:r>
          </w:p>
        </w:tc>
        <w:tc>
          <w:tcPr>
            <w:tcW w:w="1272"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kern w:val="0"/>
                <w:sz w:val="24"/>
              </w:rPr>
            </w:pPr>
            <w:r>
              <w:rPr>
                <w:rFonts w:ascii="仿宋" w:eastAsia="仿宋" w:hAnsi="仿宋" w:cs="仿宋" w:hint="eastAsia"/>
                <w:sz w:val="24"/>
              </w:rPr>
              <w:t>报价情况</w:t>
            </w:r>
          </w:p>
        </w:tc>
        <w:tc>
          <w:tcPr>
            <w:tcW w:w="76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30</w:t>
            </w:r>
          </w:p>
        </w:tc>
        <w:tc>
          <w:tcPr>
            <w:tcW w:w="7803"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sz w:val="24"/>
              </w:rPr>
            </w:pPr>
            <w:r>
              <w:rPr>
                <w:rFonts w:ascii="仿宋" w:eastAsia="仿宋" w:hAnsi="仿宋" w:cs="仿宋" w:hint="eastAsia"/>
                <w:sz w:val="24"/>
              </w:rPr>
              <w:t>价格得分采用低价优先法计算，即满足招标文件要求且投标价格最低为评标基准</w:t>
            </w:r>
            <w:r>
              <w:rPr>
                <w:rFonts w:ascii="仿宋" w:eastAsia="仿宋" w:hAnsi="仿宋" w:cs="仿宋" w:hint="eastAsia"/>
                <w:sz w:val="24"/>
                <w:lang w:eastAsia="zh-CN"/>
              </w:rPr>
              <w:t>价格</w:t>
            </w:r>
            <w:r>
              <w:rPr>
                <w:rFonts w:ascii="仿宋" w:eastAsia="仿宋" w:hAnsi="仿宋" w:cs="仿宋" w:hint="eastAsia"/>
                <w:sz w:val="24"/>
              </w:rPr>
              <w:t>，其价格得分为</w:t>
            </w:r>
            <w:r>
              <w:rPr>
                <w:rFonts w:ascii="仿宋" w:eastAsia="仿宋" w:hAnsi="仿宋" w:cs="仿宋" w:hint="eastAsia"/>
                <w:sz w:val="24"/>
                <w:lang w:eastAsia="zh-CN"/>
              </w:rPr>
              <w:t>满分</w:t>
            </w:r>
            <w:r>
              <w:rPr>
                <w:rFonts w:ascii="仿宋" w:eastAsia="仿宋" w:hAnsi="仿宋" w:cs="仿宋" w:hint="eastAsia"/>
                <w:sz w:val="24"/>
                <w:lang w:val="en-US" w:eastAsia="zh-CN"/>
              </w:rPr>
              <w:t>30</w:t>
            </w:r>
            <w:r>
              <w:rPr>
                <w:rFonts w:ascii="仿宋" w:eastAsia="仿宋" w:hAnsi="仿宋" w:cs="仿宋" w:hint="eastAsia"/>
                <w:sz w:val="24"/>
              </w:rPr>
              <w:t>分</w:t>
            </w:r>
            <w:r>
              <w:rPr>
                <w:rFonts w:ascii="仿宋" w:eastAsia="仿宋" w:hAnsi="仿宋" w:cs="仿宋" w:hint="eastAsia"/>
                <w:sz w:val="24"/>
                <w:lang w:eastAsia="zh-CN"/>
              </w:rPr>
              <w:t>，</w:t>
            </w:r>
            <w:r>
              <w:rPr>
                <w:rFonts w:ascii="仿宋" w:eastAsia="仿宋" w:hAnsi="仿宋" w:cs="仿宋" w:hint="eastAsia"/>
                <w:sz w:val="24"/>
              </w:rPr>
              <w:t>其他投标人的价格得分按如下公式计算：价格得分=（评标基准</w:t>
            </w:r>
            <w:r>
              <w:rPr>
                <w:rFonts w:ascii="仿宋" w:eastAsia="仿宋" w:hAnsi="仿宋" w:cs="仿宋" w:hint="eastAsia"/>
                <w:sz w:val="24"/>
                <w:lang w:eastAsia="zh-CN"/>
              </w:rPr>
              <w:t>价格</w:t>
            </w:r>
            <w:r>
              <w:rPr>
                <w:rFonts w:ascii="仿宋" w:eastAsia="仿宋" w:hAnsi="仿宋" w:cs="仿宋" w:hint="eastAsia"/>
                <w:sz w:val="24"/>
              </w:rPr>
              <w:t>÷</w:t>
            </w:r>
            <w:r>
              <w:rPr>
                <w:rFonts w:ascii="仿宋" w:eastAsia="仿宋" w:hAnsi="仿宋" w:cs="仿宋" w:hint="eastAsia"/>
                <w:sz w:val="24"/>
              </w:rPr>
              <w:t>投标</w:t>
            </w:r>
            <w:r>
              <w:rPr>
                <w:rFonts w:ascii="仿宋" w:eastAsia="仿宋" w:hAnsi="仿宋" w:cs="仿宋" w:hint="eastAsia"/>
                <w:sz w:val="24"/>
                <w:lang w:eastAsia="zh-CN"/>
              </w:rPr>
              <w:t>价格</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lang w:val="en-US" w:eastAsia="zh-CN"/>
              </w:rPr>
              <w:t>该项分值</w:t>
            </w:r>
            <w:r>
              <w:rPr>
                <w:rFonts w:ascii="仿宋" w:eastAsia="仿宋" w:hAnsi="仿宋" w:cs="仿宋" w:hint="eastAsia"/>
                <w:sz w:val="24"/>
              </w:rPr>
              <w:t>。</w:t>
            </w:r>
          </w:p>
        </w:tc>
      </w:tr>
      <w:tr>
        <w:tblPrEx>
          <w:jc w:val="center"/>
          <w:tblLayout w:type="fixed"/>
          <w:tblCellMar>
            <w:top w:w="0" w:type="dxa"/>
            <w:left w:w="108" w:type="dxa"/>
            <w:bottom w:w="0" w:type="dxa"/>
            <w:right w:w="108" w:type="dxa"/>
          </w:tblCellMar>
          <w:tblLook w:val="0000"/>
        </w:tblPrEx>
        <w:trPr>
          <w:trHeight w:val="505"/>
          <w:jc w:val="center"/>
        </w:trPr>
        <w:tc>
          <w:tcPr>
            <w:tcW w:w="762"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品牌</w:t>
            </w:r>
          </w:p>
        </w:tc>
        <w:tc>
          <w:tcPr>
            <w:tcW w:w="1272" w:type="dxa"/>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sz w:val="24"/>
              </w:rPr>
            </w:pPr>
            <w:r>
              <w:rPr>
                <w:rFonts w:ascii="仿宋" w:eastAsia="仿宋" w:hAnsi="仿宋" w:cs="仿宋" w:hint="eastAsia"/>
                <w:sz w:val="24"/>
              </w:rPr>
              <w:t>品牌支持</w:t>
            </w:r>
          </w:p>
        </w:tc>
        <w:tc>
          <w:tcPr>
            <w:tcW w:w="76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2</w:t>
            </w:r>
          </w:p>
        </w:tc>
        <w:tc>
          <w:tcPr>
            <w:tcW w:w="7803"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sz w:val="24"/>
              </w:rPr>
            </w:pPr>
            <w:r>
              <w:rPr>
                <w:rFonts w:ascii="仿宋" w:eastAsia="仿宋" w:hAnsi="仿宋" w:cs="仿宋" w:hint="eastAsia"/>
                <w:sz w:val="24"/>
              </w:rPr>
              <w:t>支持国货，国产品牌得2分，中外合资品牌得1分，进口品牌不得分。</w:t>
            </w:r>
          </w:p>
        </w:tc>
      </w:tr>
      <w:tr>
        <w:tblPrEx>
          <w:jc w:val="center"/>
          <w:tblLayout w:type="fixed"/>
          <w:tblCellMar>
            <w:top w:w="0" w:type="dxa"/>
            <w:left w:w="108" w:type="dxa"/>
            <w:bottom w:w="0" w:type="dxa"/>
            <w:right w:w="108" w:type="dxa"/>
          </w:tblCellMar>
          <w:tblLook w:val="0000"/>
        </w:tblPrEx>
        <w:trPr>
          <w:trHeight w:val="505"/>
          <w:jc w:val="center"/>
        </w:trPr>
        <w:tc>
          <w:tcPr>
            <w:tcW w:w="2034" w:type="dxa"/>
            <w:gridSpan w:val="2"/>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sz w:val="24"/>
              </w:rPr>
            </w:pPr>
            <w:r>
              <w:rPr>
                <w:rFonts w:ascii="仿宋" w:eastAsia="仿宋" w:hAnsi="仿宋" w:cs="仿宋" w:hint="eastAsia"/>
                <w:sz w:val="24"/>
              </w:rPr>
              <w:t>合计</w:t>
            </w:r>
          </w:p>
        </w:tc>
        <w:tc>
          <w:tcPr>
            <w:tcW w:w="76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kern w:val="0"/>
                <w:sz w:val="24"/>
              </w:rPr>
            </w:pPr>
            <w:r>
              <w:rPr>
                <w:rFonts w:ascii="仿宋" w:eastAsia="仿宋" w:hAnsi="仿宋" w:cs="仿宋" w:hint="eastAsia"/>
                <w:kern w:val="0"/>
                <w:sz w:val="24"/>
              </w:rPr>
              <w:t>100</w:t>
            </w:r>
          </w:p>
        </w:tc>
        <w:tc>
          <w:tcPr>
            <w:tcW w:w="7803" w:type="dxa"/>
            <w:tcBorders>
              <w:top w:val="single" w:sz="4" w:space="0" w:color="auto"/>
              <w:left w:val="single" w:sz="4" w:space="0" w:color="auto"/>
              <w:bottom w:val="single" w:sz="4" w:space="0" w:color="auto"/>
              <w:right w:val="single" w:sz="4" w:space="0" w:color="auto"/>
            </w:tcBorders>
            <w:vAlign w:val="center"/>
          </w:tcPr>
          <w:p>
            <w:pPr>
              <w:widowControl/>
              <w:rPr>
                <w:rFonts w:ascii="仿宋" w:eastAsia="仿宋" w:hAnsi="仿宋" w:cs="仿宋" w:hint="eastAsia"/>
                <w:sz w:val="24"/>
              </w:rPr>
            </w:pPr>
          </w:p>
        </w:tc>
      </w:tr>
    </w:tbl>
    <w:p>
      <w:pPr>
        <w:autoSpaceDE w:val="0"/>
        <w:autoSpaceDN w:val="0"/>
        <w:adjustRightInd w:val="0"/>
        <w:snapToGrid w:val="0"/>
        <w:spacing w:line="360" w:lineRule="auto"/>
        <w:ind w:right="32"/>
        <w:rPr>
          <w:rFonts w:ascii="仿宋" w:eastAsia="仿宋" w:hAnsi="仿宋" w:cs="仿宋" w:hint="eastAsia"/>
          <w:kern w:val="0"/>
          <w:sz w:val="24"/>
        </w:rPr>
      </w:pPr>
    </w:p>
    <w:p>
      <w:pPr>
        <w:pStyle w:val="PlainText"/>
        <w:adjustRightInd w:val="0"/>
        <w:snapToGrid w:val="0"/>
        <w:spacing w:line="360" w:lineRule="auto"/>
        <w:ind w:right="32" w:firstLine="458" w:firstLineChars="191"/>
        <w:rPr>
          <w:rFonts w:ascii="仿宋" w:eastAsia="仿宋" w:hAnsi="仿宋" w:cs="仿宋" w:hint="eastAsia"/>
          <w:b/>
          <w:sz w:val="24"/>
          <w:szCs w:val="24"/>
        </w:rPr>
      </w:pPr>
      <w:r>
        <w:rPr>
          <w:rFonts w:ascii="仿宋" w:eastAsia="仿宋" w:hAnsi="仿宋" w:cs="仿宋" w:hint="eastAsia"/>
          <w:b/>
          <w:sz w:val="24"/>
          <w:szCs w:val="24"/>
        </w:rPr>
        <w:t>7、确定中标供应商</w:t>
      </w:r>
    </w:p>
    <w:p>
      <w:pPr>
        <w:autoSpaceDE w:val="0"/>
        <w:autoSpaceDN w:val="0"/>
        <w:adjustRightInd w:val="0"/>
        <w:snapToGrid w:val="0"/>
        <w:spacing w:line="360" w:lineRule="auto"/>
        <w:ind w:right="32" w:firstLine="458" w:firstLineChars="191"/>
        <w:rPr>
          <w:rFonts w:ascii="仿宋" w:eastAsia="仿宋" w:hAnsi="仿宋" w:cs="仿宋" w:hint="eastAsia"/>
          <w:kern w:val="0"/>
          <w:sz w:val="24"/>
        </w:rPr>
      </w:pPr>
      <w:r>
        <w:rPr>
          <w:rFonts w:ascii="仿宋" w:eastAsia="仿宋" w:hAnsi="仿宋" w:cs="仿宋" w:hint="eastAsia"/>
          <w:kern w:val="0"/>
          <w:sz w:val="24"/>
        </w:rPr>
        <w:t>评</w:t>
      </w:r>
      <w:r>
        <w:rPr>
          <w:rFonts w:ascii="仿宋" w:eastAsia="仿宋" w:hAnsi="仿宋" w:cs="仿宋" w:hint="eastAsia"/>
          <w:sz w:val="24"/>
        </w:rPr>
        <w:t>审</w:t>
      </w:r>
      <w:r>
        <w:rPr>
          <w:rFonts w:ascii="仿宋" w:eastAsia="仿宋" w:hAnsi="仿宋" w:cs="仿宋" w:hint="eastAsia"/>
          <w:kern w:val="0"/>
          <w:sz w:val="24"/>
        </w:rPr>
        <w:t>小组出具书面的评标报告，按照投标人的综合得分由高到低的顺序对投标供应商进行排名，并确定中标供应商。</w:t>
      </w:r>
    </w:p>
    <w:p>
      <w:pPr>
        <w:autoSpaceDE w:val="0"/>
        <w:autoSpaceDN w:val="0"/>
        <w:adjustRightInd w:val="0"/>
        <w:snapToGrid w:val="0"/>
        <w:spacing w:line="360" w:lineRule="auto"/>
        <w:ind w:right="32" w:firstLine="458" w:firstLineChars="191"/>
        <w:rPr>
          <w:rFonts w:ascii="仿宋" w:eastAsia="仿宋" w:hAnsi="仿宋" w:cs="仿宋" w:hint="eastAsia"/>
          <w:b/>
          <w:sz w:val="24"/>
        </w:rPr>
      </w:pPr>
      <w:r>
        <w:rPr>
          <w:rFonts w:ascii="仿宋" w:eastAsia="仿宋" w:hAnsi="仿宋" w:cs="仿宋" w:hint="eastAsia"/>
          <w:kern w:val="0"/>
          <w:sz w:val="24"/>
        </w:rPr>
        <w:t>对中标候选人的价格出现明显高于同业同期市场平均价的情形时，评</w:t>
      </w:r>
      <w:r>
        <w:rPr>
          <w:rFonts w:ascii="仿宋" w:eastAsia="仿宋" w:hAnsi="仿宋" w:cs="仿宋" w:hint="eastAsia"/>
          <w:sz w:val="24"/>
        </w:rPr>
        <w:t>审</w:t>
      </w:r>
      <w:r>
        <w:rPr>
          <w:rFonts w:ascii="仿宋" w:eastAsia="仿宋" w:hAnsi="仿宋" w:cs="仿宋" w:hint="eastAsia"/>
          <w:kern w:val="0"/>
          <w:sz w:val="24"/>
        </w:rPr>
        <w:t>小组应当在评审意见中详细说明推荐理由，并要求投标人提供相关证明材料等。</w:t>
      </w:r>
    </w:p>
    <w:p>
      <w:pPr>
        <w:spacing w:line="360" w:lineRule="auto"/>
        <w:rPr>
          <w:rFonts w:ascii="仿宋" w:eastAsia="仿宋" w:hAnsi="仿宋" w:cs="仿宋" w:hint="eastAsia"/>
          <w:b/>
          <w:sz w:val="24"/>
        </w:rPr>
      </w:pPr>
      <w:r>
        <w:rPr>
          <w:rFonts w:ascii="仿宋" w:eastAsia="仿宋" w:hAnsi="仿宋" w:cs="仿宋" w:hint="eastAsia"/>
          <w:b/>
          <w:sz w:val="24"/>
        </w:rPr>
        <w:t xml:space="preserve">    七、废标条件与处理</w:t>
      </w:r>
    </w:p>
    <w:p>
      <w:pPr>
        <w:spacing w:line="360" w:lineRule="auto"/>
        <w:ind w:firstLine="600" w:firstLineChars="250"/>
        <w:jc w:val="left"/>
        <w:rPr>
          <w:rFonts w:ascii="仿宋" w:eastAsia="仿宋" w:hAnsi="仿宋" w:cs="仿宋" w:hint="eastAsia"/>
          <w:sz w:val="24"/>
        </w:rPr>
      </w:pPr>
      <w:r>
        <w:rPr>
          <w:rFonts w:ascii="仿宋" w:eastAsia="仿宋" w:hAnsi="仿宋" w:cs="仿宋" w:hint="eastAsia"/>
          <w:sz w:val="24"/>
        </w:rPr>
        <w:t>在公开招标采购中，出现下列情形之一的，应予废标：</w:t>
      </w:r>
    </w:p>
    <w:p>
      <w:pPr>
        <w:spacing w:line="360" w:lineRule="auto"/>
        <w:ind w:firstLine="240" w:firstLineChars="100"/>
        <w:jc w:val="left"/>
        <w:rPr>
          <w:rFonts w:ascii="仿宋" w:eastAsia="仿宋" w:hAnsi="仿宋" w:cs="仿宋" w:hint="eastAsia"/>
          <w:sz w:val="24"/>
        </w:rPr>
      </w:pPr>
      <w:r>
        <w:rPr>
          <w:rFonts w:ascii="仿宋" w:eastAsia="仿宋" w:hAnsi="仿宋" w:cs="仿宋" w:hint="eastAsia"/>
          <w:sz w:val="24"/>
        </w:rPr>
        <w:t> </w:t>
      </w:r>
      <w:r>
        <w:rPr>
          <w:rFonts w:ascii="仿宋" w:eastAsia="仿宋" w:hAnsi="仿宋" w:cs="仿宋" w:hint="eastAsia"/>
          <w:sz w:val="24"/>
        </w:rPr>
        <w:t>（一）符合专业条件的供应商或者对招标文件作实质响应的供应商不足三家的；</w:t>
      </w:r>
    </w:p>
    <w:p>
      <w:pPr>
        <w:spacing w:line="360" w:lineRule="auto"/>
        <w:ind w:firstLine="240" w:firstLineChars="100"/>
        <w:jc w:val="left"/>
        <w:rPr>
          <w:rFonts w:ascii="仿宋" w:eastAsia="仿宋" w:hAnsi="仿宋" w:cs="仿宋" w:hint="eastAsia"/>
          <w:sz w:val="24"/>
        </w:rPr>
      </w:pPr>
      <w:r>
        <w:rPr>
          <w:rFonts w:ascii="仿宋" w:eastAsia="仿宋" w:hAnsi="仿宋" w:cs="仿宋" w:hint="eastAsia"/>
          <w:sz w:val="24"/>
        </w:rPr>
        <w:t> </w:t>
      </w:r>
      <w:r>
        <w:rPr>
          <w:rFonts w:ascii="仿宋" w:eastAsia="仿宋" w:hAnsi="仿宋" w:cs="仿宋" w:hint="eastAsia"/>
          <w:sz w:val="24"/>
        </w:rPr>
        <w:t>（二）出现影响采购公正的违法、违规行为的；</w:t>
      </w:r>
      <w:r>
        <w:rPr>
          <w:rFonts w:ascii="仿宋" w:eastAsia="仿宋" w:hAnsi="仿宋" w:cs="仿宋" w:hint="eastAsia"/>
          <w:sz w:val="24"/>
        </w:rPr>
        <w:br/>
      </w:r>
      <w:r>
        <w:rPr>
          <w:rFonts w:ascii="仿宋" w:eastAsia="仿宋" w:hAnsi="仿宋" w:cs="仿宋"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6" w:history="1">
        <w:r>
          <w:rPr>
            <w:rFonts w:ascii="SimSun" w:eastAsia="SimSun" w:hAnsi="SimSun" w:cs="SimSun"/>
            <w:b/>
            <w:bCs/>
            <w:color w:val="0000EE"/>
            <w:kern w:val="0"/>
            <w:sz w:val="30"/>
            <w:szCs w:val="30"/>
            <w:u w:val="single" w:color="0000EE"/>
          </w:rPr>
          <w:t>https://d.book118.com/188055013012006035</w:t>
        </w:r>
      </w:hyperlink>
    </w:p>
    <w:p>
      <w:pPr>
        <w:spacing w:line="360" w:lineRule="auto"/>
        <w:ind w:firstLine="240" w:firstLineChars="100"/>
        <w:jc w:val="left"/>
        <w:rPr>
          <w:rFonts w:ascii="仿宋" w:eastAsia="仿宋" w:hAnsi="仿宋" w:cs="仿宋" w:hint="eastAsia"/>
          <w:sz w:val="24"/>
        </w:rPr>
      </w:pPr>
    </w:p>
    <w:sectPr>
      <w:headerReference w:type="default" r:id="rId57"/>
      <w:footerReference w:type="default" r:id="rId58"/>
      <w:type w:val="nextPage"/>
      <w:pgSz w:w="11906" w:h="16838"/>
      <w:pgMar w:top="1440" w:right="1800" w:bottom="1440" w:left="1800" w:header="851" w:footer="992" w:gutter="0"/>
      <w:pgNumType w:fmt="decimal" w:start="2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AFF" w:usb1="C0007841" w:usb2="00000009" w:usb3="00000000" w:csb0="4004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10002FF" w:usb1="4000ACFF" w:usb2="00000009" w:usb3="00000000" w:csb0="2000019F"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A00002EF" w:usb1="4000004B" w:usb2="00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ì.">
    <w:altName w:val="宋体"/>
    <w:panose1 w:val="00000000000000000000"/>
    <w:charset w:val="86"/>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39" o:spid="_x0000_s2049" type="#_x0000_t202" style="width:2in;height:2in;margin-top:0;margin-left:0;mso-position-horizontal:center;mso-position-horizontal-relative:margin;mso-wrap-style:none;position:absolute;z-index:251659264"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w10:wrap anchorx="margin"/>
        </v:shape>
      </w:pict>
    </w:r>
    <w:r>
      <w:pict>
        <v:shape id="文本框 3073" o:spid="_x0000_s2050" type="#_x0000_t202" style="width:9.05pt;height:10.35pt;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snapToGrid w:val="0"/>
                  <w:rPr>
                    <w:rFonts w:hint="eastAsia"/>
                    <w:sz w:val="18"/>
                  </w:rPr>
                </w:pP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left" w:pos="4707"/>
        <w:tab w:val="right" w:pos="8306"/>
      </w:tabs>
    </w:pPr>
    <w:r>
      <w:pict>
        <v:shapetype id="_x0000_t202" coordsize="21600,21600" o:spt="202" path="m,l,21600r21600,l21600,xe">
          <v:stroke joinstyle="miter"/>
          <v:path gradientshapeok="t" o:connecttype="rect"/>
        </v:shapetype>
        <v:shape id="文本框 40" o:spid="_x0000_s2051" type="#_x0000_t202" style="width:2in;height:2in;margin-top:0;margin-left:0;mso-position-horizontal:center;mso-position-horizontal-relative:margin;mso-wrap-style:none;position:absolute;z-index:251661312"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w10:wrap anchorx="margin"/>
        </v:shape>
      </w:pict>
    </w:r>
    <w:r>
      <w:pict>
        <v:shape id="文本框 3077" o:spid="_x0000_s2052" type="#_x0000_t202" style="width:9.05pt;height:10.35pt;margin-top:0;margin-left:0;mso-position-horizontal:center;mso-position-horizontal-relative:margin;mso-wrap-style:none;position:absolute;z-index:251660288" filled="f" stroked="f">
          <v:stroke linestyle="single"/>
          <o:lock v:ext="edit" aspectratio="f"/>
          <v:textbox style="mso-fit-shape-to-text:t" inset="0,0,0,0">
            <w:txbxContent>
              <w:p>
                <w:pPr>
                  <w:snapToGrid w:val="0"/>
                  <w:rPr>
                    <w:rFonts w:hint="eastAsia"/>
                    <w:sz w:val="18"/>
                  </w:rPr>
                </w:pPr>
              </w:p>
            </w:txbxContent>
          </v:textbox>
          <w10:wrap anchorx="margin"/>
        </v:shape>
      </w:pict>
    </w:r>
    <w:r>
      <w:rPr>
        <w:rFonts w:hint="eastAsia"/>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53" type="#_x0000_t202" style="width:2in;height:2in;margin-top:0;margin-left:0;mso-position-horizontal:center;mso-position-horizontal-relative:margin;mso-wrap-style:none;position:absolute;z-index:251662336"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54" type="#_x0000_t202" style="width:2in;height:2in;margin-top:0;margin-left:0;mso-position-horizontal:center;mso-position-horizontal-relative:margin;mso-wrap-style:none;position:absolute;z-index:251663360"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55" type="#_x0000_t202" style="width:2in;height:2in;margin-top:0;margin-left:0;mso-position-horizontal:center;mso-position-horizontal-relative:margin;mso-wrap-style:none;position:absolute;z-index:251664384"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56" type="#_x0000_t202" style="width:2in;height:2in;margin-top:0;margin-left:0;mso-position-horizontal:center;mso-position-horizontal-relative:margin;mso-wrap-style:none;position:absolute;z-index:251665408"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57" type="#_x0000_t202" style="width:2in;height:2in;margin-top:0;margin-left:0;mso-position-horizontal:center;mso-position-horizontal-relative:margin;mso-wrap-style:none;position:absolute;z-index:251666432"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58" type="#_x0000_t202" style="width:2in;height:2in;margin-top:0;margin-left:0;mso-position-horizontal:center;mso-position-horizontal-relative:margin;mso-wrap-style:none;position:absolute;z-index:251667456"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59" type="#_x0000_t202" style="width:2in;height:2in;margin-top:0;margin-left:0;mso-position-horizontal:center;mso-position-horizontal-relative:margin;mso-wrap-style:none;position:absolute;z-index:251668480"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60" type="#_x0000_t202" style="width:2in;height:2in;margin-top:0;margin-left:0;mso-position-horizontal:center;mso-position-horizontal-relative:margin;mso-wrap-style:none;position:absolute;z-index:251669504"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61" type="#_x0000_t202" style="width:2in;height:2in;margin-top:0;margin-left:0;mso-position-horizontal:center;mso-position-horizontal-relative:margin;mso-wrap-style:none;position:absolute;z-index:251670528"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62" type="#_x0000_t202" style="width:2in;height:2in;margin-top:0;margin-left:0;mso-position-horizontal:center;mso-position-horizontal-relative:margin;mso-wrap-style:none;position:absolute;z-index:251671552"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63" type="#_x0000_t202" style="width:2in;height:2in;margin-top:0;margin-left:0;mso-position-horizontal:center;mso-position-horizontal-relative:margin;mso-wrap-style:none;position:absolute;z-index:251672576"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64" type="#_x0000_t202" style="width:2in;height:2in;margin-top:0;margin-left:0;mso-position-horizontal:center;mso-position-horizontal-relative:margin;mso-wrap-style:none;position:absolute;z-index:251673600"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65" type="#_x0000_t202" style="width:2in;height:2in;margin-top:0;margin-left:0;mso-position-horizontal:center;mso-position-horizontal-relative:margin;mso-wrap-style:none;position:absolute;z-index:251674624"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66" type="#_x0000_t202" style="width:2in;height:2in;margin-top:0;margin-left:0;mso-position-horizontal:center;mso-position-horizontal-relative:margin;mso-wrap-style:none;position:absolute;z-index:251675648"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67" type="#_x0000_t202" style="width:2in;height:2in;margin-top:0;margin-left:0;mso-position-horizontal:center;mso-position-horizontal-relative:margin;mso-wrap-style:none;position:absolute;z-index:251676672"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68" type="#_x0000_t202" style="width:2in;height:2in;margin-top:0;margin-left:0;mso-position-horizontal:center;mso-position-horizontal-relative:margin;mso-wrap-style:none;position:absolute;z-index:251677696"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69" type="#_x0000_t202" style="width:2in;height:2in;margin-top:0;margin-left:0;mso-position-horizontal:center;mso-position-horizontal-relative:margin;mso-wrap-style:none;position:absolute;z-index:251678720"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70" type="#_x0000_t202" style="width:2in;height:2in;margin-top:0;margin-left:0;mso-position-horizontal:center;mso-position-horizontal-relative:margin;mso-wrap-style:none;position:absolute;z-index:251679744"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71" type="#_x0000_t202" style="width:2in;height:2in;margin-top:0;margin-left:0;mso-position-horizontal:center;mso-position-horizontal-relative:margin;mso-wrap-style:none;position:absolute;z-index:251680768"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72" type="#_x0000_t202" style="width:2in;height:2in;margin-top:0;margin-left:0;mso-position-horizontal:center;mso-position-horizontal-relative:margin;mso-wrap-style:none;position:absolute;z-index:251681792"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73" type="#_x0000_t202" style="width:2in;height:2in;margin-top:0;margin-left:0;mso-position-horizontal:center;mso-position-horizontal-relative:margin;mso-wrap-style:none;position:absolute;z-index:251682816"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74" type="#_x0000_t202" style="width:2in;height:2in;margin-top:0;margin-left:0;mso-position-horizontal:center;mso-position-horizontal-relative:margin;mso-wrap-style:none;position:absolute;z-index:251683840"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75" type="#_x0000_t202" style="width:2in;height:2in;margin-top:0;margin-left:0;mso-position-horizontal:center;mso-position-horizontal-relative:margin;mso-wrap-style:none;position:absolute;z-index:251684864"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w10:wrap anchorx="margin"/>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76" type="#_x0000_t202" style="width:2in;height:2in;margin-top:0;margin-left:0;mso-position-horizontal:center;mso-position-horizontal-relative:margin;mso-wrap-style:none;position:absolute;z-index:251685888"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right" w:pos="8306"/>
      </w:tabs>
      <w:jc w:val="center"/>
    </w:pPr>
    <w:r>
      <w:pict>
        <v:shapetype id="_x0000_t202" coordsize="21600,21600" o:spt="202" path="m,l,21600r21600,l21600,xe">
          <v:stroke joinstyle="miter"/>
          <v:path gradientshapeok="t" o:connecttype="rect"/>
        </v:shapetype>
        <v:shape id="文本框 41" o:spid="_x0000_s2077" type="#_x0000_t202" style="width:2in;height:2in;margin-top:0;margin-left:0;mso-position-horizontal:center;mso-position-horizontal-relative:margin;mso-wrap-style:none;position:absolute;z-index:251686912" filled="f" stroked="f" strokeweight="1.25pt">
          <v:fill o:detectmouseclick="t"/>
          <v:stroke linestyle="single"/>
          <o:lock v:ext="edit" aspectratio="f"/>
          <v:textbox style="mso-fit-shape-to-text:t" inset="0,0,0,0">
            <w:txbxContent>
              <w:p>
                <w:pPr>
                  <w:pStyle w:val="Footer"/>
                  <w:tabs>
                    <w:tab w:val="center" w:pos="4153"/>
                    <w:tab w:val="right"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8C108A7"/>
    <w:multiLevelType w:val="singleLevel"/>
    <w:tmpl w:val="98C108A7"/>
    <w:lvl w:ilvl="0">
      <w:start w:val="1"/>
      <w:numFmt w:val="chineseCounting"/>
      <w:suff w:val="nothing"/>
      <w:lvlText w:val="%1、"/>
      <w:lvlJc w:val="left"/>
      <w:rPr>
        <w:rFonts w:hint="eastAsia"/>
      </w:rPr>
    </w:lvl>
  </w:abstractNum>
  <w:abstractNum w:abstractNumId="1">
    <w:nsid w:val="BC7DBA89"/>
    <w:multiLevelType w:val="singleLevel"/>
    <w:tmpl w:val="BC7DBA89"/>
    <w:lvl w:ilvl="0">
      <w:start w:val="7"/>
      <w:numFmt w:val="decimal"/>
      <w:suff w:val="nothing"/>
      <w:lvlText w:val="%1、"/>
      <w:lvlJc w:val="left"/>
    </w:lvl>
  </w:abstractNum>
  <w:abstractNum w:abstractNumId="2">
    <w:nsid w:val="FA3F3162"/>
    <w:multiLevelType w:val="singleLevel"/>
    <w:tmpl w:val="FA3F3162"/>
    <w:lvl w:ilvl="0">
      <w:start w:val="8"/>
      <w:numFmt w:val="chineseCounting"/>
      <w:suff w:val="space"/>
      <w:lvlText w:val="第%1条"/>
      <w:lvlJc w:val="left"/>
      <w:rPr>
        <w:rFonts w:hint="eastAsia"/>
      </w:rPr>
    </w:lvl>
  </w:abstractNum>
  <w:abstractNum w:abstractNumId="3">
    <w:nsid w:val="FD2352D5"/>
    <w:multiLevelType w:val="singleLevel"/>
    <w:tmpl w:val="FD2352D5"/>
    <w:lvl w:ilvl="0">
      <w:start w:val="10"/>
      <w:numFmt w:val="decimal"/>
      <w:suff w:val="nothing"/>
      <w:lvlText w:val="%1、"/>
      <w:lvlJc w:val="left"/>
    </w:lvl>
  </w:abstractNum>
  <w:abstractNum w:abstractNumId="4">
    <w:nsid w:val="1DC721BF"/>
    <w:multiLevelType w:val="multilevel"/>
    <w:tmpl w:val="1DC721BF"/>
    <w:lvl w:ilvl="0">
      <w:start w:val="1"/>
      <w:numFmt w:val="decimal"/>
      <w:lvlText w:val="%1．"/>
      <w:lvlJc w:val="left"/>
      <w:pPr>
        <w:tabs>
          <w:tab w:val="num" w:pos="720"/>
        </w:tabs>
        <w:ind w:left="720" w:hanging="720"/>
      </w:pPr>
      <w:rPr>
        <w:rFonts w:hint="eastAsia"/>
      </w:rPr>
    </w:lvl>
    <w:lvl w:ilvl="1">
      <w:start w:val="2"/>
      <w:numFmt w:val="decimal"/>
      <w:lvlText w:val="%2."/>
      <w:lvlJc w:val="left"/>
      <w:pPr>
        <w:tabs>
          <w:tab w:val="num" w:pos="780"/>
        </w:tabs>
        <w:ind w:left="780" w:hanging="36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080"/>
        </w:tabs>
        <w:ind w:left="1080" w:hanging="36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32D589C3"/>
    <w:multiLevelType w:val="singleLevel"/>
    <w:tmpl w:val="32D589C3"/>
    <w:lvl w:ilvl="0">
      <w:start w:val="7"/>
      <w:numFmt w:val="chineseCounting"/>
      <w:suff w:val="space"/>
      <w:lvlText w:val="第%1条"/>
      <w:lvlJc w:val="left"/>
      <w:pPr>
        <w:ind w:left="481" w:firstLine="0"/>
      </w:pPr>
      <w:rPr>
        <w:rFonts w:hint="eastAsia"/>
      </w:rPr>
    </w:lvl>
  </w:abstractNum>
  <w:abstractNum w:abstractNumId="6">
    <w:nsid w:val="517C93C6"/>
    <w:multiLevelType w:val="singleLevel"/>
    <w:tmpl w:val="575CABA0"/>
    <w:lvl w:ilvl="0">
      <w:start w:val="6"/>
      <w:numFmt w:val="decimal"/>
      <w:suff w:val="nothing"/>
      <w:lvlText w:val="%1、"/>
      <w:lvlJc w:val="left"/>
    </w:lvl>
  </w:abstractNum>
  <w:abstractNum w:abstractNumId="7">
    <w:nsid w:val="53BE6FC0"/>
    <w:multiLevelType w:val="multilevel"/>
    <w:tmpl w:val="53BE6FC0"/>
    <w:lvl w:ilvl="0">
      <w:start w:val="1"/>
      <w:numFmt w:val="decimal"/>
      <w:lvlText w:val="%1. "/>
      <w:lvlJc w:val="left"/>
      <w:pPr>
        <w:tabs>
          <w:tab w:val="num" w:pos="839"/>
        </w:tabs>
        <w:ind w:left="839" w:hanging="419"/>
      </w:pPr>
      <w:rPr>
        <w:rFonts w:hint="eastAsia"/>
      </w:rPr>
    </w:lvl>
    <w:lvl w:ilvl="1">
      <w:start w:val="1"/>
      <w:numFmt w:val="upperLetter"/>
      <w:lvlText w:val="%2. "/>
      <w:lvlJc w:val="left"/>
      <w:pPr>
        <w:tabs>
          <w:tab w:val="num" w:pos="1049"/>
        </w:tabs>
        <w:ind w:left="1049" w:hanging="420"/>
      </w:pPr>
      <w:rPr>
        <w:rFonts w:hint="eastAsia"/>
      </w:rPr>
    </w:lvl>
    <w:lvl w:ilvl="2">
      <w:start w:val="1"/>
      <w:numFmt w:val="lowerLetter"/>
      <w:lvlText w:val="%3. "/>
      <w:lvlJc w:val="left"/>
      <w:pPr>
        <w:tabs>
          <w:tab w:val="num" w:pos="1259"/>
        </w:tabs>
        <w:ind w:left="1259" w:hanging="420"/>
      </w:pPr>
      <w:rPr>
        <w:rFonts w:hint="eastAsia"/>
      </w:rPr>
    </w:lvl>
    <w:lvl w:ilvl="3">
      <w:start w:val="1"/>
      <w:numFmt w:val="lowerLetter"/>
      <w:lvlText w:val="%4) "/>
      <w:lvlJc w:val="left"/>
      <w:pPr>
        <w:tabs>
          <w:tab w:val="num" w:pos="1469"/>
        </w:tabs>
        <w:ind w:left="1469" w:hanging="420"/>
      </w:pPr>
      <w:rPr>
        <w:rFonts w:hint="eastAsia"/>
      </w:rPr>
    </w:lvl>
    <w:lvl w:ilvl="4">
      <w:start w:val="1"/>
      <w:numFmt w:val="none"/>
      <w:suff w:val="nothing"/>
      <w:lvlJc w:val="left"/>
      <w:pPr>
        <w:ind w:left="1259" w:firstLine="0"/>
      </w:pPr>
      <w:rPr>
        <w:rFonts w:hint="eastAsia"/>
      </w:rPr>
    </w:lvl>
    <w:lvl w:ilvl="5">
      <w:start w:val="1"/>
      <w:numFmt w:val="none"/>
      <w:suff w:val="nothing"/>
      <w:lvlJc w:val="left"/>
      <w:pPr>
        <w:ind w:left="1259" w:firstLine="0"/>
      </w:pPr>
      <w:rPr>
        <w:rFonts w:hint="eastAsia"/>
      </w:rPr>
    </w:lvl>
    <w:lvl w:ilvl="6">
      <w:start w:val="1"/>
      <w:numFmt w:val="none"/>
      <w:suff w:val="nothing"/>
      <w:lvlJc w:val="left"/>
      <w:pPr>
        <w:ind w:left="1259" w:firstLine="0"/>
      </w:pPr>
      <w:rPr>
        <w:rFonts w:hint="eastAsia"/>
      </w:rPr>
    </w:lvl>
    <w:lvl w:ilvl="7">
      <w:start w:val="1"/>
      <w:numFmt w:val="none"/>
      <w:suff w:val="nothing"/>
      <w:lvlJc w:val="left"/>
      <w:pPr>
        <w:ind w:left="1259" w:firstLine="0"/>
      </w:pPr>
      <w:rPr>
        <w:rFonts w:hint="eastAsia"/>
      </w:rPr>
    </w:lvl>
    <w:lvl w:ilvl="8">
      <w:start w:val="1"/>
      <w:numFmt w:val="none"/>
      <w:suff w:val="nothing"/>
      <w:lvlJc w:val="left"/>
      <w:pPr>
        <w:ind w:left="1259" w:firstLine="0"/>
      </w:pPr>
      <w:rPr>
        <w:rFonts w:hint="eastAsia"/>
      </w:rPr>
    </w:lvl>
  </w:abstractNum>
  <w:abstractNum w:abstractNumId="8">
    <w:nsid w:val="56563655"/>
    <w:multiLevelType w:val="singleLevel"/>
    <w:tmpl w:val="56563655"/>
    <w:lvl w:ilvl="0">
      <w:start w:val="5"/>
      <w:numFmt w:val="chineseCounting"/>
      <w:suff w:val="space"/>
      <w:lvlText w:val="第%1部分"/>
      <w:lvlJc w:val="left"/>
      <w:rPr>
        <w:rFonts w:hint="eastAsia"/>
      </w:rPr>
    </w:lvl>
  </w:abstractNum>
  <w:abstractNum w:abstractNumId="9">
    <w:nsid w:val="569C8C25"/>
    <w:multiLevelType w:val="singleLevel"/>
    <w:tmpl w:val="569C8C25"/>
    <w:lvl w:ilvl="0">
      <w:start w:val="1"/>
      <w:numFmt w:val="chineseCounting"/>
      <w:suff w:val="nothing"/>
      <w:lvlText w:val="%1、"/>
      <w:lvlJc w:val="left"/>
    </w:lvl>
  </w:abstractNum>
  <w:abstractNum w:abstractNumId="10">
    <w:nsid w:val="56E626ED"/>
    <w:multiLevelType w:val="singleLevel"/>
    <w:tmpl w:val="56E626ED"/>
    <w:lvl w:ilvl="0">
      <w:start w:val="2"/>
      <w:numFmt w:val="chineseCounting"/>
      <w:suff w:val="nothing"/>
      <w:lvlText w:val="%1、"/>
      <w:lvlJc w:val="left"/>
    </w:lvl>
  </w:abstractNum>
  <w:abstractNum w:abstractNumId="11">
    <w:nsid w:val="573D1095"/>
    <w:multiLevelType w:val="singleLevel"/>
    <w:tmpl w:val="573D1095"/>
    <w:lvl w:ilvl="0">
      <w:start w:val="4"/>
      <w:numFmt w:val="chineseCounting"/>
      <w:suff w:val="space"/>
      <w:lvlText w:val="%1、"/>
      <w:lvlJc w:val="left"/>
    </w:lvl>
  </w:abstractNum>
  <w:abstractNum w:abstractNumId="12">
    <w:nsid w:val="575CABA0"/>
    <w:multiLevelType w:val="singleLevel"/>
    <w:tmpl w:val="575CABA0"/>
    <w:lvl w:ilvl="0">
      <w:start w:val="6"/>
      <w:numFmt w:val="decimal"/>
      <w:suff w:val="nothing"/>
      <w:lvlText w:val="%1、"/>
      <w:lvlJc w:val="left"/>
    </w:lvl>
  </w:abstractNum>
  <w:abstractNum w:abstractNumId="13">
    <w:nsid w:val="57908261"/>
    <w:multiLevelType w:val="singleLevel"/>
    <w:tmpl w:val="57908261"/>
    <w:lvl w:ilvl="0">
      <w:start w:val="2"/>
      <w:numFmt w:val="decimal"/>
      <w:suff w:val="nothing"/>
      <w:lvlText w:val="%1、"/>
      <w:lvlJc w:val="left"/>
    </w:lvl>
  </w:abstractNum>
  <w:abstractNum w:abstractNumId="14">
    <w:nsid w:val="59A17A17"/>
    <w:multiLevelType w:val="singleLevel"/>
    <w:tmpl w:val="BC7DBA89"/>
    <w:lvl w:ilvl="0">
      <w:start w:val="7"/>
      <w:numFmt w:val="decimal"/>
      <w:suff w:val="nothing"/>
      <w:lvlText w:val="%1、"/>
      <w:lvlJc w:val="left"/>
    </w:lvl>
  </w:abstractNum>
  <w:abstractNum w:abstractNumId="15">
    <w:nsid w:val="5B925EAA"/>
    <w:multiLevelType w:val="singleLevel"/>
    <w:tmpl w:val="569C8C25"/>
    <w:lvl w:ilvl="0">
      <w:start w:val="1"/>
      <w:numFmt w:val="chineseCounting"/>
      <w:suff w:val="nothing"/>
      <w:lvlText w:val="%1、"/>
      <w:lvlJc w:val="left"/>
    </w:lvl>
  </w:abstractNum>
  <w:abstractNum w:abstractNumId="16">
    <w:nsid w:val="6B5FF8CE"/>
    <w:multiLevelType w:val="singleLevel"/>
    <w:tmpl w:val="6B5FF8CE"/>
    <w:lvl w:ilvl="0">
      <w:start w:val="1"/>
      <w:numFmt w:val="decimal"/>
      <w:suff w:val="space"/>
      <w:lvlText w:val="%1."/>
      <w:lvlJc w:val="left"/>
    </w:lvl>
  </w:abstractNum>
  <w:num w:numId="1">
    <w:abstractNumId w:val="7"/>
  </w:num>
  <w:num w:numId="2">
    <w:abstractNumId w:val="0"/>
  </w:num>
  <w:num w:numId="3">
    <w:abstractNumId w:val="9"/>
  </w:num>
  <w:num w:numId="4">
    <w:abstractNumId w:val="10"/>
  </w:num>
  <w:num w:numId="5">
    <w:abstractNumId w:val="11"/>
  </w:num>
  <w:num w:numId="6">
    <w:abstractNumId w:val="1"/>
  </w:num>
  <w:num w:numId="7">
    <w:abstractNumId w:val="3"/>
  </w:num>
  <w:num w:numId="8">
    <w:abstractNumId w:val="12"/>
  </w:num>
  <w:num w:numId="9">
    <w:abstractNumId w:val="13"/>
  </w:num>
  <w:num w:numId="10">
    <w:abstractNumId w:val="5"/>
  </w:num>
  <w:num w:numId="11">
    <w:abstractNumId w:val="2"/>
  </w:num>
  <w:num w:numId="12">
    <w:abstractNumId w:val="8"/>
  </w:num>
  <w:num w:numId="13">
    <w:abstractNumId w:val="16"/>
  </w:num>
  <w:num w:numId="14">
    <w:abstractNumId w:val="4"/>
  </w:num>
  <w:num w:numId="15">
    <w:abstractNumId w:val="15"/>
  </w:num>
  <w:num w:numId="16">
    <w:abstractNumId w:val="14"/>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HorizontalSpacing w:val="107"/>
  <w:drawingGridVerticalSpacing w:val="159"/>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26C8"/>
    <w:rsid w:val="00005416"/>
    <w:rsid w:val="00006F93"/>
    <w:rsid w:val="00016D93"/>
    <w:rsid w:val="00017439"/>
    <w:rsid w:val="000208A0"/>
    <w:rsid w:val="00021383"/>
    <w:rsid w:val="00021D5E"/>
    <w:rsid w:val="00025F39"/>
    <w:rsid w:val="000333C0"/>
    <w:rsid w:val="00034C8F"/>
    <w:rsid w:val="000356C0"/>
    <w:rsid w:val="00036A4A"/>
    <w:rsid w:val="00036A69"/>
    <w:rsid w:val="00037294"/>
    <w:rsid w:val="00044BF5"/>
    <w:rsid w:val="000461EF"/>
    <w:rsid w:val="00050510"/>
    <w:rsid w:val="0005491A"/>
    <w:rsid w:val="00057901"/>
    <w:rsid w:val="00057F1C"/>
    <w:rsid w:val="000629C6"/>
    <w:rsid w:val="00063AF7"/>
    <w:rsid w:val="00064021"/>
    <w:rsid w:val="00067499"/>
    <w:rsid w:val="00067C02"/>
    <w:rsid w:val="000744FC"/>
    <w:rsid w:val="00077430"/>
    <w:rsid w:val="00080001"/>
    <w:rsid w:val="00082360"/>
    <w:rsid w:val="00082A6A"/>
    <w:rsid w:val="000839B8"/>
    <w:rsid w:val="00086879"/>
    <w:rsid w:val="00093390"/>
    <w:rsid w:val="000A6C7E"/>
    <w:rsid w:val="000B0891"/>
    <w:rsid w:val="000B1083"/>
    <w:rsid w:val="000B4652"/>
    <w:rsid w:val="000B5EA1"/>
    <w:rsid w:val="000B63EC"/>
    <w:rsid w:val="000B6ACC"/>
    <w:rsid w:val="000C2FEC"/>
    <w:rsid w:val="000C4BF8"/>
    <w:rsid w:val="000C57EF"/>
    <w:rsid w:val="000D1764"/>
    <w:rsid w:val="000D5418"/>
    <w:rsid w:val="000D6F53"/>
    <w:rsid w:val="000E1D2B"/>
    <w:rsid w:val="000E1F6B"/>
    <w:rsid w:val="000E2AD3"/>
    <w:rsid w:val="000E73F4"/>
    <w:rsid w:val="000F182D"/>
    <w:rsid w:val="000F3B96"/>
    <w:rsid w:val="000F4290"/>
    <w:rsid w:val="000F4306"/>
    <w:rsid w:val="000F4C5F"/>
    <w:rsid w:val="000F66AA"/>
    <w:rsid w:val="00106F7F"/>
    <w:rsid w:val="00112B14"/>
    <w:rsid w:val="00120BDC"/>
    <w:rsid w:val="00121CAD"/>
    <w:rsid w:val="001238EB"/>
    <w:rsid w:val="00126356"/>
    <w:rsid w:val="0013460C"/>
    <w:rsid w:val="0013481C"/>
    <w:rsid w:val="0013577D"/>
    <w:rsid w:val="00137E99"/>
    <w:rsid w:val="00142119"/>
    <w:rsid w:val="00147C51"/>
    <w:rsid w:val="00157844"/>
    <w:rsid w:val="00157A49"/>
    <w:rsid w:val="00172AF3"/>
    <w:rsid w:val="00183736"/>
    <w:rsid w:val="001870B3"/>
    <w:rsid w:val="0019491A"/>
    <w:rsid w:val="001966BA"/>
    <w:rsid w:val="00196AD1"/>
    <w:rsid w:val="001A0722"/>
    <w:rsid w:val="001A3EF2"/>
    <w:rsid w:val="001A4281"/>
    <w:rsid w:val="001A4B9B"/>
    <w:rsid w:val="001A6899"/>
    <w:rsid w:val="001A78C9"/>
    <w:rsid w:val="001B00A4"/>
    <w:rsid w:val="001B0216"/>
    <w:rsid w:val="001B041C"/>
    <w:rsid w:val="001B3BD4"/>
    <w:rsid w:val="001B549C"/>
    <w:rsid w:val="001C062F"/>
    <w:rsid w:val="001C2E98"/>
    <w:rsid w:val="001D0186"/>
    <w:rsid w:val="001D0411"/>
    <w:rsid w:val="001D1A5A"/>
    <w:rsid w:val="001D2627"/>
    <w:rsid w:val="001D589D"/>
    <w:rsid w:val="001E0B2D"/>
    <w:rsid w:val="001E205B"/>
    <w:rsid w:val="001E31D5"/>
    <w:rsid w:val="001E3DD2"/>
    <w:rsid w:val="001E49B0"/>
    <w:rsid w:val="001E772C"/>
    <w:rsid w:val="001F1979"/>
    <w:rsid w:val="001F7713"/>
    <w:rsid w:val="001F7B6B"/>
    <w:rsid w:val="0020167A"/>
    <w:rsid w:val="00201C43"/>
    <w:rsid w:val="00202C43"/>
    <w:rsid w:val="002045FA"/>
    <w:rsid w:val="00204B67"/>
    <w:rsid w:val="002053D7"/>
    <w:rsid w:val="00206BDB"/>
    <w:rsid w:val="00220E27"/>
    <w:rsid w:val="00223245"/>
    <w:rsid w:val="0022356C"/>
    <w:rsid w:val="0022672A"/>
    <w:rsid w:val="0022757F"/>
    <w:rsid w:val="00227AF4"/>
    <w:rsid w:val="00230ECA"/>
    <w:rsid w:val="002331A4"/>
    <w:rsid w:val="002355F5"/>
    <w:rsid w:val="002403B6"/>
    <w:rsid w:val="00242202"/>
    <w:rsid w:val="00242993"/>
    <w:rsid w:val="0024582C"/>
    <w:rsid w:val="0024786B"/>
    <w:rsid w:val="00253C43"/>
    <w:rsid w:val="0025507C"/>
    <w:rsid w:val="00260CC0"/>
    <w:rsid w:val="00260EA2"/>
    <w:rsid w:val="0026222A"/>
    <w:rsid w:val="002719C2"/>
    <w:rsid w:val="00271CAF"/>
    <w:rsid w:val="00275E90"/>
    <w:rsid w:val="002774E1"/>
    <w:rsid w:val="00280763"/>
    <w:rsid w:val="00282127"/>
    <w:rsid w:val="00284D42"/>
    <w:rsid w:val="00285FFC"/>
    <w:rsid w:val="00287349"/>
    <w:rsid w:val="002921F3"/>
    <w:rsid w:val="0029301E"/>
    <w:rsid w:val="002A1E1D"/>
    <w:rsid w:val="002A7EEA"/>
    <w:rsid w:val="002B29E9"/>
    <w:rsid w:val="002B4770"/>
    <w:rsid w:val="002B61A7"/>
    <w:rsid w:val="002B7F15"/>
    <w:rsid w:val="002C37E4"/>
    <w:rsid w:val="002C7287"/>
    <w:rsid w:val="002D18BF"/>
    <w:rsid w:val="002D3DC7"/>
    <w:rsid w:val="002D5948"/>
    <w:rsid w:val="002D7BF8"/>
    <w:rsid w:val="002F09F9"/>
    <w:rsid w:val="002F1D47"/>
    <w:rsid w:val="002F48B5"/>
    <w:rsid w:val="002F63BA"/>
    <w:rsid w:val="00305B47"/>
    <w:rsid w:val="00305E8E"/>
    <w:rsid w:val="00306149"/>
    <w:rsid w:val="00306883"/>
    <w:rsid w:val="0031223D"/>
    <w:rsid w:val="00313108"/>
    <w:rsid w:val="003141C7"/>
    <w:rsid w:val="00320454"/>
    <w:rsid w:val="00322C56"/>
    <w:rsid w:val="00331731"/>
    <w:rsid w:val="00336A79"/>
    <w:rsid w:val="00336DF1"/>
    <w:rsid w:val="0034284E"/>
    <w:rsid w:val="00351E4F"/>
    <w:rsid w:val="003615D7"/>
    <w:rsid w:val="003632DA"/>
    <w:rsid w:val="0036412E"/>
    <w:rsid w:val="0037258D"/>
    <w:rsid w:val="00373A03"/>
    <w:rsid w:val="00383FC3"/>
    <w:rsid w:val="00384AC4"/>
    <w:rsid w:val="0038578B"/>
    <w:rsid w:val="00387F7A"/>
    <w:rsid w:val="00393FF1"/>
    <w:rsid w:val="00395D6A"/>
    <w:rsid w:val="003A12D0"/>
    <w:rsid w:val="003A41E3"/>
    <w:rsid w:val="003A6400"/>
    <w:rsid w:val="003A73C7"/>
    <w:rsid w:val="003A7B76"/>
    <w:rsid w:val="003B07F8"/>
    <w:rsid w:val="003B08EE"/>
    <w:rsid w:val="003B67D8"/>
    <w:rsid w:val="003B6963"/>
    <w:rsid w:val="003B6D0B"/>
    <w:rsid w:val="003B7387"/>
    <w:rsid w:val="003C1267"/>
    <w:rsid w:val="003C25CF"/>
    <w:rsid w:val="003D1747"/>
    <w:rsid w:val="003E16BE"/>
    <w:rsid w:val="003E5F2D"/>
    <w:rsid w:val="003E6878"/>
    <w:rsid w:val="003E6E6A"/>
    <w:rsid w:val="003F0E79"/>
    <w:rsid w:val="003F27E9"/>
    <w:rsid w:val="003F4EA9"/>
    <w:rsid w:val="003F657A"/>
    <w:rsid w:val="00400B89"/>
    <w:rsid w:val="00401C93"/>
    <w:rsid w:val="004021D9"/>
    <w:rsid w:val="004027B4"/>
    <w:rsid w:val="00406E8D"/>
    <w:rsid w:val="004144B3"/>
    <w:rsid w:val="0041472D"/>
    <w:rsid w:val="00415C35"/>
    <w:rsid w:val="00415D16"/>
    <w:rsid w:val="004169D0"/>
    <w:rsid w:val="004315EE"/>
    <w:rsid w:val="00432C6E"/>
    <w:rsid w:val="00432EA6"/>
    <w:rsid w:val="0043592B"/>
    <w:rsid w:val="004365B5"/>
    <w:rsid w:val="00437BF3"/>
    <w:rsid w:val="0045031C"/>
    <w:rsid w:val="00453D31"/>
    <w:rsid w:val="0045782A"/>
    <w:rsid w:val="004609F9"/>
    <w:rsid w:val="00463A04"/>
    <w:rsid w:val="004666C3"/>
    <w:rsid w:val="00486B00"/>
    <w:rsid w:val="00487171"/>
    <w:rsid w:val="00492C4E"/>
    <w:rsid w:val="00492F7D"/>
    <w:rsid w:val="0049511B"/>
    <w:rsid w:val="004A1218"/>
    <w:rsid w:val="004A214E"/>
    <w:rsid w:val="004A43CA"/>
    <w:rsid w:val="004A7EB7"/>
    <w:rsid w:val="004B1F53"/>
    <w:rsid w:val="004C45B7"/>
    <w:rsid w:val="004C45C9"/>
    <w:rsid w:val="004D15CE"/>
    <w:rsid w:val="004D39A4"/>
    <w:rsid w:val="004D5693"/>
    <w:rsid w:val="004E0493"/>
    <w:rsid w:val="004E08C5"/>
    <w:rsid w:val="004E0AAE"/>
    <w:rsid w:val="004E0E76"/>
    <w:rsid w:val="004E4307"/>
    <w:rsid w:val="004E7A56"/>
    <w:rsid w:val="004E7AF4"/>
    <w:rsid w:val="004F1C5B"/>
    <w:rsid w:val="004F47F7"/>
    <w:rsid w:val="004F7883"/>
    <w:rsid w:val="00501CDB"/>
    <w:rsid w:val="00501FD2"/>
    <w:rsid w:val="00502390"/>
    <w:rsid w:val="0050273E"/>
    <w:rsid w:val="00503474"/>
    <w:rsid w:val="00507C2A"/>
    <w:rsid w:val="00510C8F"/>
    <w:rsid w:val="00515E85"/>
    <w:rsid w:val="005212B4"/>
    <w:rsid w:val="005255C7"/>
    <w:rsid w:val="00526439"/>
    <w:rsid w:val="0052786C"/>
    <w:rsid w:val="00531BE7"/>
    <w:rsid w:val="00533B22"/>
    <w:rsid w:val="0053571E"/>
    <w:rsid w:val="00555153"/>
    <w:rsid w:val="00562EA0"/>
    <w:rsid w:val="00563215"/>
    <w:rsid w:val="00563756"/>
    <w:rsid w:val="00567EF2"/>
    <w:rsid w:val="00570695"/>
    <w:rsid w:val="00574710"/>
    <w:rsid w:val="00575E22"/>
    <w:rsid w:val="00577EC3"/>
    <w:rsid w:val="00583965"/>
    <w:rsid w:val="00583DB9"/>
    <w:rsid w:val="005875B9"/>
    <w:rsid w:val="005922E2"/>
    <w:rsid w:val="00593A1D"/>
    <w:rsid w:val="005A0585"/>
    <w:rsid w:val="005A19B1"/>
    <w:rsid w:val="005A3650"/>
    <w:rsid w:val="005A4BA4"/>
    <w:rsid w:val="005A6FAC"/>
    <w:rsid w:val="005B2F52"/>
    <w:rsid w:val="005C1CC5"/>
    <w:rsid w:val="005C2B0E"/>
    <w:rsid w:val="005C650A"/>
    <w:rsid w:val="005C77A1"/>
    <w:rsid w:val="005C7C98"/>
    <w:rsid w:val="005D04BA"/>
    <w:rsid w:val="005D2E45"/>
    <w:rsid w:val="005D3CB5"/>
    <w:rsid w:val="005D5FB8"/>
    <w:rsid w:val="005E7DDC"/>
    <w:rsid w:val="005F3187"/>
    <w:rsid w:val="005F3F14"/>
    <w:rsid w:val="005F7C83"/>
    <w:rsid w:val="0060055C"/>
    <w:rsid w:val="006053D9"/>
    <w:rsid w:val="00605D4A"/>
    <w:rsid w:val="00605F76"/>
    <w:rsid w:val="00606CEA"/>
    <w:rsid w:val="006124D3"/>
    <w:rsid w:val="00617298"/>
    <w:rsid w:val="00617A45"/>
    <w:rsid w:val="00620E0F"/>
    <w:rsid w:val="006210BE"/>
    <w:rsid w:val="006249E5"/>
    <w:rsid w:val="00626044"/>
    <w:rsid w:val="00626645"/>
    <w:rsid w:val="00634070"/>
    <w:rsid w:val="006365AF"/>
    <w:rsid w:val="006405BD"/>
    <w:rsid w:val="00644C2B"/>
    <w:rsid w:val="006551F6"/>
    <w:rsid w:val="00656736"/>
    <w:rsid w:val="006603BD"/>
    <w:rsid w:val="00662944"/>
    <w:rsid w:val="00665B55"/>
    <w:rsid w:val="00670896"/>
    <w:rsid w:val="00672481"/>
    <w:rsid w:val="0067474D"/>
    <w:rsid w:val="00675BD7"/>
    <w:rsid w:val="00676F5F"/>
    <w:rsid w:val="0069289B"/>
    <w:rsid w:val="00693DC8"/>
    <w:rsid w:val="006A4528"/>
    <w:rsid w:val="006A7831"/>
    <w:rsid w:val="006C0956"/>
    <w:rsid w:val="006C0C88"/>
    <w:rsid w:val="006C1722"/>
    <w:rsid w:val="006C2A82"/>
    <w:rsid w:val="006C3957"/>
    <w:rsid w:val="006C4F4F"/>
    <w:rsid w:val="006C53B6"/>
    <w:rsid w:val="006D2F14"/>
    <w:rsid w:val="006D5AB4"/>
    <w:rsid w:val="006D5F4C"/>
    <w:rsid w:val="006E04F4"/>
    <w:rsid w:val="006E060B"/>
    <w:rsid w:val="006E0C90"/>
    <w:rsid w:val="006E27C5"/>
    <w:rsid w:val="006E2E88"/>
    <w:rsid w:val="006E5D83"/>
    <w:rsid w:val="006F5DDA"/>
    <w:rsid w:val="006F60F3"/>
    <w:rsid w:val="006F6CE8"/>
    <w:rsid w:val="00700EBC"/>
    <w:rsid w:val="00701255"/>
    <w:rsid w:val="0070318C"/>
    <w:rsid w:val="0070731D"/>
    <w:rsid w:val="00712AB3"/>
    <w:rsid w:val="007130FA"/>
    <w:rsid w:val="0072022A"/>
    <w:rsid w:val="00721A2C"/>
    <w:rsid w:val="007224E5"/>
    <w:rsid w:val="00723B5E"/>
    <w:rsid w:val="00733017"/>
    <w:rsid w:val="0073328D"/>
    <w:rsid w:val="00734EA7"/>
    <w:rsid w:val="00735D3C"/>
    <w:rsid w:val="007418A2"/>
    <w:rsid w:val="00746936"/>
    <w:rsid w:val="00747206"/>
    <w:rsid w:val="007510C1"/>
    <w:rsid w:val="00752F4F"/>
    <w:rsid w:val="007577C2"/>
    <w:rsid w:val="007664D6"/>
    <w:rsid w:val="007665D4"/>
    <w:rsid w:val="00770051"/>
    <w:rsid w:val="00770EE7"/>
    <w:rsid w:val="00773949"/>
    <w:rsid w:val="007770DF"/>
    <w:rsid w:val="007774D1"/>
    <w:rsid w:val="00777793"/>
    <w:rsid w:val="007819E2"/>
    <w:rsid w:val="007863BC"/>
    <w:rsid w:val="00793585"/>
    <w:rsid w:val="0079374A"/>
    <w:rsid w:val="0079631D"/>
    <w:rsid w:val="007A2F1C"/>
    <w:rsid w:val="007A3AB0"/>
    <w:rsid w:val="007A3E62"/>
    <w:rsid w:val="007A4900"/>
    <w:rsid w:val="007A4913"/>
    <w:rsid w:val="007B326A"/>
    <w:rsid w:val="007B688C"/>
    <w:rsid w:val="007B752E"/>
    <w:rsid w:val="007C118B"/>
    <w:rsid w:val="007C3A17"/>
    <w:rsid w:val="007C5230"/>
    <w:rsid w:val="007C6D7A"/>
    <w:rsid w:val="007D0181"/>
    <w:rsid w:val="007D6F72"/>
    <w:rsid w:val="007E3406"/>
    <w:rsid w:val="007E6287"/>
    <w:rsid w:val="007E6E90"/>
    <w:rsid w:val="007F4DA8"/>
    <w:rsid w:val="007F58A4"/>
    <w:rsid w:val="007F5A5F"/>
    <w:rsid w:val="007F7179"/>
    <w:rsid w:val="00801662"/>
    <w:rsid w:val="00801CA7"/>
    <w:rsid w:val="008047FC"/>
    <w:rsid w:val="00811BC4"/>
    <w:rsid w:val="00811DA5"/>
    <w:rsid w:val="00812EB7"/>
    <w:rsid w:val="00813AE1"/>
    <w:rsid w:val="008144F4"/>
    <w:rsid w:val="00815217"/>
    <w:rsid w:val="0082264D"/>
    <w:rsid w:val="00823F51"/>
    <w:rsid w:val="008242AA"/>
    <w:rsid w:val="008311AA"/>
    <w:rsid w:val="0083213D"/>
    <w:rsid w:val="00834400"/>
    <w:rsid w:val="008344F4"/>
    <w:rsid w:val="008375D9"/>
    <w:rsid w:val="0084141E"/>
    <w:rsid w:val="00843B5D"/>
    <w:rsid w:val="008477C0"/>
    <w:rsid w:val="008515E6"/>
    <w:rsid w:val="008546C4"/>
    <w:rsid w:val="008549E9"/>
    <w:rsid w:val="00855636"/>
    <w:rsid w:val="0086159D"/>
    <w:rsid w:val="00864BFD"/>
    <w:rsid w:val="00877138"/>
    <w:rsid w:val="0087769D"/>
    <w:rsid w:val="008801E6"/>
    <w:rsid w:val="00881858"/>
    <w:rsid w:val="008818D5"/>
    <w:rsid w:val="008836BB"/>
    <w:rsid w:val="00884395"/>
    <w:rsid w:val="00887C99"/>
    <w:rsid w:val="00892B31"/>
    <w:rsid w:val="008A1338"/>
    <w:rsid w:val="008A3D3A"/>
    <w:rsid w:val="008A4757"/>
    <w:rsid w:val="008A4D8F"/>
    <w:rsid w:val="008A580E"/>
    <w:rsid w:val="008A7826"/>
    <w:rsid w:val="008B3C70"/>
    <w:rsid w:val="008B798D"/>
    <w:rsid w:val="008C6171"/>
    <w:rsid w:val="008D338D"/>
    <w:rsid w:val="008D37C4"/>
    <w:rsid w:val="008D567A"/>
    <w:rsid w:val="008D704D"/>
    <w:rsid w:val="008D7062"/>
    <w:rsid w:val="008E527B"/>
    <w:rsid w:val="008E6A45"/>
    <w:rsid w:val="008E79DF"/>
    <w:rsid w:val="008F208E"/>
    <w:rsid w:val="00903991"/>
    <w:rsid w:val="009060EC"/>
    <w:rsid w:val="009107ED"/>
    <w:rsid w:val="00914F6A"/>
    <w:rsid w:val="0091670B"/>
    <w:rsid w:val="00916B2A"/>
    <w:rsid w:val="00923F39"/>
    <w:rsid w:val="00924E3E"/>
    <w:rsid w:val="00927E39"/>
    <w:rsid w:val="0093354C"/>
    <w:rsid w:val="00934B32"/>
    <w:rsid w:val="009405B4"/>
    <w:rsid w:val="009436F8"/>
    <w:rsid w:val="00944A66"/>
    <w:rsid w:val="00945F0C"/>
    <w:rsid w:val="00946473"/>
    <w:rsid w:val="00952A65"/>
    <w:rsid w:val="00955C45"/>
    <w:rsid w:val="00956A4B"/>
    <w:rsid w:val="0096540B"/>
    <w:rsid w:val="0097230C"/>
    <w:rsid w:val="009741A0"/>
    <w:rsid w:val="00980ACA"/>
    <w:rsid w:val="00981BE9"/>
    <w:rsid w:val="00982E58"/>
    <w:rsid w:val="009831B1"/>
    <w:rsid w:val="009837E0"/>
    <w:rsid w:val="00984C5A"/>
    <w:rsid w:val="009879FC"/>
    <w:rsid w:val="00991DE9"/>
    <w:rsid w:val="00995A9E"/>
    <w:rsid w:val="0099751A"/>
    <w:rsid w:val="009A04AE"/>
    <w:rsid w:val="009A131A"/>
    <w:rsid w:val="009A2502"/>
    <w:rsid w:val="009A27DE"/>
    <w:rsid w:val="009A2BBC"/>
    <w:rsid w:val="009A4F5B"/>
    <w:rsid w:val="009B092E"/>
    <w:rsid w:val="009B12D0"/>
    <w:rsid w:val="009B5739"/>
    <w:rsid w:val="009B5C2B"/>
    <w:rsid w:val="009C37A5"/>
    <w:rsid w:val="009C3944"/>
    <w:rsid w:val="009C6CB8"/>
    <w:rsid w:val="009D5DE8"/>
    <w:rsid w:val="009D77D4"/>
    <w:rsid w:val="009E05DC"/>
    <w:rsid w:val="009E1096"/>
    <w:rsid w:val="009F0B07"/>
    <w:rsid w:val="009F146C"/>
    <w:rsid w:val="009F154A"/>
    <w:rsid w:val="009F5EF3"/>
    <w:rsid w:val="009F6164"/>
    <w:rsid w:val="009F69DB"/>
    <w:rsid w:val="00A02C06"/>
    <w:rsid w:val="00A03394"/>
    <w:rsid w:val="00A043A2"/>
    <w:rsid w:val="00A10DE3"/>
    <w:rsid w:val="00A142F9"/>
    <w:rsid w:val="00A14498"/>
    <w:rsid w:val="00A14890"/>
    <w:rsid w:val="00A1647E"/>
    <w:rsid w:val="00A230AF"/>
    <w:rsid w:val="00A24A87"/>
    <w:rsid w:val="00A319B4"/>
    <w:rsid w:val="00A31A41"/>
    <w:rsid w:val="00A322FB"/>
    <w:rsid w:val="00A34B0A"/>
    <w:rsid w:val="00A435A0"/>
    <w:rsid w:val="00A44D2D"/>
    <w:rsid w:val="00A53301"/>
    <w:rsid w:val="00A5579B"/>
    <w:rsid w:val="00A635E6"/>
    <w:rsid w:val="00A6469C"/>
    <w:rsid w:val="00A66BD7"/>
    <w:rsid w:val="00A71556"/>
    <w:rsid w:val="00A72D9F"/>
    <w:rsid w:val="00A7378B"/>
    <w:rsid w:val="00A7384B"/>
    <w:rsid w:val="00A753AE"/>
    <w:rsid w:val="00A76772"/>
    <w:rsid w:val="00A77FE6"/>
    <w:rsid w:val="00A80497"/>
    <w:rsid w:val="00A82242"/>
    <w:rsid w:val="00A84C70"/>
    <w:rsid w:val="00A922CC"/>
    <w:rsid w:val="00A92C43"/>
    <w:rsid w:val="00A95553"/>
    <w:rsid w:val="00A95735"/>
    <w:rsid w:val="00A96A89"/>
    <w:rsid w:val="00AA0CC4"/>
    <w:rsid w:val="00AA0D5F"/>
    <w:rsid w:val="00AA19C8"/>
    <w:rsid w:val="00AA322F"/>
    <w:rsid w:val="00AA77CB"/>
    <w:rsid w:val="00AA7CCE"/>
    <w:rsid w:val="00AB6A48"/>
    <w:rsid w:val="00AB6FB9"/>
    <w:rsid w:val="00AB70E3"/>
    <w:rsid w:val="00AC4F54"/>
    <w:rsid w:val="00AC5FE7"/>
    <w:rsid w:val="00AD11BF"/>
    <w:rsid w:val="00AD37D6"/>
    <w:rsid w:val="00AD49F9"/>
    <w:rsid w:val="00AD4A1B"/>
    <w:rsid w:val="00AD7675"/>
    <w:rsid w:val="00AD77EB"/>
    <w:rsid w:val="00AE0487"/>
    <w:rsid w:val="00AE2D04"/>
    <w:rsid w:val="00AE4C59"/>
    <w:rsid w:val="00AE51F7"/>
    <w:rsid w:val="00AE5E21"/>
    <w:rsid w:val="00AE72FE"/>
    <w:rsid w:val="00AF09E6"/>
    <w:rsid w:val="00AF167A"/>
    <w:rsid w:val="00B0089F"/>
    <w:rsid w:val="00B00B9F"/>
    <w:rsid w:val="00B01336"/>
    <w:rsid w:val="00B027F0"/>
    <w:rsid w:val="00B05336"/>
    <w:rsid w:val="00B21754"/>
    <w:rsid w:val="00B2311C"/>
    <w:rsid w:val="00B25029"/>
    <w:rsid w:val="00B25792"/>
    <w:rsid w:val="00B260EC"/>
    <w:rsid w:val="00B26A29"/>
    <w:rsid w:val="00B27816"/>
    <w:rsid w:val="00B3097C"/>
    <w:rsid w:val="00B31E60"/>
    <w:rsid w:val="00B36A59"/>
    <w:rsid w:val="00B44E00"/>
    <w:rsid w:val="00B46E4D"/>
    <w:rsid w:val="00B46F37"/>
    <w:rsid w:val="00B47015"/>
    <w:rsid w:val="00B5510F"/>
    <w:rsid w:val="00B55F4F"/>
    <w:rsid w:val="00B56FBC"/>
    <w:rsid w:val="00B60B0B"/>
    <w:rsid w:val="00B614EC"/>
    <w:rsid w:val="00B61AA8"/>
    <w:rsid w:val="00B71473"/>
    <w:rsid w:val="00B718DD"/>
    <w:rsid w:val="00B75AD7"/>
    <w:rsid w:val="00B774E6"/>
    <w:rsid w:val="00B819B1"/>
    <w:rsid w:val="00B8261E"/>
    <w:rsid w:val="00B82BF8"/>
    <w:rsid w:val="00B85535"/>
    <w:rsid w:val="00B94A6E"/>
    <w:rsid w:val="00B94CE8"/>
    <w:rsid w:val="00B962F1"/>
    <w:rsid w:val="00B96799"/>
    <w:rsid w:val="00B96D61"/>
    <w:rsid w:val="00BA0821"/>
    <w:rsid w:val="00BA5879"/>
    <w:rsid w:val="00BB1A3F"/>
    <w:rsid w:val="00BB43A2"/>
    <w:rsid w:val="00BB53E6"/>
    <w:rsid w:val="00BB64A1"/>
    <w:rsid w:val="00BC08DB"/>
    <w:rsid w:val="00BC26AA"/>
    <w:rsid w:val="00BC3AAD"/>
    <w:rsid w:val="00BC42A6"/>
    <w:rsid w:val="00BD2499"/>
    <w:rsid w:val="00BD5817"/>
    <w:rsid w:val="00BD6EC4"/>
    <w:rsid w:val="00BD7B18"/>
    <w:rsid w:val="00BD7C95"/>
    <w:rsid w:val="00BE402C"/>
    <w:rsid w:val="00BE4D43"/>
    <w:rsid w:val="00BE5419"/>
    <w:rsid w:val="00BE5DC5"/>
    <w:rsid w:val="00BE66CD"/>
    <w:rsid w:val="00BF1CAD"/>
    <w:rsid w:val="00C01EF6"/>
    <w:rsid w:val="00C0363C"/>
    <w:rsid w:val="00C05DFC"/>
    <w:rsid w:val="00C06736"/>
    <w:rsid w:val="00C07B47"/>
    <w:rsid w:val="00C11613"/>
    <w:rsid w:val="00C17181"/>
    <w:rsid w:val="00C176D5"/>
    <w:rsid w:val="00C22E30"/>
    <w:rsid w:val="00C2501B"/>
    <w:rsid w:val="00C27633"/>
    <w:rsid w:val="00C30E7E"/>
    <w:rsid w:val="00C347E3"/>
    <w:rsid w:val="00C4728E"/>
    <w:rsid w:val="00C500F2"/>
    <w:rsid w:val="00C51913"/>
    <w:rsid w:val="00C64C5A"/>
    <w:rsid w:val="00C652BE"/>
    <w:rsid w:val="00C6537D"/>
    <w:rsid w:val="00C67A25"/>
    <w:rsid w:val="00C809AD"/>
    <w:rsid w:val="00C80AAF"/>
    <w:rsid w:val="00C8630A"/>
    <w:rsid w:val="00C87B33"/>
    <w:rsid w:val="00C9226F"/>
    <w:rsid w:val="00C945D8"/>
    <w:rsid w:val="00CA3E1A"/>
    <w:rsid w:val="00CA4254"/>
    <w:rsid w:val="00CA7B9E"/>
    <w:rsid w:val="00CB2C1E"/>
    <w:rsid w:val="00CC1A89"/>
    <w:rsid w:val="00CC2C6D"/>
    <w:rsid w:val="00CC2CD8"/>
    <w:rsid w:val="00CC3DDB"/>
    <w:rsid w:val="00CC457C"/>
    <w:rsid w:val="00CC45CE"/>
    <w:rsid w:val="00CC4808"/>
    <w:rsid w:val="00CC7207"/>
    <w:rsid w:val="00CD1445"/>
    <w:rsid w:val="00CD2A8D"/>
    <w:rsid w:val="00CD5D2E"/>
    <w:rsid w:val="00CE70B3"/>
    <w:rsid w:val="00CF0919"/>
    <w:rsid w:val="00CF1427"/>
    <w:rsid w:val="00CF51DD"/>
    <w:rsid w:val="00CF6AC3"/>
    <w:rsid w:val="00CF778B"/>
    <w:rsid w:val="00D00D19"/>
    <w:rsid w:val="00D05B48"/>
    <w:rsid w:val="00D05BBE"/>
    <w:rsid w:val="00D076C4"/>
    <w:rsid w:val="00D10D7C"/>
    <w:rsid w:val="00D1379A"/>
    <w:rsid w:val="00D205FB"/>
    <w:rsid w:val="00D20732"/>
    <w:rsid w:val="00D21AAB"/>
    <w:rsid w:val="00D229C5"/>
    <w:rsid w:val="00D25A6A"/>
    <w:rsid w:val="00D26447"/>
    <w:rsid w:val="00D3192D"/>
    <w:rsid w:val="00D34D0D"/>
    <w:rsid w:val="00D370D2"/>
    <w:rsid w:val="00D45337"/>
    <w:rsid w:val="00D47BB5"/>
    <w:rsid w:val="00D5064C"/>
    <w:rsid w:val="00D50CD4"/>
    <w:rsid w:val="00D51422"/>
    <w:rsid w:val="00D519FD"/>
    <w:rsid w:val="00D52B7F"/>
    <w:rsid w:val="00D53126"/>
    <w:rsid w:val="00D548AE"/>
    <w:rsid w:val="00D56048"/>
    <w:rsid w:val="00D67B05"/>
    <w:rsid w:val="00D7332B"/>
    <w:rsid w:val="00D836E1"/>
    <w:rsid w:val="00D8719E"/>
    <w:rsid w:val="00D928D0"/>
    <w:rsid w:val="00D93126"/>
    <w:rsid w:val="00D955A3"/>
    <w:rsid w:val="00D97189"/>
    <w:rsid w:val="00DA140E"/>
    <w:rsid w:val="00DA6351"/>
    <w:rsid w:val="00DB25E0"/>
    <w:rsid w:val="00DB2E1B"/>
    <w:rsid w:val="00DB317A"/>
    <w:rsid w:val="00DB47BD"/>
    <w:rsid w:val="00DB4F3F"/>
    <w:rsid w:val="00DB6339"/>
    <w:rsid w:val="00DC1BB1"/>
    <w:rsid w:val="00DC3935"/>
    <w:rsid w:val="00DD2239"/>
    <w:rsid w:val="00DD62A2"/>
    <w:rsid w:val="00DD6547"/>
    <w:rsid w:val="00DE2B2B"/>
    <w:rsid w:val="00DE6D1E"/>
    <w:rsid w:val="00DF0AB9"/>
    <w:rsid w:val="00DF149A"/>
    <w:rsid w:val="00DF3451"/>
    <w:rsid w:val="00E039E7"/>
    <w:rsid w:val="00E03C40"/>
    <w:rsid w:val="00E04BE2"/>
    <w:rsid w:val="00E04D9E"/>
    <w:rsid w:val="00E1148C"/>
    <w:rsid w:val="00E11D49"/>
    <w:rsid w:val="00E144D2"/>
    <w:rsid w:val="00E23B3E"/>
    <w:rsid w:val="00E25BE4"/>
    <w:rsid w:val="00E318D3"/>
    <w:rsid w:val="00E31BE3"/>
    <w:rsid w:val="00E335A4"/>
    <w:rsid w:val="00E33B1E"/>
    <w:rsid w:val="00E42740"/>
    <w:rsid w:val="00E429E0"/>
    <w:rsid w:val="00E4749B"/>
    <w:rsid w:val="00E5010E"/>
    <w:rsid w:val="00E50ED1"/>
    <w:rsid w:val="00E512A9"/>
    <w:rsid w:val="00E51AF6"/>
    <w:rsid w:val="00E54217"/>
    <w:rsid w:val="00E54F7B"/>
    <w:rsid w:val="00E553C9"/>
    <w:rsid w:val="00E5700D"/>
    <w:rsid w:val="00E66BEC"/>
    <w:rsid w:val="00E71FEA"/>
    <w:rsid w:val="00E75B35"/>
    <w:rsid w:val="00E77321"/>
    <w:rsid w:val="00E826FB"/>
    <w:rsid w:val="00E83431"/>
    <w:rsid w:val="00E837F0"/>
    <w:rsid w:val="00E84040"/>
    <w:rsid w:val="00E854EF"/>
    <w:rsid w:val="00E86976"/>
    <w:rsid w:val="00E9115D"/>
    <w:rsid w:val="00E947B3"/>
    <w:rsid w:val="00E96D89"/>
    <w:rsid w:val="00EA06DF"/>
    <w:rsid w:val="00EA4CCA"/>
    <w:rsid w:val="00EA515E"/>
    <w:rsid w:val="00EA6CC4"/>
    <w:rsid w:val="00EA749B"/>
    <w:rsid w:val="00EB01CD"/>
    <w:rsid w:val="00EB2806"/>
    <w:rsid w:val="00EB603F"/>
    <w:rsid w:val="00EC04E1"/>
    <w:rsid w:val="00EC138A"/>
    <w:rsid w:val="00EC1A6B"/>
    <w:rsid w:val="00EE094D"/>
    <w:rsid w:val="00EE2A1A"/>
    <w:rsid w:val="00EE2B3A"/>
    <w:rsid w:val="00EF120C"/>
    <w:rsid w:val="00EF2A01"/>
    <w:rsid w:val="00EF4BF2"/>
    <w:rsid w:val="00EF58E9"/>
    <w:rsid w:val="00EF651B"/>
    <w:rsid w:val="00F11C07"/>
    <w:rsid w:val="00F17379"/>
    <w:rsid w:val="00F17E86"/>
    <w:rsid w:val="00F207EB"/>
    <w:rsid w:val="00F22CB9"/>
    <w:rsid w:val="00F27EB3"/>
    <w:rsid w:val="00F30CE4"/>
    <w:rsid w:val="00F3313F"/>
    <w:rsid w:val="00F335B2"/>
    <w:rsid w:val="00F4148F"/>
    <w:rsid w:val="00F41776"/>
    <w:rsid w:val="00F43851"/>
    <w:rsid w:val="00F45759"/>
    <w:rsid w:val="00F45A6E"/>
    <w:rsid w:val="00F4792C"/>
    <w:rsid w:val="00F536E3"/>
    <w:rsid w:val="00F57610"/>
    <w:rsid w:val="00F60589"/>
    <w:rsid w:val="00F6072A"/>
    <w:rsid w:val="00F633EA"/>
    <w:rsid w:val="00F637D4"/>
    <w:rsid w:val="00F7058D"/>
    <w:rsid w:val="00F72D70"/>
    <w:rsid w:val="00F823EE"/>
    <w:rsid w:val="00F84E97"/>
    <w:rsid w:val="00F87444"/>
    <w:rsid w:val="00F95F46"/>
    <w:rsid w:val="00F97841"/>
    <w:rsid w:val="00FA028D"/>
    <w:rsid w:val="00FA0F8C"/>
    <w:rsid w:val="00FA1305"/>
    <w:rsid w:val="00FA146F"/>
    <w:rsid w:val="00FA2AA9"/>
    <w:rsid w:val="00FB2AAE"/>
    <w:rsid w:val="00FB48BF"/>
    <w:rsid w:val="00FB703A"/>
    <w:rsid w:val="00FC3830"/>
    <w:rsid w:val="00FC7B1B"/>
    <w:rsid w:val="00FD01FF"/>
    <w:rsid w:val="00FD1457"/>
    <w:rsid w:val="00FD2AC3"/>
    <w:rsid w:val="00FD2BC7"/>
    <w:rsid w:val="00FD34E9"/>
    <w:rsid w:val="00FD3F5A"/>
    <w:rsid w:val="00FD426D"/>
    <w:rsid w:val="00FD614B"/>
    <w:rsid w:val="00FE0A81"/>
    <w:rsid w:val="00FE1AD9"/>
    <w:rsid w:val="00FE1E0F"/>
    <w:rsid w:val="00FE1EF7"/>
    <w:rsid w:val="00FE3142"/>
    <w:rsid w:val="00FF014D"/>
    <w:rsid w:val="00FF0A8B"/>
    <w:rsid w:val="00FF4681"/>
    <w:rsid w:val="0102632F"/>
    <w:rsid w:val="0111642D"/>
    <w:rsid w:val="01281641"/>
    <w:rsid w:val="01283618"/>
    <w:rsid w:val="01436105"/>
    <w:rsid w:val="01506600"/>
    <w:rsid w:val="01600644"/>
    <w:rsid w:val="01620872"/>
    <w:rsid w:val="01637E14"/>
    <w:rsid w:val="01702A1E"/>
    <w:rsid w:val="01714BBE"/>
    <w:rsid w:val="01846EA8"/>
    <w:rsid w:val="01861CAF"/>
    <w:rsid w:val="018A34AF"/>
    <w:rsid w:val="018B7B0A"/>
    <w:rsid w:val="018D3F5B"/>
    <w:rsid w:val="01920463"/>
    <w:rsid w:val="019F5D2F"/>
    <w:rsid w:val="01A47971"/>
    <w:rsid w:val="01A47B4E"/>
    <w:rsid w:val="01A77C72"/>
    <w:rsid w:val="01B90E9C"/>
    <w:rsid w:val="01D3311A"/>
    <w:rsid w:val="01D70F12"/>
    <w:rsid w:val="01E84A30"/>
    <w:rsid w:val="02010484"/>
    <w:rsid w:val="021F298B"/>
    <w:rsid w:val="02204B8A"/>
    <w:rsid w:val="0222008D"/>
    <w:rsid w:val="023E56C0"/>
    <w:rsid w:val="02463F1A"/>
    <w:rsid w:val="02495F99"/>
    <w:rsid w:val="025D2470"/>
    <w:rsid w:val="027B6132"/>
    <w:rsid w:val="029F1D6B"/>
    <w:rsid w:val="02AD4FEC"/>
    <w:rsid w:val="02B65864"/>
    <w:rsid w:val="02D369DC"/>
    <w:rsid w:val="02DD19B0"/>
    <w:rsid w:val="02E72A97"/>
    <w:rsid w:val="02ED5AFD"/>
    <w:rsid w:val="02EE047C"/>
    <w:rsid w:val="02F36E91"/>
    <w:rsid w:val="031664DA"/>
    <w:rsid w:val="0319668C"/>
    <w:rsid w:val="032157F4"/>
    <w:rsid w:val="03270DD8"/>
    <w:rsid w:val="032853BC"/>
    <w:rsid w:val="032F5E6F"/>
    <w:rsid w:val="03366B39"/>
    <w:rsid w:val="033A08CE"/>
    <w:rsid w:val="034B3526"/>
    <w:rsid w:val="034F0D53"/>
    <w:rsid w:val="037235D4"/>
    <w:rsid w:val="0375685F"/>
    <w:rsid w:val="037709BE"/>
    <w:rsid w:val="038773BB"/>
    <w:rsid w:val="03C142B6"/>
    <w:rsid w:val="03C3095A"/>
    <w:rsid w:val="03DC0CCA"/>
    <w:rsid w:val="03E17F7B"/>
    <w:rsid w:val="03E93D05"/>
    <w:rsid w:val="03EE2AB4"/>
    <w:rsid w:val="03FD02E1"/>
    <w:rsid w:val="0411234E"/>
    <w:rsid w:val="041D6D78"/>
    <w:rsid w:val="043863DD"/>
    <w:rsid w:val="044F4332"/>
    <w:rsid w:val="0455679A"/>
    <w:rsid w:val="0475188F"/>
    <w:rsid w:val="04761C66"/>
    <w:rsid w:val="047A1D02"/>
    <w:rsid w:val="047E21D9"/>
    <w:rsid w:val="04835173"/>
    <w:rsid w:val="04845ACD"/>
    <w:rsid w:val="04881B00"/>
    <w:rsid w:val="04A8157D"/>
    <w:rsid w:val="0504144A"/>
    <w:rsid w:val="050F0E4D"/>
    <w:rsid w:val="051E4FB9"/>
    <w:rsid w:val="05257842"/>
    <w:rsid w:val="05304EE3"/>
    <w:rsid w:val="0536448E"/>
    <w:rsid w:val="053B6039"/>
    <w:rsid w:val="054006FD"/>
    <w:rsid w:val="05454C3B"/>
    <w:rsid w:val="05510564"/>
    <w:rsid w:val="0555214E"/>
    <w:rsid w:val="0568083F"/>
    <w:rsid w:val="059454B6"/>
    <w:rsid w:val="05960167"/>
    <w:rsid w:val="05A65E74"/>
    <w:rsid w:val="05AE7458"/>
    <w:rsid w:val="05B16FE4"/>
    <w:rsid w:val="05C67618"/>
    <w:rsid w:val="05CF37B9"/>
    <w:rsid w:val="05E77139"/>
    <w:rsid w:val="05E81B26"/>
    <w:rsid w:val="05EA1B28"/>
    <w:rsid w:val="05EC4EA7"/>
    <w:rsid w:val="05F360DE"/>
    <w:rsid w:val="060F3BC2"/>
    <w:rsid w:val="060F458D"/>
    <w:rsid w:val="06220C98"/>
    <w:rsid w:val="062675FC"/>
    <w:rsid w:val="0631194C"/>
    <w:rsid w:val="063843E7"/>
    <w:rsid w:val="06391A36"/>
    <w:rsid w:val="064A5EDE"/>
    <w:rsid w:val="06624CC1"/>
    <w:rsid w:val="066B3B03"/>
    <w:rsid w:val="067666F0"/>
    <w:rsid w:val="067E78C0"/>
    <w:rsid w:val="06825B96"/>
    <w:rsid w:val="068602C1"/>
    <w:rsid w:val="068F62D2"/>
    <w:rsid w:val="06961308"/>
    <w:rsid w:val="06A654CB"/>
    <w:rsid w:val="06B5558D"/>
    <w:rsid w:val="06EB01D8"/>
    <w:rsid w:val="06F16AD3"/>
    <w:rsid w:val="07106432"/>
    <w:rsid w:val="071E2910"/>
    <w:rsid w:val="07234F30"/>
    <w:rsid w:val="073E2523"/>
    <w:rsid w:val="07420F81"/>
    <w:rsid w:val="07577399"/>
    <w:rsid w:val="075B1427"/>
    <w:rsid w:val="075B7755"/>
    <w:rsid w:val="075D7B5F"/>
    <w:rsid w:val="07602DD8"/>
    <w:rsid w:val="07687DAF"/>
    <w:rsid w:val="076C72BA"/>
    <w:rsid w:val="0774165A"/>
    <w:rsid w:val="078C1D6D"/>
    <w:rsid w:val="07C917FE"/>
    <w:rsid w:val="07EA784B"/>
    <w:rsid w:val="0818767C"/>
    <w:rsid w:val="0838650B"/>
    <w:rsid w:val="0841353C"/>
    <w:rsid w:val="085F0441"/>
    <w:rsid w:val="086417B9"/>
    <w:rsid w:val="08667944"/>
    <w:rsid w:val="08831727"/>
    <w:rsid w:val="08855808"/>
    <w:rsid w:val="088E5401"/>
    <w:rsid w:val="089B317D"/>
    <w:rsid w:val="08A4784C"/>
    <w:rsid w:val="08AE69CD"/>
    <w:rsid w:val="08B00CD1"/>
    <w:rsid w:val="08B832BF"/>
    <w:rsid w:val="08C3786B"/>
    <w:rsid w:val="08CB04FB"/>
    <w:rsid w:val="08CB08B1"/>
    <w:rsid w:val="08CB1589"/>
    <w:rsid w:val="08CF5E4A"/>
    <w:rsid w:val="08DB72D8"/>
    <w:rsid w:val="0903433D"/>
    <w:rsid w:val="090E05B5"/>
    <w:rsid w:val="09486CA5"/>
    <w:rsid w:val="095842C0"/>
    <w:rsid w:val="096120A2"/>
    <w:rsid w:val="0967639B"/>
    <w:rsid w:val="0979739A"/>
    <w:rsid w:val="098B70C0"/>
    <w:rsid w:val="099057A7"/>
    <w:rsid w:val="09907056"/>
    <w:rsid w:val="099A027A"/>
    <w:rsid w:val="09B55A3D"/>
    <w:rsid w:val="09B74C81"/>
    <w:rsid w:val="09CF23FF"/>
    <w:rsid w:val="09D11287"/>
    <w:rsid w:val="09E00043"/>
    <w:rsid w:val="09E72F0B"/>
    <w:rsid w:val="09F13471"/>
    <w:rsid w:val="09F32EC2"/>
    <w:rsid w:val="0A091CA2"/>
    <w:rsid w:val="0A416491"/>
    <w:rsid w:val="0A4941EF"/>
    <w:rsid w:val="0A58735C"/>
    <w:rsid w:val="0A5F068A"/>
    <w:rsid w:val="0A5F3B0C"/>
    <w:rsid w:val="0A682FCC"/>
    <w:rsid w:val="0A69588C"/>
    <w:rsid w:val="0A6A2BF9"/>
    <w:rsid w:val="0A7E0D16"/>
    <w:rsid w:val="0A8068C8"/>
    <w:rsid w:val="0A8B4C59"/>
    <w:rsid w:val="0A911982"/>
    <w:rsid w:val="0AA40EC2"/>
    <w:rsid w:val="0ABC60C8"/>
    <w:rsid w:val="0AF600C6"/>
    <w:rsid w:val="0B0D364F"/>
    <w:rsid w:val="0B3705F5"/>
    <w:rsid w:val="0B3A4E21"/>
    <w:rsid w:val="0B435D6F"/>
    <w:rsid w:val="0B4E7D8F"/>
    <w:rsid w:val="0B6515A4"/>
    <w:rsid w:val="0B6F03E7"/>
    <w:rsid w:val="0B9326C7"/>
    <w:rsid w:val="0BA52A8E"/>
    <w:rsid w:val="0BA666AA"/>
    <w:rsid w:val="0BB80FE6"/>
    <w:rsid w:val="0BCD2DC6"/>
    <w:rsid w:val="0BDF5FC9"/>
    <w:rsid w:val="0BED7261"/>
    <w:rsid w:val="0C0950DE"/>
    <w:rsid w:val="0C347213"/>
    <w:rsid w:val="0C512845"/>
    <w:rsid w:val="0C59234A"/>
    <w:rsid w:val="0C9E2B19"/>
    <w:rsid w:val="0CA45C7D"/>
    <w:rsid w:val="0CA829CF"/>
    <w:rsid w:val="0CA84717"/>
    <w:rsid w:val="0CAD3338"/>
    <w:rsid w:val="0CC6532D"/>
    <w:rsid w:val="0CD749CE"/>
    <w:rsid w:val="0CD87D21"/>
    <w:rsid w:val="0CFD24DF"/>
    <w:rsid w:val="0D0055BE"/>
    <w:rsid w:val="0D05361B"/>
    <w:rsid w:val="0D2561E4"/>
    <w:rsid w:val="0D2B2350"/>
    <w:rsid w:val="0D6E5C96"/>
    <w:rsid w:val="0D776464"/>
    <w:rsid w:val="0D7F5F30"/>
    <w:rsid w:val="0D813D74"/>
    <w:rsid w:val="0D913287"/>
    <w:rsid w:val="0DAF4501"/>
    <w:rsid w:val="0DBC39A1"/>
    <w:rsid w:val="0DC21002"/>
    <w:rsid w:val="0DC4665E"/>
    <w:rsid w:val="0DC76D8D"/>
    <w:rsid w:val="0DD124B7"/>
    <w:rsid w:val="0DDB356A"/>
    <w:rsid w:val="0DE7465B"/>
    <w:rsid w:val="0DF409E1"/>
    <w:rsid w:val="0DFA2DB0"/>
    <w:rsid w:val="0DFF3D7B"/>
    <w:rsid w:val="0DFF63C9"/>
    <w:rsid w:val="0E007EC0"/>
    <w:rsid w:val="0E4E49EC"/>
    <w:rsid w:val="0E6D3935"/>
    <w:rsid w:val="0E914AF4"/>
    <w:rsid w:val="0E9972C0"/>
    <w:rsid w:val="0EA875E5"/>
    <w:rsid w:val="0EAD3058"/>
    <w:rsid w:val="0EB34307"/>
    <w:rsid w:val="0ED058B0"/>
    <w:rsid w:val="0ED61D65"/>
    <w:rsid w:val="0EE000F6"/>
    <w:rsid w:val="0F3204C2"/>
    <w:rsid w:val="0F414FE7"/>
    <w:rsid w:val="0F5B0F85"/>
    <w:rsid w:val="0F6816D8"/>
    <w:rsid w:val="0F8F3712"/>
    <w:rsid w:val="0F9C7BC9"/>
    <w:rsid w:val="0FB0100F"/>
    <w:rsid w:val="0FB36BCA"/>
    <w:rsid w:val="0FCE661F"/>
    <w:rsid w:val="0FF50610"/>
    <w:rsid w:val="0FF50654"/>
    <w:rsid w:val="100C0677"/>
    <w:rsid w:val="101B353C"/>
    <w:rsid w:val="102A3DE4"/>
    <w:rsid w:val="102D3C3E"/>
    <w:rsid w:val="104B5C7C"/>
    <w:rsid w:val="10522D28"/>
    <w:rsid w:val="105848E2"/>
    <w:rsid w:val="106141D6"/>
    <w:rsid w:val="107D0A46"/>
    <w:rsid w:val="107F1A08"/>
    <w:rsid w:val="10817227"/>
    <w:rsid w:val="10B10371"/>
    <w:rsid w:val="10E00EC0"/>
    <w:rsid w:val="10E16F5A"/>
    <w:rsid w:val="10EE01D6"/>
    <w:rsid w:val="10F97B68"/>
    <w:rsid w:val="11025B35"/>
    <w:rsid w:val="11104397"/>
    <w:rsid w:val="11291888"/>
    <w:rsid w:val="113F4606"/>
    <w:rsid w:val="11445413"/>
    <w:rsid w:val="11451A84"/>
    <w:rsid w:val="11497F45"/>
    <w:rsid w:val="114F1524"/>
    <w:rsid w:val="11690A50"/>
    <w:rsid w:val="117D27F1"/>
    <w:rsid w:val="118C0FD9"/>
    <w:rsid w:val="1197736A"/>
    <w:rsid w:val="11A73EE4"/>
    <w:rsid w:val="11CC1F83"/>
    <w:rsid w:val="11F8610A"/>
    <w:rsid w:val="122C64D3"/>
    <w:rsid w:val="12506117"/>
    <w:rsid w:val="12542B31"/>
    <w:rsid w:val="126638E8"/>
    <w:rsid w:val="126D3987"/>
    <w:rsid w:val="12700820"/>
    <w:rsid w:val="12783252"/>
    <w:rsid w:val="128C3CD0"/>
    <w:rsid w:val="128D542F"/>
    <w:rsid w:val="1290166B"/>
    <w:rsid w:val="129D1E62"/>
    <w:rsid w:val="12A74FA9"/>
    <w:rsid w:val="12AD71D4"/>
    <w:rsid w:val="12B87441"/>
    <w:rsid w:val="12C058E9"/>
    <w:rsid w:val="12D8684A"/>
    <w:rsid w:val="12E04ADA"/>
    <w:rsid w:val="12F548B5"/>
    <w:rsid w:val="12FB4A33"/>
    <w:rsid w:val="1314318C"/>
    <w:rsid w:val="13144EB8"/>
    <w:rsid w:val="1329427D"/>
    <w:rsid w:val="13347F5F"/>
    <w:rsid w:val="13400159"/>
    <w:rsid w:val="1347382D"/>
    <w:rsid w:val="136C4E93"/>
    <w:rsid w:val="13714672"/>
    <w:rsid w:val="137225B3"/>
    <w:rsid w:val="13744918"/>
    <w:rsid w:val="137A0DE8"/>
    <w:rsid w:val="137A6B6F"/>
    <w:rsid w:val="137E3987"/>
    <w:rsid w:val="13827258"/>
    <w:rsid w:val="139748B1"/>
    <w:rsid w:val="139C54D6"/>
    <w:rsid w:val="13A402CF"/>
    <w:rsid w:val="13A73383"/>
    <w:rsid w:val="13B44BAA"/>
    <w:rsid w:val="13C8140C"/>
    <w:rsid w:val="13C904E8"/>
    <w:rsid w:val="13D15990"/>
    <w:rsid w:val="13D370E2"/>
    <w:rsid w:val="13EA0AB8"/>
    <w:rsid w:val="141C34DC"/>
    <w:rsid w:val="14367D70"/>
    <w:rsid w:val="144505E4"/>
    <w:rsid w:val="14590DD3"/>
    <w:rsid w:val="145A0275"/>
    <w:rsid w:val="14827CF3"/>
    <w:rsid w:val="14871A80"/>
    <w:rsid w:val="148B0641"/>
    <w:rsid w:val="1498738A"/>
    <w:rsid w:val="14A263FF"/>
    <w:rsid w:val="14A5136D"/>
    <w:rsid w:val="14A970A1"/>
    <w:rsid w:val="14AC16B2"/>
    <w:rsid w:val="14AC4AE9"/>
    <w:rsid w:val="14BB6B65"/>
    <w:rsid w:val="14C67636"/>
    <w:rsid w:val="14C67B27"/>
    <w:rsid w:val="14D80971"/>
    <w:rsid w:val="14DF09EF"/>
    <w:rsid w:val="14E3390C"/>
    <w:rsid w:val="14E5093E"/>
    <w:rsid w:val="14EA0909"/>
    <w:rsid w:val="14EB76A1"/>
    <w:rsid w:val="14F24C5E"/>
    <w:rsid w:val="15037006"/>
    <w:rsid w:val="15181CBA"/>
    <w:rsid w:val="153E22B2"/>
    <w:rsid w:val="154A53D4"/>
    <w:rsid w:val="15595C15"/>
    <w:rsid w:val="157F15AE"/>
    <w:rsid w:val="158C14E9"/>
    <w:rsid w:val="15911591"/>
    <w:rsid w:val="159E7422"/>
    <w:rsid w:val="15B130D6"/>
    <w:rsid w:val="15B56527"/>
    <w:rsid w:val="15BB1CFF"/>
    <w:rsid w:val="15BC2D30"/>
    <w:rsid w:val="15DD6032"/>
    <w:rsid w:val="15F00DDB"/>
    <w:rsid w:val="16131A96"/>
    <w:rsid w:val="1640562C"/>
    <w:rsid w:val="165840B5"/>
    <w:rsid w:val="165C3D63"/>
    <w:rsid w:val="165F73F1"/>
    <w:rsid w:val="166D2D06"/>
    <w:rsid w:val="167A1EAE"/>
    <w:rsid w:val="167D7A11"/>
    <w:rsid w:val="169B0ACA"/>
    <w:rsid w:val="169D7068"/>
    <w:rsid w:val="16AB3FB0"/>
    <w:rsid w:val="16B36C98"/>
    <w:rsid w:val="16B6761F"/>
    <w:rsid w:val="16B81A4D"/>
    <w:rsid w:val="16C232E3"/>
    <w:rsid w:val="16D022DA"/>
    <w:rsid w:val="16D4702A"/>
    <w:rsid w:val="16E4553E"/>
    <w:rsid w:val="17142982"/>
    <w:rsid w:val="1716576D"/>
    <w:rsid w:val="17180C70"/>
    <w:rsid w:val="17317451"/>
    <w:rsid w:val="174433B4"/>
    <w:rsid w:val="174C71C5"/>
    <w:rsid w:val="1750464D"/>
    <w:rsid w:val="175959AE"/>
    <w:rsid w:val="178F7889"/>
    <w:rsid w:val="17C94D18"/>
    <w:rsid w:val="17EC523F"/>
    <w:rsid w:val="17F6764C"/>
    <w:rsid w:val="17FD40E3"/>
    <w:rsid w:val="181044FE"/>
    <w:rsid w:val="18104A8B"/>
    <w:rsid w:val="183869F9"/>
    <w:rsid w:val="18477163"/>
    <w:rsid w:val="184C20D3"/>
    <w:rsid w:val="184D2D69"/>
    <w:rsid w:val="185A47DC"/>
    <w:rsid w:val="186D3DDE"/>
    <w:rsid w:val="187A1186"/>
    <w:rsid w:val="188646CA"/>
    <w:rsid w:val="188F4BE4"/>
    <w:rsid w:val="18A330F7"/>
    <w:rsid w:val="18A55D88"/>
    <w:rsid w:val="18A6178D"/>
    <w:rsid w:val="18B137B5"/>
    <w:rsid w:val="18C6566A"/>
    <w:rsid w:val="18E90EEB"/>
    <w:rsid w:val="18FB212D"/>
    <w:rsid w:val="191B1F53"/>
    <w:rsid w:val="193E6DF5"/>
    <w:rsid w:val="193F1F95"/>
    <w:rsid w:val="196110F3"/>
    <w:rsid w:val="19696166"/>
    <w:rsid w:val="19733DBA"/>
    <w:rsid w:val="197A35E2"/>
    <w:rsid w:val="19937ED8"/>
    <w:rsid w:val="19961D39"/>
    <w:rsid w:val="19965CC8"/>
    <w:rsid w:val="19AB051F"/>
    <w:rsid w:val="19B00EEA"/>
    <w:rsid w:val="19C04DA8"/>
    <w:rsid w:val="19C66C54"/>
    <w:rsid w:val="19C93FF3"/>
    <w:rsid w:val="19D54E2C"/>
    <w:rsid w:val="19DD7552"/>
    <w:rsid w:val="1A041DFA"/>
    <w:rsid w:val="1A1921A1"/>
    <w:rsid w:val="1A2105C3"/>
    <w:rsid w:val="1A21549B"/>
    <w:rsid w:val="1A314705"/>
    <w:rsid w:val="1A362A09"/>
    <w:rsid w:val="1A623CD3"/>
    <w:rsid w:val="1A8144AA"/>
    <w:rsid w:val="1A8157BC"/>
    <w:rsid w:val="1AB10A79"/>
    <w:rsid w:val="1AB30874"/>
    <w:rsid w:val="1AC23FF4"/>
    <w:rsid w:val="1AC629FA"/>
    <w:rsid w:val="1AC91FC1"/>
    <w:rsid w:val="1AD4000C"/>
    <w:rsid w:val="1AE267C6"/>
    <w:rsid w:val="1AEB60A3"/>
    <w:rsid w:val="1AEE2D3E"/>
    <w:rsid w:val="1AF228EE"/>
    <w:rsid w:val="1AF73D39"/>
    <w:rsid w:val="1B0F45F0"/>
    <w:rsid w:val="1B1B2878"/>
    <w:rsid w:val="1B20658C"/>
    <w:rsid w:val="1B2D5951"/>
    <w:rsid w:val="1B331A67"/>
    <w:rsid w:val="1B383E1E"/>
    <w:rsid w:val="1B4541EE"/>
    <w:rsid w:val="1B570DBB"/>
    <w:rsid w:val="1B5E32D7"/>
    <w:rsid w:val="1B672889"/>
    <w:rsid w:val="1B76203E"/>
    <w:rsid w:val="1B7D7FD5"/>
    <w:rsid w:val="1B911E9C"/>
    <w:rsid w:val="1B9665C2"/>
    <w:rsid w:val="1B995DAE"/>
    <w:rsid w:val="1BA24965"/>
    <w:rsid w:val="1BA909C8"/>
    <w:rsid w:val="1BAE4704"/>
    <w:rsid w:val="1BB83287"/>
    <w:rsid w:val="1BBB16F2"/>
    <w:rsid w:val="1BD10008"/>
    <w:rsid w:val="1BD213B5"/>
    <w:rsid w:val="1BD510D7"/>
    <w:rsid w:val="1BDD5A46"/>
    <w:rsid w:val="1BF32B40"/>
    <w:rsid w:val="1BF60432"/>
    <w:rsid w:val="1C0349FF"/>
    <w:rsid w:val="1C0E6215"/>
    <w:rsid w:val="1C1230F4"/>
    <w:rsid w:val="1C236C52"/>
    <w:rsid w:val="1C6128BA"/>
    <w:rsid w:val="1C6777A6"/>
    <w:rsid w:val="1C6E7533"/>
    <w:rsid w:val="1C7429E7"/>
    <w:rsid w:val="1C79083E"/>
    <w:rsid w:val="1CAA405A"/>
    <w:rsid w:val="1CC4363B"/>
    <w:rsid w:val="1CCC48D2"/>
    <w:rsid w:val="1CCD534E"/>
    <w:rsid w:val="1CE139E5"/>
    <w:rsid w:val="1CE17872"/>
    <w:rsid w:val="1CE26167"/>
    <w:rsid w:val="1CE50497"/>
    <w:rsid w:val="1CF0140F"/>
    <w:rsid w:val="1CF17304"/>
    <w:rsid w:val="1CF775CF"/>
    <w:rsid w:val="1D0432AA"/>
    <w:rsid w:val="1D102383"/>
    <w:rsid w:val="1D1631C4"/>
    <w:rsid w:val="1D165BD2"/>
    <w:rsid w:val="1D292069"/>
    <w:rsid w:val="1D3E7BE4"/>
    <w:rsid w:val="1D4127B6"/>
    <w:rsid w:val="1D456C6E"/>
    <w:rsid w:val="1D4F0D34"/>
    <w:rsid w:val="1D5D7BC6"/>
    <w:rsid w:val="1D680A8F"/>
    <w:rsid w:val="1D6D5585"/>
    <w:rsid w:val="1D6E70D6"/>
    <w:rsid w:val="1D77310B"/>
    <w:rsid w:val="1D8315F9"/>
    <w:rsid w:val="1D8358EB"/>
    <w:rsid w:val="1D92497C"/>
    <w:rsid w:val="1DAA2CA4"/>
    <w:rsid w:val="1DBC3949"/>
    <w:rsid w:val="1DD1731B"/>
    <w:rsid w:val="1DD24BFC"/>
    <w:rsid w:val="1DD5190D"/>
    <w:rsid w:val="1E0358A7"/>
    <w:rsid w:val="1E0D155D"/>
    <w:rsid w:val="1E2C658F"/>
    <w:rsid w:val="1E2D140D"/>
    <w:rsid w:val="1E2D620F"/>
    <w:rsid w:val="1E423D9D"/>
    <w:rsid w:val="1E453D5B"/>
    <w:rsid w:val="1E5054CA"/>
    <w:rsid w:val="1E554B5B"/>
    <w:rsid w:val="1E575295"/>
    <w:rsid w:val="1E785D5B"/>
    <w:rsid w:val="1E7C7125"/>
    <w:rsid w:val="1E82307F"/>
    <w:rsid w:val="1EA12561"/>
    <w:rsid w:val="1EA700D7"/>
    <w:rsid w:val="1EAD29FE"/>
    <w:rsid w:val="1EAF0D67"/>
    <w:rsid w:val="1EBB798A"/>
    <w:rsid w:val="1EDC1414"/>
    <w:rsid w:val="1F28081E"/>
    <w:rsid w:val="1F2C404A"/>
    <w:rsid w:val="1F503F21"/>
    <w:rsid w:val="1F596C20"/>
    <w:rsid w:val="1F69018F"/>
    <w:rsid w:val="1F825F51"/>
    <w:rsid w:val="1F895F26"/>
    <w:rsid w:val="1F917FD8"/>
    <w:rsid w:val="1F99367D"/>
    <w:rsid w:val="1FAE31FE"/>
    <w:rsid w:val="1FB13C54"/>
    <w:rsid w:val="1FBD2BEF"/>
    <w:rsid w:val="1FC032F6"/>
    <w:rsid w:val="1FC93A32"/>
    <w:rsid w:val="1FCD4396"/>
    <w:rsid w:val="1FD22143"/>
    <w:rsid w:val="1FDE1C5E"/>
    <w:rsid w:val="1FE101E5"/>
    <w:rsid w:val="1FE62114"/>
    <w:rsid w:val="20082956"/>
    <w:rsid w:val="20195C15"/>
    <w:rsid w:val="201A2537"/>
    <w:rsid w:val="201B51CB"/>
    <w:rsid w:val="2041013A"/>
    <w:rsid w:val="204108C6"/>
    <w:rsid w:val="20480471"/>
    <w:rsid w:val="20552DA7"/>
    <w:rsid w:val="20621D79"/>
    <w:rsid w:val="2063705E"/>
    <w:rsid w:val="20740913"/>
    <w:rsid w:val="20785A59"/>
    <w:rsid w:val="20790F66"/>
    <w:rsid w:val="20830A1A"/>
    <w:rsid w:val="208B4690"/>
    <w:rsid w:val="20AF64F6"/>
    <w:rsid w:val="20C816DA"/>
    <w:rsid w:val="20E70C8C"/>
    <w:rsid w:val="20FA2E56"/>
    <w:rsid w:val="20FA4460"/>
    <w:rsid w:val="21002506"/>
    <w:rsid w:val="21012835"/>
    <w:rsid w:val="212D6022"/>
    <w:rsid w:val="21414607"/>
    <w:rsid w:val="215A1C8E"/>
    <w:rsid w:val="21725CE7"/>
    <w:rsid w:val="2195326F"/>
    <w:rsid w:val="2199463F"/>
    <w:rsid w:val="21FC6F50"/>
    <w:rsid w:val="220165B7"/>
    <w:rsid w:val="221D3734"/>
    <w:rsid w:val="222431EB"/>
    <w:rsid w:val="22292945"/>
    <w:rsid w:val="222D2370"/>
    <w:rsid w:val="224563CE"/>
    <w:rsid w:val="2252106E"/>
    <w:rsid w:val="22523826"/>
    <w:rsid w:val="225F3A87"/>
    <w:rsid w:val="22711792"/>
    <w:rsid w:val="22820AF6"/>
    <w:rsid w:val="228E48ED"/>
    <w:rsid w:val="22902F40"/>
    <w:rsid w:val="2294215F"/>
    <w:rsid w:val="229D5E0C"/>
    <w:rsid w:val="22A00834"/>
    <w:rsid w:val="22B319B8"/>
    <w:rsid w:val="22B911FB"/>
    <w:rsid w:val="22BD2C13"/>
    <w:rsid w:val="22C0120A"/>
    <w:rsid w:val="22C61BC0"/>
    <w:rsid w:val="22D44ECF"/>
    <w:rsid w:val="22D97561"/>
    <w:rsid w:val="22E90157"/>
    <w:rsid w:val="22F63AAC"/>
    <w:rsid w:val="23076329"/>
    <w:rsid w:val="230A03BF"/>
    <w:rsid w:val="23356F18"/>
    <w:rsid w:val="23473999"/>
    <w:rsid w:val="234C0658"/>
    <w:rsid w:val="235674A0"/>
    <w:rsid w:val="237544B8"/>
    <w:rsid w:val="237A1A37"/>
    <w:rsid w:val="237B72F7"/>
    <w:rsid w:val="23921869"/>
    <w:rsid w:val="23A075BA"/>
    <w:rsid w:val="23A90B69"/>
    <w:rsid w:val="23B665A6"/>
    <w:rsid w:val="23B7522F"/>
    <w:rsid w:val="23B84929"/>
    <w:rsid w:val="23B9246D"/>
    <w:rsid w:val="23CE5E4B"/>
    <w:rsid w:val="23FC6FD6"/>
    <w:rsid w:val="23FD1A8C"/>
    <w:rsid w:val="24046325"/>
    <w:rsid w:val="240F31D1"/>
    <w:rsid w:val="24264D38"/>
    <w:rsid w:val="243271D2"/>
    <w:rsid w:val="246014A5"/>
    <w:rsid w:val="247B02AF"/>
    <w:rsid w:val="247C3AE8"/>
    <w:rsid w:val="24821172"/>
    <w:rsid w:val="248E2A1B"/>
    <w:rsid w:val="2490727A"/>
    <w:rsid w:val="249706A1"/>
    <w:rsid w:val="24C64923"/>
    <w:rsid w:val="24C66C6F"/>
    <w:rsid w:val="24DB2227"/>
    <w:rsid w:val="24E75CFA"/>
    <w:rsid w:val="2521524D"/>
    <w:rsid w:val="2523369E"/>
    <w:rsid w:val="252C7E33"/>
    <w:rsid w:val="25364E81"/>
    <w:rsid w:val="2542150F"/>
    <w:rsid w:val="25434C66"/>
    <w:rsid w:val="25514FAB"/>
    <w:rsid w:val="255F0B60"/>
    <w:rsid w:val="256A4803"/>
    <w:rsid w:val="256B4A37"/>
    <w:rsid w:val="2575332C"/>
    <w:rsid w:val="25782CD6"/>
    <w:rsid w:val="257C6FB2"/>
    <w:rsid w:val="25832195"/>
    <w:rsid w:val="258745AD"/>
    <w:rsid w:val="259B1B5A"/>
    <w:rsid w:val="25AC5304"/>
    <w:rsid w:val="25B65957"/>
    <w:rsid w:val="25BB2902"/>
    <w:rsid w:val="25C60A8C"/>
    <w:rsid w:val="25CA3E9C"/>
    <w:rsid w:val="25D57962"/>
    <w:rsid w:val="25D87A60"/>
    <w:rsid w:val="25E64952"/>
    <w:rsid w:val="25FB1423"/>
    <w:rsid w:val="260747F4"/>
    <w:rsid w:val="2609257A"/>
    <w:rsid w:val="260D5B51"/>
    <w:rsid w:val="260E303E"/>
    <w:rsid w:val="26156D2C"/>
    <w:rsid w:val="2618033A"/>
    <w:rsid w:val="261A4BF7"/>
    <w:rsid w:val="263B5F44"/>
    <w:rsid w:val="26433E01"/>
    <w:rsid w:val="264B4FF8"/>
    <w:rsid w:val="26583E52"/>
    <w:rsid w:val="266A0211"/>
    <w:rsid w:val="266D66A9"/>
    <w:rsid w:val="26736805"/>
    <w:rsid w:val="26760962"/>
    <w:rsid w:val="2684042C"/>
    <w:rsid w:val="26847B59"/>
    <w:rsid w:val="268E7F4D"/>
    <w:rsid w:val="26A00320"/>
    <w:rsid w:val="26AC1A69"/>
    <w:rsid w:val="26AD2E12"/>
    <w:rsid w:val="26AE2F86"/>
    <w:rsid w:val="26EE47DA"/>
    <w:rsid w:val="26F30BCA"/>
    <w:rsid w:val="26F6294F"/>
    <w:rsid w:val="27011DC0"/>
    <w:rsid w:val="2704340F"/>
    <w:rsid w:val="270625A4"/>
    <w:rsid w:val="270D4D15"/>
    <w:rsid w:val="270F5023"/>
    <w:rsid w:val="27125FA8"/>
    <w:rsid w:val="2728739D"/>
    <w:rsid w:val="2740686A"/>
    <w:rsid w:val="27424579"/>
    <w:rsid w:val="27505D92"/>
    <w:rsid w:val="2751350E"/>
    <w:rsid w:val="275A5455"/>
    <w:rsid w:val="27743D5D"/>
    <w:rsid w:val="27842BF2"/>
    <w:rsid w:val="27A1542A"/>
    <w:rsid w:val="27A16204"/>
    <w:rsid w:val="27C546B8"/>
    <w:rsid w:val="27CB7955"/>
    <w:rsid w:val="27D824EE"/>
    <w:rsid w:val="27DF1E78"/>
    <w:rsid w:val="27E46DE5"/>
    <w:rsid w:val="27F63DA7"/>
    <w:rsid w:val="28021999"/>
    <w:rsid w:val="28147751"/>
    <w:rsid w:val="282B44F6"/>
    <w:rsid w:val="2833349B"/>
    <w:rsid w:val="283A371F"/>
    <w:rsid w:val="28444B9A"/>
    <w:rsid w:val="28543C10"/>
    <w:rsid w:val="286D0328"/>
    <w:rsid w:val="287078D9"/>
    <w:rsid w:val="287E00E9"/>
    <w:rsid w:val="28840408"/>
    <w:rsid w:val="28912F56"/>
    <w:rsid w:val="289E0FB2"/>
    <w:rsid w:val="28CB6446"/>
    <w:rsid w:val="28EB10B1"/>
    <w:rsid w:val="28F3326F"/>
    <w:rsid w:val="28FE6EEF"/>
    <w:rsid w:val="2903207F"/>
    <w:rsid w:val="29180BCA"/>
    <w:rsid w:val="291D65CF"/>
    <w:rsid w:val="29202D2C"/>
    <w:rsid w:val="29323A24"/>
    <w:rsid w:val="29387017"/>
    <w:rsid w:val="2969494F"/>
    <w:rsid w:val="296D367F"/>
    <w:rsid w:val="297F131E"/>
    <w:rsid w:val="29804F4F"/>
    <w:rsid w:val="298D3106"/>
    <w:rsid w:val="2994595F"/>
    <w:rsid w:val="299E497E"/>
    <w:rsid w:val="29A003C5"/>
    <w:rsid w:val="29A0498E"/>
    <w:rsid w:val="29A23C6C"/>
    <w:rsid w:val="29A8144E"/>
    <w:rsid w:val="29AA65A8"/>
    <w:rsid w:val="29CA4E9C"/>
    <w:rsid w:val="29D335AD"/>
    <w:rsid w:val="29E01FB7"/>
    <w:rsid w:val="29E95332"/>
    <w:rsid w:val="2A172D9D"/>
    <w:rsid w:val="2A2C4025"/>
    <w:rsid w:val="2A3D1958"/>
    <w:rsid w:val="2A3E594C"/>
    <w:rsid w:val="2A3E7DDD"/>
    <w:rsid w:val="2A783B26"/>
    <w:rsid w:val="2AA16BC7"/>
    <w:rsid w:val="2AAE2FE0"/>
    <w:rsid w:val="2AB412FF"/>
    <w:rsid w:val="2AB63574"/>
    <w:rsid w:val="2AD57F1A"/>
    <w:rsid w:val="2ADC6122"/>
    <w:rsid w:val="2AE67551"/>
    <w:rsid w:val="2B010A32"/>
    <w:rsid w:val="2B026674"/>
    <w:rsid w:val="2B0626A5"/>
    <w:rsid w:val="2B0C4ADB"/>
    <w:rsid w:val="2B100906"/>
    <w:rsid w:val="2B211371"/>
    <w:rsid w:val="2B227891"/>
    <w:rsid w:val="2B3E6045"/>
    <w:rsid w:val="2B644C3D"/>
    <w:rsid w:val="2B665F42"/>
    <w:rsid w:val="2B804C74"/>
    <w:rsid w:val="2B8244C5"/>
    <w:rsid w:val="2B8D7490"/>
    <w:rsid w:val="2B923428"/>
    <w:rsid w:val="2BAC348D"/>
    <w:rsid w:val="2BAC7CEA"/>
    <w:rsid w:val="2BB63295"/>
    <w:rsid w:val="2BB7153B"/>
    <w:rsid w:val="2BCA6243"/>
    <w:rsid w:val="2BE26F1B"/>
    <w:rsid w:val="2BE413AA"/>
    <w:rsid w:val="2BE64D82"/>
    <w:rsid w:val="2BED66D6"/>
    <w:rsid w:val="2BEF7ADE"/>
    <w:rsid w:val="2BF63AC6"/>
    <w:rsid w:val="2C01768D"/>
    <w:rsid w:val="2C023128"/>
    <w:rsid w:val="2C1F0720"/>
    <w:rsid w:val="2C3A6861"/>
    <w:rsid w:val="2C544C85"/>
    <w:rsid w:val="2C5914CB"/>
    <w:rsid w:val="2C73282C"/>
    <w:rsid w:val="2C733C9D"/>
    <w:rsid w:val="2C78168E"/>
    <w:rsid w:val="2C7C08A5"/>
    <w:rsid w:val="2C975A5F"/>
    <w:rsid w:val="2C9E14C2"/>
    <w:rsid w:val="2CAF2153"/>
    <w:rsid w:val="2CB955A4"/>
    <w:rsid w:val="2CDA5AA3"/>
    <w:rsid w:val="2CED1B05"/>
    <w:rsid w:val="2CF55009"/>
    <w:rsid w:val="2D1B4E83"/>
    <w:rsid w:val="2D1D3C0D"/>
    <w:rsid w:val="2D1F76A6"/>
    <w:rsid w:val="2D2155E6"/>
    <w:rsid w:val="2D24719C"/>
    <w:rsid w:val="2D27265E"/>
    <w:rsid w:val="2D2A6DFD"/>
    <w:rsid w:val="2D390796"/>
    <w:rsid w:val="2D39439A"/>
    <w:rsid w:val="2D437A51"/>
    <w:rsid w:val="2D445345"/>
    <w:rsid w:val="2D54223F"/>
    <w:rsid w:val="2D642BF7"/>
    <w:rsid w:val="2D6766A9"/>
    <w:rsid w:val="2D7A1D6F"/>
    <w:rsid w:val="2D936B2F"/>
    <w:rsid w:val="2D943851"/>
    <w:rsid w:val="2D9F2F2F"/>
    <w:rsid w:val="2DAA28F9"/>
    <w:rsid w:val="2DC071F3"/>
    <w:rsid w:val="2DC36856"/>
    <w:rsid w:val="2DCE7635"/>
    <w:rsid w:val="2DDC71C5"/>
    <w:rsid w:val="2DEE79E2"/>
    <w:rsid w:val="2E0226C6"/>
    <w:rsid w:val="2E051D0E"/>
    <w:rsid w:val="2E0844DD"/>
    <w:rsid w:val="2E2D1F53"/>
    <w:rsid w:val="2E3B7F28"/>
    <w:rsid w:val="2E473B2C"/>
    <w:rsid w:val="2E5821D0"/>
    <w:rsid w:val="2E584954"/>
    <w:rsid w:val="2E597BF5"/>
    <w:rsid w:val="2E5B16B8"/>
    <w:rsid w:val="2E5E72E1"/>
    <w:rsid w:val="2E64585F"/>
    <w:rsid w:val="2E7F587D"/>
    <w:rsid w:val="2E967356"/>
    <w:rsid w:val="2E9C0A98"/>
    <w:rsid w:val="2EAD52A8"/>
    <w:rsid w:val="2ECA37E4"/>
    <w:rsid w:val="2ECA4AD8"/>
    <w:rsid w:val="2EE107E4"/>
    <w:rsid w:val="2EF47418"/>
    <w:rsid w:val="2F053CC4"/>
    <w:rsid w:val="2F067003"/>
    <w:rsid w:val="2F194E41"/>
    <w:rsid w:val="2F256F91"/>
    <w:rsid w:val="2F292451"/>
    <w:rsid w:val="2F324C8E"/>
    <w:rsid w:val="2F377185"/>
    <w:rsid w:val="2F451F9E"/>
    <w:rsid w:val="2F6E12E0"/>
    <w:rsid w:val="2F8C2F15"/>
    <w:rsid w:val="2F9D0EC6"/>
    <w:rsid w:val="2F9E4FD2"/>
    <w:rsid w:val="2FC354EE"/>
    <w:rsid w:val="2FCF25FE"/>
    <w:rsid w:val="2FE50903"/>
    <w:rsid w:val="2FEF2B33"/>
    <w:rsid w:val="2FF8263D"/>
    <w:rsid w:val="300816DD"/>
    <w:rsid w:val="302259DF"/>
    <w:rsid w:val="302B2B77"/>
    <w:rsid w:val="30394A30"/>
    <w:rsid w:val="304C4307"/>
    <w:rsid w:val="305411DB"/>
    <w:rsid w:val="305A100E"/>
    <w:rsid w:val="305D2856"/>
    <w:rsid w:val="307050B3"/>
    <w:rsid w:val="30840E28"/>
    <w:rsid w:val="30906E39"/>
    <w:rsid w:val="309471FE"/>
    <w:rsid w:val="309A4A5A"/>
    <w:rsid w:val="309E5369"/>
    <w:rsid w:val="30D176FA"/>
    <w:rsid w:val="30E30173"/>
    <w:rsid w:val="30FC77ED"/>
    <w:rsid w:val="311E207F"/>
    <w:rsid w:val="312B4AB9"/>
    <w:rsid w:val="31324CCC"/>
    <w:rsid w:val="3137209B"/>
    <w:rsid w:val="31573A83"/>
    <w:rsid w:val="31591A82"/>
    <w:rsid w:val="31646663"/>
    <w:rsid w:val="31733F7B"/>
    <w:rsid w:val="317531EE"/>
    <w:rsid w:val="318A2717"/>
    <w:rsid w:val="318C4265"/>
    <w:rsid w:val="31A459B9"/>
    <w:rsid w:val="31B444D4"/>
    <w:rsid w:val="31C51434"/>
    <w:rsid w:val="31D22CC8"/>
    <w:rsid w:val="31D93313"/>
    <w:rsid w:val="31DC6E5B"/>
    <w:rsid w:val="31E62293"/>
    <w:rsid w:val="31E71A05"/>
    <w:rsid w:val="31E97D80"/>
    <w:rsid w:val="31F02294"/>
    <w:rsid w:val="31F44502"/>
    <w:rsid w:val="31FB2044"/>
    <w:rsid w:val="320574EA"/>
    <w:rsid w:val="320F7E48"/>
    <w:rsid w:val="322C20DD"/>
    <w:rsid w:val="32316565"/>
    <w:rsid w:val="32357A32"/>
    <w:rsid w:val="32372E3C"/>
    <w:rsid w:val="324F180D"/>
    <w:rsid w:val="325466AE"/>
    <w:rsid w:val="32567081"/>
    <w:rsid w:val="326038F6"/>
    <w:rsid w:val="326133B8"/>
    <w:rsid w:val="326313BC"/>
    <w:rsid w:val="32660FC5"/>
    <w:rsid w:val="327419D9"/>
    <w:rsid w:val="327E3602"/>
    <w:rsid w:val="328603FE"/>
    <w:rsid w:val="328A08D2"/>
    <w:rsid w:val="32A92D2C"/>
    <w:rsid w:val="32BF0677"/>
    <w:rsid w:val="32CA205B"/>
    <w:rsid w:val="32CA5BBB"/>
    <w:rsid w:val="32D912FC"/>
    <w:rsid w:val="32E16C89"/>
    <w:rsid w:val="33052C19"/>
    <w:rsid w:val="33064C13"/>
    <w:rsid w:val="330E6945"/>
    <w:rsid w:val="332A3B00"/>
    <w:rsid w:val="33307FF6"/>
    <w:rsid w:val="334E525C"/>
    <w:rsid w:val="335055DE"/>
    <w:rsid w:val="33871FDF"/>
    <w:rsid w:val="33916FB5"/>
    <w:rsid w:val="339C6E3C"/>
    <w:rsid w:val="33A2245F"/>
    <w:rsid w:val="33C5697B"/>
    <w:rsid w:val="33CB1ED1"/>
    <w:rsid w:val="33E92B45"/>
    <w:rsid w:val="33EB62BE"/>
    <w:rsid w:val="342E2B27"/>
    <w:rsid w:val="344142B6"/>
    <w:rsid w:val="344C2648"/>
    <w:rsid w:val="344E1A9B"/>
    <w:rsid w:val="345E6E5E"/>
    <w:rsid w:val="34687C5E"/>
    <w:rsid w:val="34744EFE"/>
    <w:rsid w:val="34777619"/>
    <w:rsid w:val="347A711C"/>
    <w:rsid w:val="34A14F8B"/>
    <w:rsid w:val="34B678E3"/>
    <w:rsid w:val="34C23E33"/>
    <w:rsid w:val="34C72B64"/>
    <w:rsid w:val="34D10BAC"/>
    <w:rsid w:val="34EB1D47"/>
    <w:rsid w:val="34F25A4D"/>
    <w:rsid w:val="351A1AD0"/>
    <w:rsid w:val="35224626"/>
    <w:rsid w:val="35277CE6"/>
    <w:rsid w:val="354D6802"/>
    <w:rsid w:val="35636867"/>
    <w:rsid w:val="35643608"/>
    <w:rsid w:val="359479E0"/>
    <w:rsid w:val="35C36441"/>
    <w:rsid w:val="35D344DD"/>
    <w:rsid w:val="35DC2EB9"/>
    <w:rsid w:val="35E65B6A"/>
    <w:rsid w:val="35F70B88"/>
    <w:rsid w:val="35FC7182"/>
    <w:rsid w:val="35FE12F6"/>
    <w:rsid w:val="360B0DFE"/>
    <w:rsid w:val="36240BCF"/>
    <w:rsid w:val="362C03EF"/>
    <w:rsid w:val="362C297C"/>
    <w:rsid w:val="365645B0"/>
    <w:rsid w:val="3659319C"/>
    <w:rsid w:val="366D31C5"/>
    <w:rsid w:val="366F435B"/>
    <w:rsid w:val="368A62A7"/>
    <w:rsid w:val="36AB59D2"/>
    <w:rsid w:val="36B63532"/>
    <w:rsid w:val="36B71424"/>
    <w:rsid w:val="36DF3716"/>
    <w:rsid w:val="36E23A6B"/>
    <w:rsid w:val="36ED5071"/>
    <w:rsid w:val="36EE56DE"/>
    <w:rsid w:val="36F01431"/>
    <w:rsid w:val="36FA52B9"/>
    <w:rsid w:val="370A20E8"/>
    <w:rsid w:val="37292673"/>
    <w:rsid w:val="37493473"/>
    <w:rsid w:val="37563DDE"/>
    <w:rsid w:val="375B6AF2"/>
    <w:rsid w:val="37684573"/>
    <w:rsid w:val="377550F8"/>
    <w:rsid w:val="37876E59"/>
    <w:rsid w:val="379E1E19"/>
    <w:rsid w:val="37A93E9C"/>
    <w:rsid w:val="37B713C2"/>
    <w:rsid w:val="37BD147C"/>
    <w:rsid w:val="37D37B44"/>
    <w:rsid w:val="37DC04B5"/>
    <w:rsid w:val="37E00D3A"/>
    <w:rsid w:val="37E3685D"/>
    <w:rsid w:val="37E47A67"/>
    <w:rsid w:val="37E6628A"/>
    <w:rsid w:val="37F750DD"/>
    <w:rsid w:val="383B014F"/>
    <w:rsid w:val="383E3254"/>
    <w:rsid w:val="38504F55"/>
    <w:rsid w:val="385E5A01"/>
    <w:rsid w:val="38655CB2"/>
    <w:rsid w:val="38710629"/>
    <w:rsid w:val="38796AAF"/>
    <w:rsid w:val="389D41C1"/>
    <w:rsid w:val="38B76194"/>
    <w:rsid w:val="38B85559"/>
    <w:rsid w:val="38C34BB0"/>
    <w:rsid w:val="38C83A95"/>
    <w:rsid w:val="38D53975"/>
    <w:rsid w:val="38E350E4"/>
    <w:rsid w:val="38F62A80"/>
    <w:rsid w:val="39022D86"/>
    <w:rsid w:val="39062E86"/>
    <w:rsid w:val="39080FCD"/>
    <w:rsid w:val="391C7F67"/>
    <w:rsid w:val="39312AEA"/>
    <w:rsid w:val="39340DC7"/>
    <w:rsid w:val="39404563"/>
    <w:rsid w:val="3941592E"/>
    <w:rsid w:val="39532652"/>
    <w:rsid w:val="395C76C0"/>
    <w:rsid w:val="39626404"/>
    <w:rsid w:val="39665F81"/>
    <w:rsid w:val="396B0138"/>
    <w:rsid w:val="396B2A3F"/>
    <w:rsid w:val="39784811"/>
    <w:rsid w:val="39A6126F"/>
    <w:rsid w:val="39C7091B"/>
    <w:rsid w:val="39CD3D8A"/>
    <w:rsid w:val="39D533A8"/>
    <w:rsid w:val="39D76A71"/>
    <w:rsid w:val="39D92C7C"/>
    <w:rsid w:val="3A190139"/>
    <w:rsid w:val="3A22512E"/>
    <w:rsid w:val="3A310B3A"/>
    <w:rsid w:val="3A3240EB"/>
    <w:rsid w:val="3A38534F"/>
    <w:rsid w:val="3A4A7D95"/>
    <w:rsid w:val="3A4E64A3"/>
    <w:rsid w:val="3A5544F3"/>
    <w:rsid w:val="3A704A2C"/>
    <w:rsid w:val="3A7E4E86"/>
    <w:rsid w:val="3A8E3546"/>
    <w:rsid w:val="3A983970"/>
    <w:rsid w:val="3AC23381"/>
    <w:rsid w:val="3AD81E7C"/>
    <w:rsid w:val="3ADC3EE0"/>
    <w:rsid w:val="3ADE7EEF"/>
    <w:rsid w:val="3AFB478A"/>
    <w:rsid w:val="3AFD53D4"/>
    <w:rsid w:val="3B1C0F1B"/>
    <w:rsid w:val="3B30272B"/>
    <w:rsid w:val="3B331D53"/>
    <w:rsid w:val="3B4E757D"/>
    <w:rsid w:val="3B5B6B92"/>
    <w:rsid w:val="3B612EFA"/>
    <w:rsid w:val="3B6C52D8"/>
    <w:rsid w:val="3B7719B9"/>
    <w:rsid w:val="3B9401DF"/>
    <w:rsid w:val="3B9F29DF"/>
    <w:rsid w:val="3BA646C2"/>
    <w:rsid w:val="3BAD3DEC"/>
    <w:rsid w:val="3BB724A9"/>
    <w:rsid w:val="3BB808B6"/>
    <w:rsid w:val="3BC557AF"/>
    <w:rsid w:val="3BD10C2F"/>
    <w:rsid w:val="3BDE1764"/>
    <w:rsid w:val="3BE16CCB"/>
    <w:rsid w:val="3BF422E0"/>
    <w:rsid w:val="3BF5376E"/>
    <w:rsid w:val="3BF663F5"/>
    <w:rsid w:val="3C0132A7"/>
    <w:rsid w:val="3C033A84"/>
    <w:rsid w:val="3C0376C1"/>
    <w:rsid w:val="3C06413A"/>
    <w:rsid w:val="3C07367A"/>
    <w:rsid w:val="3C076155"/>
    <w:rsid w:val="3C0A692A"/>
    <w:rsid w:val="3C13079F"/>
    <w:rsid w:val="3C3A2BDD"/>
    <w:rsid w:val="3C3A3753"/>
    <w:rsid w:val="3C41732C"/>
    <w:rsid w:val="3C437FF1"/>
    <w:rsid w:val="3C593492"/>
    <w:rsid w:val="3C5A3EB1"/>
    <w:rsid w:val="3C5F7E02"/>
    <w:rsid w:val="3C664A6F"/>
    <w:rsid w:val="3C695677"/>
    <w:rsid w:val="3C763177"/>
    <w:rsid w:val="3C777B46"/>
    <w:rsid w:val="3C871A6F"/>
    <w:rsid w:val="3C8F32FB"/>
    <w:rsid w:val="3C8F7C40"/>
    <w:rsid w:val="3CAA368D"/>
    <w:rsid w:val="3CC13DBB"/>
    <w:rsid w:val="3CC75CC4"/>
    <w:rsid w:val="3CCC28C3"/>
    <w:rsid w:val="3CDD2767"/>
    <w:rsid w:val="3CE16C26"/>
    <w:rsid w:val="3CE3064F"/>
    <w:rsid w:val="3CEB71EC"/>
    <w:rsid w:val="3CF90C5B"/>
    <w:rsid w:val="3D036DCA"/>
    <w:rsid w:val="3D060B14"/>
    <w:rsid w:val="3D170AC5"/>
    <w:rsid w:val="3D283268"/>
    <w:rsid w:val="3D3302A9"/>
    <w:rsid w:val="3D3B217C"/>
    <w:rsid w:val="3D3B7070"/>
    <w:rsid w:val="3D3F6DE2"/>
    <w:rsid w:val="3D504924"/>
    <w:rsid w:val="3D536404"/>
    <w:rsid w:val="3D581D30"/>
    <w:rsid w:val="3D59753B"/>
    <w:rsid w:val="3D5B6538"/>
    <w:rsid w:val="3D684593"/>
    <w:rsid w:val="3D76618C"/>
    <w:rsid w:val="3D810D7B"/>
    <w:rsid w:val="3D856994"/>
    <w:rsid w:val="3D8F67FE"/>
    <w:rsid w:val="3D9823E0"/>
    <w:rsid w:val="3D9A5B69"/>
    <w:rsid w:val="3DB62637"/>
    <w:rsid w:val="3DB633CE"/>
    <w:rsid w:val="3DB85894"/>
    <w:rsid w:val="3DCC1CEF"/>
    <w:rsid w:val="3DD15CEB"/>
    <w:rsid w:val="3DD8069F"/>
    <w:rsid w:val="3DE12A31"/>
    <w:rsid w:val="3DED5AA7"/>
    <w:rsid w:val="3E133B6C"/>
    <w:rsid w:val="3E2E6BF3"/>
    <w:rsid w:val="3E3E2034"/>
    <w:rsid w:val="3E415ED5"/>
    <w:rsid w:val="3E430A34"/>
    <w:rsid w:val="3E4E4F49"/>
    <w:rsid w:val="3E5927B4"/>
    <w:rsid w:val="3E6E6240"/>
    <w:rsid w:val="3E70617D"/>
    <w:rsid w:val="3EA00DCD"/>
    <w:rsid w:val="3EA44FC6"/>
    <w:rsid w:val="3EA83CE3"/>
    <w:rsid w:val="3EAE0D21"/>
    <w:rsid w:val="3EC81D56"/>
    <w:rsid w:val="3EDB67AD"/>
    <w:rsid w:val="3EDC7545"/>
    <w:rsid w:val="3F105D0A"/>
    <w:rsid w:val="3F145039"/>
    <w:rsid w:val="3F1669A9"/>
    <w:rsid w:val="3F3B0FCC"/>
    <w:rsid w:val="3F3D0E82"/>
    <w:rsid w:val="3F463150"/>
    <w:rsid w:val="3F4F7E11"/>
    <w:rsid w:val="3F576B16"/>
    <w:rsid w:val="3F6276B4"/>
    <w:rsid w:val="3F66240F"/>
    <w:rsid w:val="3F8D0BEA"/>
    <w:rsid w:val="3F8F64D8"/>
    <w:rsid w:val="3FB94369"/>
    <w:rsid w:val="3FBC6341"/>
    <w:rsid w:val="3FD12131"/>
    <w:rsid w:val="3FF966F1"/>
    <w:rsid w:val="400F5A16"/>
    <w:rsid w:val="40135933"/>
    <w:rsid w:val="401C555D"/>
    <w:rsid w:val="40224B89"/>
    <w:rsid w:val="404A138A"/>
    <w:rsid w:val="40504B71"/>
    <w:rsid w:val="40562031"/>
    <w:rsid w:val="40582C5E"/>
    <w:rsid w:val="405D63EB"/>
    <w:rsid w:val="40600DAE"/>
    <w:rsid w:val="40717E3B"/>
    <w:rsid w:val="40965A05"/>
    <w:rsid w:val="40B71891"/>
    <w:rsid w:val="40BC37E8"/>
    <w:rsid w:val="40DE41F6"/>
    <w:rsid w:val="40E81F8C"/>
    <w:rsid w:val="40EC4082"/>
    <w:rsid w:val="40FB1616"/>
    <w:rsid w:val="410514EE"/>
    <w:rsid w:val="410826A3"/>
    <w:rsid w:val="41104B56"/>
    <w:rsid w:val="4116427C"/>
    <w:rsid w:val="4133274C"/>
    <w:rsid w:val="41360EA3"/>
    <w:rsid w:val="41420358"/>
    <w:rsid w:val="41546FC2"/>
    <w:rsid w:val="415D3A2C"/>
    <w:rsid w:val="416D4949"/>
    <w:rsid w:val="41786C52"/>
    <w:rsid w:val="4184474F"/>
    <w:rsid w:val="418D7A83"/>
    <w:rsid w:val="41A546B2"/>
    <w:rsid w:val="41AC0489"/>
    <w:rsid w:val="41B26117"/>
    <w:rsid w:val="41BD61B7"/>
    <w:rsid w:val="41C07071"/>
    <w:rsid w:val="41C1354C"/>
    <w:rsid w:val="41D06E5B"/>
    <w:rsid w:val="41D2390E"/>
    <w:rsid w:val="41E65D5A"/>
    <w:rsid w:val="41EE18D3"/>
    <w:rsid w:val="41FD067F"/>
    <w:rsid w:val="422546E5"/>
    <w:rsid w:val="422D6DA0"/>
    <w:rsid w:val="42331840"/>
    <w:rsid w:val="423C15B9"/>
    <w:rsid w:val="42426155"/>
    <w:rsid w:val="424377D9"/>
    <w:rsid w:val="424A17A3"/>
    <w:rsid w:val="42500259"/>
    <w:rsid w:val="425126E1"/>
    <w:rsid w:val="4258410D"/>
    <w:rsid w:val="426A0492"/>
    <w:rsid w:val="428D12FC"/>
    <w:rsid w:val="42A16AFE"/>
    <w:rsid w:val="42A3129F"/>
    <w:rsid w:val="42B47491"/>
    <w:rsid w:val="42B51ED4"/>
    <w:rsid w:val="42C331C2"/>
    <w:rsid w:val="42C84A20"/>
    <w:rsid w:val="42C92685"/>
    <w:rsid w:val="42DF227F"/>
    <w:rsid w:val="430B5D6B"/>
    <w:rsid w:val="431277AA"/>
    <w:rsid w:val="43251536"/>
    <w:rsid w:val="432846F5"/>
    <w:rsid w:val="432A1241"/>
    <w:rsid w:val="432F1E46"/>
    <w:rsid w:val="434C71F8"/>
    <w:rsid w:val="43592C8A"/>
    <w:rsid w:val="43606489"/>
    <w:rsid w:val="436B35D4"/>
    <w:rsid w:val="43842A91"/>
    <w:rsid w:val="439E0CE5"/>
    <w:rsid w:val="43AD2714"/>
    <w:rsid w:val="43C85982"/>
    <w:rsid w:val="43DD57CD"/>
    <w:rsid w:val="43E239C3"/>
    <w:rsid w:val="43E63364"/>
    <w:rsid w:val="43EC32BE"/>
    <w:rsid w:val="43ED2166"/>
    <w:rsid w:val="43EF4482"/>
    <w:rsid w:val="43F01F04"/>
    <w:rsid w:val="43F718C6"/>
    <w:rsid w:val="44013B1D"/>
    <w:rsid w:val="44020416"/>
    <w:rsid w:val="4408086E"/>
    <w:rsid w:val="440C40BC"/>
    <w:rsid w:val="44115CBC"/>
    <w:rsid w:val="44395B7B"/>
    <w:rsid w:val="444C0933"/>
    <w:rsid w:val="445D548D"/>
    <w:rsid w:val="44764038"/>
    <w:rsid w:val="447C4264"/>
    <w:rsid w:val="448D7804"/>
    <w:rsid w:val="449B3BE0"/>
    <w:rsid w:val="44BF3856"/>
    <w:rsid w:val="44D50999"/>
    <w:rsid w:val="44DB6C58"/>
    <w:rsid w:val="44E227F0"/>
    <w:rsid w:val="44F35F3F"/>
    <w:rsid w:val="44FF1AEC"/>
    <w:rsid w:val="450D5F67"/>
    <w:rsid w:val="453D41DB"/>
    <w:rsid w:val="45497C05"/>
    <w:rsid w:val="4553409B"/>
    <w:rsid w:val="45660C19"/>
    <w:rsid w:val="457943A5"/>
    <w:rsid w:val="457B47AB"/>
    <w:rsid w:val="459270B2"/>
    <w:rsid w:val="45966596"/>
    <w:rsid w:val="45A565E8"/>
    <w:rsid w:val="45AE0F60"/>
    <w:rsid w:val="45B22AA5"/>
    <w:rsid w:val="45BE6D4D"/>
    <w:rsid w:val="45C77D66"/>
    <w:rsid w:val="45C9429F"/>
    <w:rsid w:val="45D373E2"/>
    <w:rsid w:val="45DE3CAE"/>
    <w:rsid w:val="45EC6F81"/>
    <w:rsid w:val="45F84858"/>
    <w:rsid w:val="45F8746A"/>
    <w:rsid w:val="46077E3B"/>
    <w:rsid w:val="460D0162"/>
    <w:rsid w:val="460D0F0F"/>
    <w:rsid w:val="462B052A"/>
    <w:rsid w:val="462C1FF0"/>
    <w:rsid w:val="465261E4"/>
    <w:rsid w:val="465A790D"/>
    <w:rsid w:val="46836AD0"/>
    <w:rsid w:val="468A3732"/>
    <w:rsid w:val="469C70AE"/>
    <w:rsid w:val="46A02BFF"/>
    <w:rsid w:val="46AA53B0"/>
    <w:rsid w:val="46B8339B"/>
    <w:rsid w:val="46B94916"/>
    <w:rsid w:val="46CB1B3B"/>
    <w:rsid w:val="46D27A13"/>
    <w:rsid w:val="46DC6382"/>
    <w:rsid w:val="46E057F3"/>
    <w:rsid w:val="46E612AC"/>
    <w:rsid w:val="470B6C6D"/>
    <w:rsid w:val="471C3883"/>
    <w:rsid w:val="47205C65"/>
    <w:rsid w:val="472A2072"/>
    <w:rsid w:val="472A3ABD"/>
    <w:rsid w:val="472B3B4A"/>
    <w:rsid w:val="472C6498"/>
    <w:rsid w:val="474952E4"/>
    <w:rsid w:val="474B5A0C"/>
    <w:rsid w:val="475966FA"/>
    <w:rsid w:val="47600B4F"/>
    <w:rsid w:val="477F0E2A"/>
    <w:rsid w:val="47942F8B"/>
    <w:rsid w:val="47BA1A11"/>
    <w:rsid w:val="47BA70C6"/>
    <w:rsid w:val="47DB5CF2"/>
    <w:rsid w:val="47EE4CFA"/>
    <w:rsid w:val="47F74ED5"/>
    <w:rsid w:val="47FD451D"/>
    <w:rsid w:val="47FD6978"/>
    <w:rsid w:val="47FF7433"/>
    <w:rsid w:val="480C0188"/>
    <w:rsid w:val="48242E17"/>
    <w:rsid w:val="482D178B"/>
    <w:rsid w:val="483070B8"/>
    <w:rsid w:val="48447833"/>
    <w:rsid w:val="484572D0"/>
    <w:rsid w:val="48477DF8"/>
    <w:rsid w:val="4858441E"/>
    <w:rsid w:val="4860250B"/>
    <w:rsid w:val="48791CCF"/>
    <w:rsid w:val="48792097"/>
    <w:rsid w:val="487979AF"/>
    <w:rsid w:val="487A1A11"/>
    <w:rsid w:val="48965815"/>
    <w:rsid w:val="489A4E2B"/>
    <w:rsid w:val="48A06322"/>
    <w:rsid w:val="48AE6BE0"/>
    <w:rsid w:val="48B735CE"/>
    <w:rsid w:val="48C71057"/>
    <w:rsid w:val="48D0051C"/>
    <w:rsid w:val="48D5612B"/>
    <w:rsid w:val="48D93C15"/>
    <w:rsid w:val="48E62158"/>
    <w:rsid w:val="48F05AAB"/>
    <w:rsid w:val="48F12BA6"/>
    <w:rsid w:val="490648CB"/>
    <w:rsid w:val="490B5825"/>
    <w:rsid w:val="4927718A"/>
    <w:rsid w:val="493062CE"/>
    <w:rsid w:val="49323767"/>
    <w:rsid w:val="494D68B3"/>
    <w:rsid w:val="494E5BD4"/>
    <w:rsid w:val="49521C24"/>
    <w:rsid w:val="495833E7"/>
    <w:rsid w:val="496651F0"/>
    <w:rsid w:val="496A0A75"/>
    <w:rsid w:val="496F7BA1"/>
    <w:rsid w:val="49925724"/>
    <w:rsid w:val="499D61D3"/>
    <w:rsid w:val="49AC320D"/>
    <w:rsid w:val="49B330E7"/>
    <w:rsid w:val="49C026F2"/>
    <w:rsid w:val="49E346D6"/>
    <w:rsid w:val="49F9275F"/>
    <w:rsid w:val="49FA6DBE"/>
    <w:rsid w:val="4A020EFA"/>
    <w:rsid w:val="4A046DFA"/>
    <w:rsid w:val="4A0A15C3"/>
    <w:rsid w:val="4A0A2BD8"/>
    <w:rsid w:val="4A0D386B"/>
    <w:rsid w:val="4A121898"/>
    <w:rsid w:val="4A277759"/>
    <w:rsid w:val="4A3E54DC"/>
    <w:rsid w:val="4A452849"/>
    <w:rsid w:val="4A461A3F"/>
    <w:rsid w:val="4A5B700A"/>
    <w:rsid w:val="4A605B6E"/>
    <w:rsid w:val="4A850D56"/>
    <w:rsid w:val="4A8C0982"/>
    <w:rsid w:val="4AA04124"/>
    <w:rsid w:val="4AAA096E"/>
    <w:rsid w:val="4AAE2937"/>
    <w:rsid w:val="4AAE754F"/>
    <w:rsid w:val="4ABA672F"/>
    <w:rsid w:val="4ABD162D"/>
    <w:rsid w:val="4AE15FF1"/>
    <w:rsid w:val="4B0F20B9"/>
    <w:rsid w:val="4B1B58B8"/>
    <w:rsid w:val="4B4142F5"/>
    <w:rsid w:val="4B52574E"/>
    <w:rsid w:val="4B5B0F3C"/>
    <w:rsid w:val="4B643BC9"/>
    <w:rsid w:val="4B942AA6"/>
    <w:rsid w:val="4B9D671D"/>
    <w:rsid w:val="4BA74AAE"/>
    <w:rsid w:val="4BA82530"/>
    <w:rsid w:val="4BA8258C"/>
    <w:rsid w:val="4BAD2408"/>
    <w:rsid w:val="4BB60B36"/>
    <w:rsid w:val="4BB7446A"/>
    <w:rsid w:val="4BB77FEE"/>
    <w:rsid w:val="4BCC4B11"/>
    <w:rsid w:val="4BD77B5C"/>
    <w:rsid w:val="4BDF3E8C"/>
    <w:rsid w:val="4BE90D9B"/>
    <w:rsid w:val="4BF83DAD"/>
    <w:rsid w:val="4BFF0763"/>
    <w:rsid w:val="4C09555E"/>
    <w:rsid w:val="4C0B05DF"/>
    <w:rsid w:val="4C0C47D3"/>
    <w:rsid w:val="4C1673AD"/>
    <w:rsid w:val="4C1D6C6B"/>
    <w:rsid w:val="4C405F26"/>
    <w:rsid w:val="4C4C3189"/>
    <w:rsid w:val="4C6A4093"/>
    <w:rsid w:val="4C833A35"/>
    <w:rsid w:val="4CCA2155"/>
    <w:rsid w:val="4CCB5B0A"/>
    <w:rsid w:val="4CD15D77"/>
    <w:rsid w:val="4CD2445C"/>
    <w:rsid w:val="4CDE3DEF"/>
    <w:rsid w:val="4CE639B0"/>
    <w:rsid w:val="4D0A44FF"/>
    <w:rsid w:val="4D0F41F2"/>
    <w:rsid w:val="4D176121"/>
    <w:rsid w:val="4D1F0BDD"/>
    <w:rsid w:val="4D255848"/>
    <w:rsid w:val="4D291727"/>
    <w:rsid w:val="4D2C00D2"/>
    <w:rsid w:val="4D352FBB"/>
    <w:rsid w:val="4D550157"/>
    <w:rsid w:val="4D7807A0"/>
    <w:rsid w:val="4D786CCD"/>
    <w:rsid w:val="4D873874"/>
    <w:rsid w:val="4D8B4E2D"/>
    <w:rsid w:val="4DBE5B79"/>
    <w:rsid w:val="4DBF2B07"/>
    <w:rsid w:val="4DC42F3B"/>
    <w:rsid w:val="4DC7177A"/>
    <w:rsid w:val="4DCE46FF"/>
    <w:rsid w:val="4DEB6549"/>
    <w:rsid w:val="4E2766A9"/>
    <w:rsid w:val="4E31040B"/>
    <w:rsid w:val="4E3A46E8"/>
    <w:rsid w:val="4E702006"/>
    <w:rsid w:val="4E7A5EC8"/>
    <w:rsid w:val="4E867028"/>
    <w:rsid w:val="4EB2275C"/>
    <w:rsid w:val="4EB45D0E"/>
    <w:rsid w:val="4EC00443"/>
    <w:rsid w:val="4EC820CD"/>
    <w:rsid w:val="4EDC1F62"/>
    <w:rsid w:val="4EEF7D81"/>
    <w:rsid w:val="4F1012FA"/>
    <w:rsid w:val="4F1D0963"/>
    <w:rsid w:val="4F361B4D"/>
    <w:rsid w:val="4F372395"/>
    <w:rsid w:val="4F396F09"/>
    <w:rsid w:val="4F3D5543"/>
    <w:rsid w:val="4F497D63"/>
    <w:rsid w:val="4F5F6F5F"/>
    <w:rsid w:val="4F654D94"/>
    <w:rsid w:val="4F6B5159"/>
    <w:rsid w:val="4F83526C"/>
    <w:rsid w:val="4F8620CF"/>
    <w:rsid w:val="4F913DC3"/>
    <w:rsid w:val="4FC41FF1"/>
    <w:rsid w:val="4FC90D2D"/>
    <w:rsid w:val="4FCE58A8"/>
    <w:rsid w:val="4FD240DB"/>
    <w:rsid w:val="4FD9460B"/>
    <w:rsid w:val="4FDD58DA"/>
    <w:rsid w:val="4FF06893"/>
    <w:rsid w:val="501F1F64"/>
    <w:rsid w:val="50261A64"/>
    <w:rsid w:val="502A5809"/>
    <w:rsid w:val="50583E29"/>
    <w:rsid w:val="506E1645"/>
    <w:rsid w:val="508E1854"/>
    <w:rsid w:val="509016B8"/>
    <w:rsid w:val="509748C6"/>
    <w:rsid w:val="50A17B5B"/>
    <w:rsid w:val="50A8618D"/>
    <w:rsid w:val="50AB3567"/>
    <w:rsid w:val="50AD3AB2"/>
    <w:rsid w:val="50AE4CA4"/>
    <w:rsid w:val="50B22106"/>
    <w:rsid w:val="50B64B4C"/>
    <w:rsid w:val="50D27736"/>
    <w:rsid w:val="50DF7A51"/>
    <w:rsid w:val="50E200A6"/>
    <w:rsid w:val="50F47EDC"/>
    <w:rsid w:val="50FB1E7E"/>
    <w:rsid w:val="5106071E"/>
    <w:rsid w:val="51074548"/>
    <w:rsid w:val="51124BFA"/>
    <w:rsid w:val="511D52CF"/>
    <w:rsid w:val="51300B0F"/>
    <w:rsid w:val="51330F4D"/>
    <w:rsid w:val="51362D57"/>
    <w:rsid w:val="513A34F6"/>
    <w:rsid w:val="51522883"/>
    <w:rsid w:val="515C7B07"/>
    <w:rsid w:val="516433F0"/>
    <w:rsid w:val="51667F59"/>
    <w:rsid w:val="518B6458"/>
    <w:rsid w:val="51937FE1"/>
    <w:rsid w:val="51950F66"/>
    <w:rsid w:val="51A534B8"/>
    <w:rsid w:val="51B33EA2"/>
    <w:rsid w:val="51BA7EDE"/>
    <w:rsid w:val="51D34219"/>
    <w:rsid w:val="51E05773"/>
    <w:rsid w:val="51E24315"/>
    <w:rsid w:val="51E53BE2"/>
    <w:rsid w:val="51EA2BB1"/>
    <w:rsid w:val="51ED329F"/>
    <w:rsid w:val="51F47120"/>
    <w:rsid w:val="51FA569B"/>
    <w:rsid w:val="51FE37A6"/>
    <w:rsid w:val="522430AA"/>
    <w:rsid w:val="52397C08"/>
    <w:rsid w:val="524B3DB9"/>
    <w:rsid w:val="526527E1"/>
    <w:rsid w:val="527029CD"/>
    <w:rsid w:val="5276033B"/>
    <w:rsid w:val="527618D9"/>
    <w:rsid w:val="527C1967"/>
    <w:rsid w:val="52877CCB"/>
    <w:rsid w:val="528C0123"/>
    <w:rsid w:val="529F7F27"/>
    <w:rsid w:val="52A160DF"/>
    <w:rsid w:val="52A922BE"/>
    <w:rsid w:val="52AC75AF"/>
    <w:rsid w:val="52AE1A33"/>
    <w:rsid w:val="52B17AD3"/>
    <w:rsid w:val="52B7477C"/>
    <w:rsid w:val="52ED4D9B"/>
    <w:rsid w:val="530125E0"/>
    <w:rsid w:val="53027B0A"/>
    <w:rsid w:val="53067BC9"/>
    <w:rsid w:val="531404DE"/>
    <w:rsid w:val="53186034"/>
    <w:rsid w:val="532B01D5"/>
    <w:rsid w:val="53410526"/>
    <w:rsid w:val="53602CFA"/>
    <w:rsid w:val="536C7A82"/>
    <w:rsid w:val="536F1B32"/>
    <w:rsid w:val="53792400"/>
    <w:rsid w:val="53795FFD"/>
    <w:rsid w:val="53915D06"/>
    <w:rsid w:val="539A2935"/>
    <w:rsid w:val="53A15B43"/>
    <w:rsid w:val="53CF3506"/>
    <w:rsid w:val="53DE3FF1"/>
    <w:rsid w:val="53DF4980"/>
    <w:rsid w:val="53F17053"/>
    <w:rsid w:val="53F26454"/>
    <w:rsid w:val="53F961D2"/>
    <w:rsid w:val="54023DEE"/>
    <w:rsid w:val="541447FD"/>
    <w:rsid w:val="54421070"/>
    <w:rsid w:val="54497256"/>
    <w:rsid w:val="545411CF"/>
    <w:rsid w:val="5455121F"/>
    <w:rsid w:val="547A33D3"/>
    <w:rsid w:val="548A43A8"/>
    <w:rsid w:val="54AD745E"/>
    <w:rsid w:val="54B00F1C"/>
    <w:rsid w:val="54C67CB0"/>
    <w:rsid w:val="54CB05D9"/>
    <w:rsid w:val="54D25CC6"/>
    <w:rsid w:val="54D97A00"/>
    <w:rsid w:val="54E603D9"/>
    <w:rsid w:val="54EE7B7F"/>
    <w:rsid w:val="55024486"/>
    <w:rsid w:val="5519649C"/>
    <w:rsid w:val="552C503A"/>
    <w:rsid w:val="55346EB7"/>
    <w:rsid w:val="554A487A"/>
    <w:rsid w:val="554D0294"/>
    <w:rsid w:val="554D1074"/>
    <w:rsid w:val="554D400C"/>
    <w:rsid w:val="55656729"/>
    <w:rsid w:val="55934477"/>
    <w:rsid w:val="55AE2828"/>
    <w:rsid w:val="55B85CAC"/>
    <w:rsid w:val="55B9688B"/>
    <w:rsid w:val="55C909CB"/>
    <w:rsid w:val="55C93D4D"/>
    <w:rsid w:val="55D52260"/>
    <w:rsid w:val="55DA5B19"/>
    <w:rsid w:val="55E03E74"/>
    <w:rsid w:val="55E65AA5"/>
    <w:rsid w:val="55E87E89"/>
    <w:rsid w:val="55F27F1A"/>
    <w:rsid w:val="560732BA"/>
    <w:rsid w:val="561B0B33"/>
    <w:rsid w:val="561E00D5"/>
    <w:rsid w:val="562F501F"/>
    <w:rsid w:val="56351C1B"/>
    <w:rsid w:val="5643306E"/>
    <w:rsid w:val="5664176F"/>
    <w:rsid w:val="566938BF"/>
    <w:rsid w:val="56827D56"/>
    <w:rsid w:val="56986D27"/>
    <w:rsid w:val="56A43650"/>
    <w:rsid w:val="56A624FF"/>
    <w:rsid w:val="56AF3E3C"/>
    <w:rsid w:val="56CD4327"/>
    <w:rsid w:val="56F60834"/>
    <w:rsid w:val="56FA66CD"/>
    <w:rsid w:val="570907D3"/>
    <w:rsid w:val="570F089B"/>
    <w:rsid w:val="570F0CE3"/>
    <w:rsid w:val="570F3506"/>
    <w:rsid w:val="571F7064"/>
    <w:rsid w:val="573724B1"/>
    <w:rsid w:val="5737331C"/>
    <w:rsid w:val="57610E21"/>
    <w:rsid w:val="57737592"/>
    <w:rsid w:val="5774408E"/>
    <w:rsid w:val="57833E15"/>
    <w:rsid w:val="579B400E"/>
    <w:rsid w:val="57B74EBF"/>
    <w:rsid w:val="57C45E82"/>
    <w:rsid w:val="57CE109C"/>
    <w:rsid w:val="57E701F0"/>
    <w:rsid w:val="580727FE"/>
    <w:rsid w:val="580A0A8D"/>
    <w:rsid w:val="580D3184"/>
    <w:rsid w:val="58146658"/>
    <w:rsid w:val="581C7D80"/>
    <w:rsid w:val="58245BBD"/>
    <w:rsid w:val="582A4A54"/>
    <w:rsid w:val="58545C58"/>
    <w:rsid w:val="585B02A8"/>
    <w:rsid w:val="587518AF"/>
    <w:rsid w:val="58763026"/>
    <w:rsid w:val="587D3DDC"/>
    <w:rsid w:val="58814B50"/>
    <w:rsid w:val="588D611D"/>
    <w:rsid w:val="58D11E00"/>
    <w:rsid w:val="58D33C1B"/>
    <w:rsid w:val="58D65FD7"/>
    <w:rsid w:val="58DD212B"/>
    <w:rsid w:val="58E06574"/>
    <w:rsid w:val="58E27B6E"/>
    <w:rsid w:val="58EA3365"/>
    <w:rsid w:val="58F14326"/>
    <w:rsid w:val="590439D8"/>
    <w:rsid w:val="590D1794"/>
    <w:rsid w:val="59146C8F"/>
    <w:rsid w:val="591B1E32"/>
    <w:rsid w:val="59373B6B"/>
    <w:rsid w:val="59450CB5"/>
    <w:rsid w:val="596874EE"/>
    <w:rsid w:val="597132D5"/>
    <w:rsid w:val="59715563"/>
    <w:rsid w:val="598708F7"/>
    <w:rsid w:val="5995121A"/>
    <w:rsid w:val="599C2C5F"/>
    <w:rsid w:val="59A65146"/>
    <w:rsid w:val="59B07E34"/>
    <w:rsid w:val="59B16552"/>
    <w:rsid w:val="59B26AA7"/>
    <w:rsid w:val="59B940A8"/>
    <w:rsid w:val="59C716E4"/>
    <w:rsid w:val="59DB4266"/>
    <w:rsid w:val="59E508D5"/>
    <w:rsid w:val="59F31777"/>
    <w:rsid w:val="59FE5B32"/>
    <w:rsid w:val="59FF0B0D"/>
    <w:rsid w:val="5A040C96"/>
    <w:rsid w:val="5A0B6167"/>
    <w:rsid w:val="5A260407"/>
    <w:rsid w:val="5A3A7F15"/>
    <w:rsid w:val="5A3E3499"/>
    <w:rsid w:val="5A5E1527"/>
    <w:rsid w:val="5A696143"/>
    <w:rsid w:val="5A765FAF"/>
    <w:rsid w:val="5A885FFE"/>
    <w:rsid w:val="5AF3463B"/>
    <w:rsid w:val="5B035DB7"/>
    <w:rsid w:val="5B0501EA"/>
    <w:rsid w:val="5B08634A"/>
    <w:rsid w:val="5B0B0883"/>
    <w:rsid w:val="5B122177"/>
    <w:rsid w:val="5B183EB2"/>
    <w:rsid w:val="5B242666"/>
    <w:rsid w:val="5B3E05F3"/>
    <w:rsid w:val="5B4D5A95"/>
    <w:rsid w:val="5B4D7567"/>
    <w:rsid w:val="5B5E6C56"/>
    <w:rsid w:val="5B7464A6"/>
    <w:rsid w:val="5B7E0997"/>
    <w:rsid w:val="5B7F41B0"/>
    <w:rsid w:val="5B89510F"/>
    <w:rsid w:val="5BAE1FF5"/>
    <w:rsid w:val="5BEE6662"/>
    <w:rsid w:val="5BF27267"/>
    <w:rsid w:val="5BF30F7C"/>
    <w:rsid w:val="5BF96E6A"/>
    <w:rsid w:val="5C032AD3"/>
    <w:rsid w:val="5C156C25"/>
    <w:rsid w:val="5C433201"/>
    <w:rsid w:val="5C8C6512"/>
    <w:rsid w:val="5C915E6B"/>
    <w:rsid w:val="5C9E7DD6"/>
    <w:rsid w:val="5C9F2C03"/>
    <w:rsid w:val="5CB56C70"/>
    <w:rsid w:val="5CB61A8A"/>
    <w:rsid w:val="5CD65DC0"/>
    <w:rsid w:val="5CE22A26"/>
    <w:rsid w:val="5CEA0067"/>
    <w:rsid w:val="5CF21BCF"/>
    <w:rsid w:val="5D007CB1"/>
    <w:rsid w:val="5D036BB7"/>
    <w:rsid w:val="5D166F59"/>
    <w:rsid w:val="5D1A07C6"/>
    <w:rsid w:val="5D2763B4"/>
    <w:rsid w:val="5D2D1836"/>
    <w:rsid w:val="5D310C9C"/>
    <w:rsid w:val="5D3B67B3"/>
    <w:rsid w:val="5D4115F3"/>
    <w:rsid w:val="5D434279"/>
    <w:rsid w:val="5D4D621E"/>
    <w:rsid w:val="5D794A44"/>
    <w:rsid w:val="5D923490"/>
    <w:rsid w:val="5D9A44E3"/>
    <w:rsid w:val="5DB13FB1"/>
    <w:rsid w:val="5DB31446"/>
    <w:rsid w:val="5DC63B96"/>
    <w:rsid w:val="5DCC5A91"/>
    <w:rsid w:val="5DCE362F"/>
    <w:rsid w:val="5DCF45EB"/>
    <w:rsid w:val="5DE15EA6"/>
    <w:rsid w:val="5DEB4A2B"/>
    <w:rsid w:val="5DFD1600"/>
    <w:rsid w:val="5E09515B"/>
    <w:rsid w:val="5E1849EE"/>
    <w:rsid w:val="5E1F2480"/>
    <w:rsid w:val="5E200EFD"/>
    <w:rsid w:val="5E277C38"/>
    <w:rsid w:val="5E2C67C9"/>
    <w:rsid w:val="5E4002C5"/>
    <w:rsid w:val="5E436B37"/>
    <w:rsid w:val="5E4801AA"/>
    <w:rsid w:val="5E4B6350"/>
    <w:rsid w:val="5E666CEB"/>
    <w:rsid w:val="5EB96723"/>
    <w:rsid w:val="5EC31555"/>
    <w:rsid w:val="5EEA6F44"/>
    <w:rsid w:val="5F0464F6"/>
    <w:rsid w:val="5F3108DB"/>
    <w:rsid w:val="5F3C63A0"/>
    <w:rsid w:val="5F4727A0"/>
    <w:rsid w:val="5F577A7F"/>
    <w:rsid w:val="5F5E415B"/>
    <w:rsid w:val="5F731427"/>
    <w:rsid w:val="5F82238B"/>
    <w:rsid w:val="5F8800C7"/>
    <w:rsid w:val="5F974B55"/>
    <w:rsid w:val="5F991667"/>
    <w:rsid w:val="5FA57677"/>
    <w:rsid w:val="5FB00D18"/>
    <w:rsid w:val="5FB80E54"/>
    <w:rsid w:val="5FBA1D8E"/>
    <w:rsid w:val="5FBE4A08"/>
    <w:rsid w:val="5FFF4477"/>
    <w:rsid w:val="60064219"/>
    <w:rsid w:val="600A739C"/>
    <w:rsid w:val="600D3BA4"/>
    <w:rsid w:val="601D579C"/>
    <w:rsid w:val="60300E80"/>
    <w:rsid w:val="604161C5"/>
    <w:rsid w:val="60481536"/>
    <w:rsid w:val="604C562A"/>
    <w:rsid w:val="60663614"/>
    <w:rsid w:val="60693D44"/>
    <w:rsid w:val="606B0CDD"/>
    <w:rsid w:val="60712EFB"/>
    <w:rsid w:val="6072134A"/>
    <w:rsid w:val="607311FA"/>
    <w:rsid w:val="6074278E"/>
    <w:rsid w:val="607D18D9"/>
    <w:rsid w:val="6087717D"/>
    <w:rsid w:val="608C1136"/>
    <w:rsid w:val="609E056C"/>
    <w:rsid w:val="60A40846"/>
    <w:rsid w:val="60C74323"/>
    <w:rsid w:val="60D07165"/>
    <w:rsid w:val="60D251C9"/>
    <w:rsid w:val="60D276BC"/>
    <w:rsid w:val="60DB558A"/>
    <w:rsid w:val="61081691"/>
    <w:rsid w:val="610938B3"/>
    <w:rsid w:val="610E6D0E"/>
    <w:rsid w:val="61114426"/>
    <w:rsid w:val="611D016D"/>
    <w:rsid w:val="614165F3"/>
    <w:rsid w:val="614C752E"/>
    <w:rsid w:val="614D1FB2"/>
    <w:rsid w:val="615876AC"/>
    <w:rsid w:val="616C6FE3"/>
    <w:rsid w:val="61987878"/>
    <w:rsid w:val="61B230EF"/>
    <w:rsid w:val="61C94166"/>
    <w:rsid w:val="61C953A4"/>
    <w:rsid w:val="61D76FAA"/>
    <w:rsid w:val="61DC2979"/>
    <w:rsid w:val="61DD5C06"/>
    <w:rsid w:val="61E70A76"/>
    <w:rsid w:val="61EB291B"/>
    <w:rsid w:val="61F04715"/>
    <w:rsid w:val="622E7340"/>
    <w:rsid w:val="623658CD"/>
    <w:rsid w:val="624E1B54"/>
    <w:rsid w:val="624E6230"/>
    <w:rsid w:val="62556609"/>
    <w:rsid w:val="626D51C7"/>
    <w:rsid w:val="626E19E6"/>
    <w:rsid w:val="62865532"/>
    <w:rsid w:val="62923F02"/>
    <w:rsid w:val="62A2295B"/>
    <w:rsid w:val="62B30DDC"/>
    <w:rsid w:val="62B512F1"/>
    <w:rsid w:val="62B61228"/>
    <w:rsid w:val="62C7181E"/>
    <w:rsid w:val="62CB6DC0"/>
    <w:rsid w:val="62CC395D"/>
    <w:rsid w:val="62E25070"/>
    <w:rsid w:val="62EB3182"/>
    <w:rsid w:val="62EC0759"/>
    <w:rsid w:val="62EE3075"/>
    <w:rsid w:val="62F016BC"/>
    <w:rsid w:val="62F43F60"/>
    <w:rsid w:val="62FC2A89"/>
    <w:rsid w:val="63096365"/>
    <w:rsid w:val="631043E3"/>
    <w:rsid w:val="63193876"/>
    <w:rsid w:val="631A5632"/>
    <w:rsid w:val="63394BFF"/>
    <w:rsid w:val="63694F65"/>
    <w:rsid w:val="636C6776"/>
    <w:rsid w:val="638D3EB5"/>
    <w:rsid w:val="63937C6D"/>
    <w:rsid w:val="63992D93"/>
    <w:rsid w:val="63A51085"/>
    <w:rsid w:val="63B15584"/>
    <w:rsid w:val="63B35F98"/>
    <w:rsid w:val="63B569F3"/>
    <w:rsid w:val="63C809DA"/>
    <w:rsid w:val="63C92029"/>
    <w:rsid w:val="63CD05EB"/>
    <w:rsid w:val="63F012E8"/>
    <w:rsid w:val="63F10007"/>
    <w:rsid w:val="640810AA"/>
    <w:rsid w:val="64114CB8"/>
    <w:rsid w:val="642C6B67"/>
    <w:rsid w:val="64373CEA"/>
    <w:rsid w:val="643E4883"/>
    <w:rsid w:val="644C3626"/>
    <w:rsid w:val="644D092B"/>
    <w:rsid w:val="645B3716"/>
    <w:rsid w:val="645F2EFB"/>
    <w:rsid w:val="646F38A8"/>
    <w:rsid w:val="64727E41"/>
    <w:rsid w:val="647A66E1"/>
    <w:rsid w:val="647E2E6C"/>
    <w:rsid w:val="648260E2"/>
    <w:rsid w:val="649A719B"/>
    <w:rsid w:val="64BE77DD"/>
    <w:rsid w:val="64CA08E4"/>
    <w:rsid w:val="64CE6F04"/>
    <w:rsid w:val="64DF7762"/>
    <w:rsid w:val="64F034A6"/>
    <w:rsid w:val="64F06B46"/>
    <w:rsid w:val="64F144CA"/>
    <w:rsid w:val="64F42B93"/>
    <w:rsid w:val="64F7649C"/>
    <w:rsid w:val="650C7427"/>
    <w:rsid w:val="6521206A"/>
    <w:rsid w:val="653A3BCD"/>
    <w:rsid w:val="65492406"/>
    <w:rsid w:val="65611FEF"/>
    <w:rsid w:val="656C4B0B"/>
    <w:rsid w:val="656E3654"/>
    <w:rsid w:val="656E5E21"/>
    <w:rsid w:val="657A3760"/>
    <w:rsid w:val="65951A49"/>
    <w:rsid w:val="65A27089"/>
    <w:rsid w:val="65A72493"/>
    <w:rsid w:val="65D95B69"/>
    <w:rsid w:val="65E930F9"/>
    <w:rsid w:val="65FE76DD"/>
    <w:rsid w:val="66016188"/>
    <w:rsid w:val="66044152"/>
    <w:rsid w:val="66294117"/>
    <w:rsid w:val="66395602"/>
    <w:rsid w:val="66470516"/>
    <w:rsid w:val="664C23E4"/>
    <w:rsid w:val="665338E7"/>
    <w:rsid w:val="6666299E"/>
    <w:rsid w:val="666822BD"/>
    <w:rsid w:val="666E5C0A"/>
    <w:rsid w:val="668B1803"/>
    <w:rsid w:val="669824D0"/>
    <w:rsid w:val="66A1458B"/>
    <w:rsid w:val="66A464E4"/>
    <w:rsid w:val="66A75F0B"/>
    <w:rsid w:val="66C7120A"/>
    <w:rsid w:val="66CA652F"/>
    <w:rsid w:val="66D73D50"/>
    <w:rsid w:val="66E1410D"/>
    <w:rsid w:val="66E5442B"/>
    <w:rsid w:val="670D0C41"/>
    <w:rsid w:val="67192A32"/>
    <w:rsid w:val="67244646"/>
    <w:rsid w:val="673175A9"/>
    <w:rsid w:val="675C591F"/>
    <w:rsid w:val="6773775A"/>
    <w:rsid w:val="67795543"/>
    <w:rsid w:val="678933CB"/>
    <w:rsid w:val="67935ED0"/>
    <w:rsid w:val="679B1D06"/>
    <w:rsid w:val="67A65825"/>
    <w:rsid w:val="67B23A62"/>
    <w:rsid w:val="67C63E4F"/>
    <w:rsid w:val="67C84F86"/>
    <w:rsid w:val="67D03227"/>
    <w:rsid w:val="67D44D51"/>
    <w:rsid w:val="67ED628D"/>
    <w:rsid w:val="682126B9"/>
    <w:rsid w:val="682F303D"/>
    <w:rsid w:val="6833048A"/>
    <w:rsid w:val="68351F05"/>
    <w:rsid w:val="68537701"/>
    <w:rsid w:val="68565BD2"/>
    <w:rsid w:val="685733EE"/>
    <w:rsid w:val="68722AE0"/>
    <w:rsid w:val="688E1AA5"/>
    <w:rsid w:val="6892201A"/>
    <w:rsid w:val="68930083"/>
    <w:rsid w:val="68966D43"/>
    <w:rsid w:val="68971D5E"/>
    <w:rsid w:val="689C0983"/>
    <w:rsid w:val="68A17938"/>
    <w:rsid w:val="68B41F83"/>
    <w:rsid w:val="68B504A0"/>
    <w:rsid w:val="68B633DC"/>
    <w:rsid w:val="68C401E5"/>
    <w:rsid w:val="68D50789"/>
    <w:rsid w:val="68ED5994"/>
    <w:rsid w:val="68F52DDD"/>
    <w:rsid w:val="69011DE4"/>
    <w:rsid w:val="6914597F"/>
    <w:rsid w:val="691D1AA6"/>
    <w:rsid w:val="6921232E"/>
    <w:rsid w:val="69296058"/>
    <w:rsid w:val="69530648"/>
    <w:rsid w:val="696E418B"/>
    <w:rsid w:val="696F4E7B"/>
    <w:rsid w:val="697324B2"/>
    <w:rsid w:val="69736CE7"/>
    <w:rsid w:val="69787099"/>
    <w:rsid w:val="698604EA"/>
    <w:rsid w:val="69A67503"/>
    <w:rsid w:val="69B85E17"/>
    <w:rsid w:val="69C4401A"/>
    <w:rsid w:val="69CB0B6A"/>
    <w:rsid w:val="69F02805"/>
    <w:rsid w:val="69F41032"/>
    <w:rsid w:val="69F50DB2"/>
    <w:rsid w:val="69FF3F06"/>
    <w:rsid w:val="6A094AA8"/>
    <w:rsid w:val="6A2762DA"/>
    <w:rsid w:val="6A7333F1"/>
    <w:rsid w:val="6A777B99"/>
    <w:rsid w:val="6AB76720"/>
    <w:rsid w:val="6ABA5127"/>
    <w:rsid w:val="6AC45F32"/>
    <w:rsid w:val="6ACA2AB5"/>
    <w:rsid w:val="6AE215BA"/>
    <w:rsid w:val="6AE66144"/>
    <w:rsid w:val="6AF04D9E"/>
    <w:rsid w:val="6B1B6445"/>
    <w:rsid w:val="6B524949"/>
    <w:rsid w:val="6B784E29"/>
    <w:rsid w:val="6B784F1F"/>
    <w:rsid w:val="6B7E5A45"/>
    <w:rsid w:val="6B95030D"/>
    <w:rsid w:val="6B973377"/>
    <w:rsid w:val="6B992596"/>
    <w:rsid w:val="6B9F4AC6"/>
    <w:rsid w:val="6BA34561"/>
    <w:rsid w:val="6BA54EA7"/>
    <w:rsid w:val="6BA8152C"/>
    <w:rsid w:val="6BBC263A"/>
    <w:rsid w:val="6BC40E82"/>
    <w:rsid w:val="6BC72FF0"/>
    <w:rsid w:val="6BDD4921"/>
    <w:rsid w:val="6BF103F7"/>
    <w:rsid w:val="6BF135AF"/>
    <w:rsid w:val="6BF7397C"/>
    <w:rsid w:val="6C057EB6"/>
    <w:rsid w:val="6C1B186B"/>
    <w:rsid w:val="6C2149C5"/>
    <w:rsid w:val="6C2573A3"/>
    <w:rsid w:val="6C2E4E54"/>
    <w:rsid w:val="6C3D4EE9"/>
    <w:rsid w:val="6C4A6B37"/>
    <w:rsid w:val="6C88357A"/>
    <w:rsid w:val="6C8B68A1"/>
    <w:rsid w:val="6CA2058F"/>
    <w:rsid w:val="6CAA0E4E"/>
    <w:rsid w:val="6CAA1FB7"/>
    <w:rsid w:val="6CB74E03"/>
    <w:rsid w:val="6CC1587C"/>
    <w:rsid w:val="6D0C27AD"/>
    <w:rsid w:val="6D0F33FD"/>
    <w:rsid w:val="6D131E03"/>
    <w:rsid w:val="6D26689A"/>
    <w:rsid w:val="6D31136D"/>
    <w:rsid w:val="6D3A0EC0"/>
    <w:rsid w:val="6D3B3EC1"/>
    <w:rsid w:val="6D3B58C2"/>
    <w:rsid w:val="6D49673B"/>
    <w:rsid w:val="6D5400F0"/>
    <w:rsid w:val="6D57625D"/>
    <w:rsid w:val="6D645475"/>
    <w:rsid w:val="6D6F7FDC"/>
    <w:rsid w:val="6D707BFF"/>
    <w:rsid w:val="6DBE5E96"/>
    <w:rsid w:val="6DCE6CB3"/>
    <w:rsid w:val="6DCF0E44"/>
    <w:rsid w:val="6DE068B6"/>
    <w:rsid w:val="6DEA3148"/>
    <w:rsid w:val="6DF40B99"/>
    <w:rsid w:val="6E081EA2"/>
    <w:rsid w:val="6E2B68F3"/>
    <w:rsid w:val="6E3C6EB9"/>
    <w:rsid w:val="6E580E15"/>
    <w:rsid w:val="6E5F07A0"/>
    <w:rsid w:val="6E63719A"/>
    <w:rsid w:val="6E683E8E"/>
    <w:rsid w:val="6E7D1875"/>
    <w:rsid w:val="6E846D1F"/>
    <w:rsid w:val="6E883853"/>
    <w:rsid w:val="6EA10310"/>
    <w:rsid w:val="6EA32474"/>
    <w:rsid w:val="6EAA0C20"/>
    <w:rsid w:val="6EB91B76"/>
    <w:rsid w:val="6EBB3F83"/>
    <w:rsid w:val="6ECA2BEA"/>
    <w:rsid w:val="6ED6185F"/>
    <w:rsid w:val="6ED8412D"/>
    <w:rsid w:val="6EED567B"/>
    <w:rsid w:val="6F000329"/>
    <w:rsid w:val="6F0E2EC2"/>
    <w:rsid w:val="6F1175CD"/>
    <w:rsid w:val="6F2262E0"/>
    <w:rsid w:val="6F28570F"/>
    <w:rsid w:val="6F2C204D"/>
    <w:rsid w:val="6F2C2B10"/>
    <w:rsid w:val="6F483FA1"/>
    <w:rsid w:val="6F497169"/>
    <w:rsid w:val="6F51069D"/>
    <w:rsid w:val="6F5F3BC6"/>
    <w:rsid w:val="6F732867"/>
    <w:rsid w:val="6F7A7FF3"/>
    <w:rsid w:val="6F847DF6"/>
    <w:rsid w:val="6FAA76B6"/>
    <w:rsid w:val="6FAE3333"/>
    <w:rsid w:val="6FB026CC"/>
    <w:rsid w:val="6FD642FC"/>
    <w:rsid w:val="6FE476A3"/>
    <w:rsid w:val="6FE97F85"/>
    <w:rsid w:val="70052CC9"/>
    <w:rsid w:val="700675D0"/>
    <w:rsid w:val="702915DD"/>
    <w:rsid w:val="705A65BD"/>
    <w:rsid w:val="705D436D"/>
    <w:rsid w:val="70641996"/>
    <w:rsid w:val="70666765"/>
    <w:rsid w:val="70871A9B"/>
    <w:rsid w:val="70A00900"/>
    <w:rsid w:val="70AE23B6"/>
    <w:rsid w:val="70C27F8A"/>
    <w:rsid w:val="70F746EE"/>
    <w:rsid w:val="71011161"/>
    <w:rsid w:val="710E6D86"/>
    <w:rsid w:val="71136A90"/>
    <w:rsid w:val="711C333C"/>
    <w:rsid w:val="712151C4"/>
    <w:rsid w:val="71312827"/>
    <w:rsid w:val="714814E8"/>
    <w:rsid w:val="71532BAB"/>
    <w:rsid w:val="71543CA1"/>
    <w:rsid w:val="715A44FF"/>
    <w:rsid w:val="715D662F"/>
    <w:rsid w:val="71780710"/>
    <w:rsid w:val="71814B45"/>
    <w:rsid w:val="7188724E"/>
    <w:rsid w:val="71937C49"/>
    <w:rsid w:val="71944187"/>
    <w:rsid w:val="71B04EC3"/>
    <w:rsid w:val="71B73FBD"/>
    <w:rsid w:val="71CC51D2"/>
    <w:rsid w:val="71E74210"/>
    <w:rsid w:val="71EF6656"/>
    <w:rsid w:val="720B4AA9"/>
    <w:rsid w:val="720E00F5"/>
    <w:rsid w:val="720F1244"/>
    <w:rsid w:val="72126D67"/>
    <w:rsid w:val="72140F27"/>
    <w:rsid w:val="72516DBF"/>
    <w:rsid w:val="725C6292"/>
    <w:rsid w:val="72600EDC"/>
    <w:rsid w:val="72684361"/>
    <w:rsid w:val="72714242"/>
    <w:rsid w:val="72762AE5"/>
    <w:rsid w:val="7281521F"/>
    <w:rsid w:val="72856365"/>
    <w:rsid w:val="729845BD"/>
    <w:rsid w:val="72A2319D"/>
    <w:rsid w:val="72AB7CC6"/>
    <w:rsid w:val="72AF3CCD"/>
    <w:rsid w:val="72C9027C"/>
    <w:rsid w:val="72DD7D0E"/>
    <w:rsid w:val="72E908F3"/>
    <w:rsid w:val="72F1142C"/>
    <w:rsid w:val="72F202B6"/>
    <w:rsid w:val="72F666A9"/>
    <w:rsid w:val="72F879FD"/>
    <w:rsid w:val="730936C7"/>
    <w:rsid w:val="731611FF"/>
    <w:rsid w:val="7320479D"/>
    <w:rsid w:val="732A314B"/>
    <w:rsid w:val="733B4588"/>
    <w:rsid w:val="73445AAB"/>
    <w:rsid w:val="736620E1"/>
    <w:rsid w:val="739C12B6"/>
    <w:rsid w:val="73A43546"/>
    <w:rsid w:val="73AA42BE"/>
    <w:rsid w:val="73B7633A"/>
    <w:rsid w:val="73BC69EE"/>
    <w:rsid w:val="73C96754"/>
    <w:rsid w:val="73E42E2D"/>
    <w:rsid w:val="73ED361A"/>
    <w:rsid w:val="73F91910"/>
    <w:rsid w:val="73FB3E60"/>
    <w:rsid w:val="74033004"/>
    <w:rsid w:val="7420059A"/>
    <w:rsid w:val="746B727C"/>
    <w:rsid w:val="746E76EC"/>
    <w:rsid w:val="74807A31"/>
    <w:rsid w:val="74880945"/>
    <w:rsid w:val="74B30307"/>
    <w:rsid w:val="74C3674F"/>
    <w:rsid w:val="74E02463"/>
    <w:rsid w:val="74E45766"/>
    <w:rsid w:val="74E73FA1"/>
    <w:rsid w:val="74FE63A8"/>
    <w:rsid w:val="751F3A84"/>
    <w:rsid w:val="75340DD4"/>
    <w:rsid w:val="755D6A82"/>
    <w:rsid w:val="756416E9"/>
    <w:rsid w:val="75746241"/>
    <w:rsid w:val="75760E42"/>
    <w:rsid w:val="757C314C"/>
    <w:rsid w:val="759B0E64"/>
    <w:rsid w:val="759F1276"/>
    <w:rsid w:val="75AF1102"/>
    <w:rsid w:val="75B31DB2"/>
    <w:rsid w:val="75BE02EE"/>
    <w:rsid w:val="75C622C6"/>
    <w:rsid w:val="75D851BB"/>
    <w:rsid w:val="75E8027D"/>
    <w:rsid w:val="75EF5689"/>
    <w:rsid w:val="75FF16F3"/>
    <w:rsid w:val="76224BDE"/>
    <w:rsid w:val="76271B67"/>
    <w:rsid w:val="763C4F8B"/>
    <w:rsid w:val="76460A52"/>
    <w:rsid w:val="765331AF"/>
    <w:rsid w:val="7663028F"/>
    <w:rsid w:val="7666672B"/>
    <w:rsid w:val="766B0856"/>
    <w:rsid w:val="76A77F97"/>
    <w:rsid w:val="76C668E6"/>
    <w:rsid w:val="76DA5ACC"/>
    <w:rsid w:val="76DC089C"/>
    <w:rsid w:val="76DC3C6A"/>
    <w:rsid w:val="76DE6449"/>
    <w:rsid w:val="76E842BC"/>
    <w:rsid w:val="76EF435A"/>
    <w:rsid w:val="76F44CD3"/>
    <w:rsid w:val="76FF32C8"/>
    <w:rsid w:val="77053388"/>
    <w:rsid w:val="77222583"/>
    <w:rsid w:val="772F58CB"/>
    <w:rsid w:val="776C5E7A"/>
    <w:rsid w:val="776F3EDE"/>
    <w:rsid w:val="77731B13"/>
    <w:rsid w:val="777A3E88"/>
    <w:rsid w:val="778D1C32"/>
    <w:rsid w:val="77A42FE1"/>
    <w:rsid w:val="77A74937"/>
    <w:rsid w:val="77AB11E2"/>
    <w:rsid w:val="77B10B6D"/>
    <w:rsid w:val="77B710F5"/>
    <w:rsid w:val="77D36B23"/>
    <w:rsid w:val="77DC7AA3"/>
    <w:rsid w:val="77F03868"/>
    <w:rsid w:val="77F1713F"/>
    <w:rsid w:val="77F61616"/>
    <w:rsid w:val="78034690"/>
    <w:rsid w:val="780906D3"/>
    <w:rsid w:val="781645D4"/>
    <w:rsid w:val="781E56C8"/>
    <w:rsid w:val="782E5EC6"/>
    <w:rsid w:val="783712D7"/>
    <w:rsid w:val="78505F06"/>
    <w:rsid w:val="785C70CE"/>
    <w:rsid w:val="78632B8F"/>
    <w:rsid w:val="789278BA"/>
    <w:rsid w:val="78B052F6"/>
    <w:rsid w:val="78CA4437"/>
    <w:rsid w:val="78CC0C1F"/>
    <w:rsid w:val="78D366C6"/>
    <w:rsid w:val="78DD6DBB"/>
    <w:rsid w:val="78E17416"/>
    <w:rsid w:val="78E71308"/>
    <w:rsid w:val="78F41EA5"/>
    <w:rsid w:val="790F3461"/>
    <w:rsid w:val="79123468"/>
    <w:rsid w:val="791D301C"/>
    <w:rsid w:val="79202955"/>
    <w:rsid w:val="792C7572"/>
    <w:rsid w:val="79323D0B"/>
    <w:rsid w:val="79506986"/>
    <w:rsid w:val="79507F52"/>
    <w:rsid w:val="79571DD6"/>
    <w:rsid w:val="79664D3B"/>
    <w:rsid w:val="797A1651"/>
    <w:rsid w:val="79876CA6"/>
    <w:rsid w:val="798D5C03"/>
    <w:rsid w:val="799412D0"/>
    <w:rsid w:val="79A522A2"/>
    <w:rsid w:val="79B2361D"/>
    <w:rsid w:val="79C10289"/>
    <w:rsid w:val="79C17EB8"/>
    <w:rsid w:val="79CB16BE"/>
    <w:rsid w:val="79CE2F7C"/>
    <w:rsid w:val="79D27EA5"/>
    <w:rsid w:val="79E90A76"/>
    <w:rsid w:val="79EC70F9"/>
    <w:rsid w:val="79EC7502"/>
    <w:rsid w:val="79FA2855"/>
    <w:rsid w:val="7A0D07F2"/>
    <w:rsid w:val="7A3B3A4C"/>
    <w:rsid w:val="7A3C6CAD"/>
    <w:rsid w:val="7A5C3FCF"/>
    <w:rsid w:val="7A872002"/>
    <w:rsid w:val="7A8A4CD5"/>
    <w:rsid w:val="7A951BAA"/>
    <w:rsid w:val="7AB733E4"/>
    <w:rsid w:val="7ABB3FE8"/>
    <w:rsid w:val="7ABD7501"/>
    <w:rsid w:val="7ACA4448"/>
    <w:rsid w:val="7AD868C4"/>
    <w:rsid w:val="7AD975C4"/>
    <w:rsid w:val="7ADD3EC3"/>
    <w:rsid w:val="7AF57391"/>
    <w:rsid w:val="7AFB2BD3"/>
    <w:rsid w:val="7B0B3B5A"/>
    <w:rsid w:val="7B2F40FD"/>
    <w:rsid w:val="7B312886"/>
    <w:rsid w:val="7B3136D7"/>
    <w:rsid w:val="7B3771B5"/>
    <w:rsid w:val="7B656F57"/>
    <w:rsid w:val="7B6A2093"/>
    <w:rsid w:val="7B9B3656"/>
    <w:rsid w:val="7BA05385"/>
    <w:rsid w:val="7BA22FE1"/>
    <w:rsid w:val="7BAD0C8B"/>
    <w:rsid w:val="7BAE6A40"/>
    <w:rsid w:val="7BBC740E"/>
    <w:rsid w:val="7BC9440A"/>
    <w:rsid w:val="7BCC6118"/>
    <w:rsid w:val="7BD314B7"/>
    <w:rsid w:val="7BE76752"/>
    <w:rsid w:val="7BFC115C"/>
    <w:rsid w:val="7BFF151A"/>
    <w:rsid w:val="7C295A4C"/>
    <w:rsid w:val="7C3A7CDC"/>
    <w:rsid w:val="7C415B9C"/>
    <w:rsid w:val="7C42096C"/>
    <w:rsid w:val="7C453550"/>
    <w:rsid w:val="7C4A5D78"/>
    <w:rsid w:val="7C4A7F77"/>
    <w:rsid w:val="7C626ADC"/>
    <w:rsid w:val="7C6F64CF"/>
    <w:rsid w:val="7C8E2FEA"/>
    <w:rsid w:val="7C975D8E"/>
    <w:rsid w:val="7CB948D0"/>
    <w:rsid w:val="7CD83B92"/>
    <w:rsid w:val="7CEE6827"/>
    <w:rsid w:val="7D046BE1"/>
    <w:rsid w:val="7D0B25B3"/>
    <w:rsid w:val="7D133243"/>
    <w:rsid w:val="7D1D3B52"/>
    <w:rsid w:val="7D304888"/>
    <w:rsid w:val="7D4D2A60"/>
    <w:rsid w:val="7D517B29"/>
    <w:rsid w:val="7D550033"/>
    <w:rsid w:val="7D646BCC"/>
    <w:rsid w:val="7D810AA0"/>
    <w:rsid w:val="7D8D7FB4"/>
    <w:rsid w:val="7D9A7CA7"/>
    <w:rsid w:val="7D9B4FEC"/>
    <w:rsid w:val="7DA71F74"/>
    <w:rsid w:val="7DA7763A"/>
    <w:rsid w:val="7DB47F53"/>
    <w:rsid w:val="7DB77DA7"/>
    <w:rsid w:val="7DCF3E34"/>
    <w:rsid w:val="7DD05DFE"/>
    <w:rsid w:val="7DD728BF"/>
    <w:rsid w:val="7E115A0A"/>
    <w:rsid w:val="7E1C70AC"/>
    <w:rsid w:val="7E370B00"/>
    <w:rsid w:val="7E681FB2"/>
    <w:rsid w:val="7E790079"/>
    <w:rsid w:val="7E8A3179"/>
    <w:rsid w:val="7E8E1C76"/>
    <w:rsid w:val="7E9F3D06"/>
    <w:rsid w:val="7EB0421B"/>
    <w:rsid w:val="7ECA48E0"/>
    <w:rsid w:val="7ED505BF"/>
    <w:rsid w:val="7EE01162"/>
    <w:rsid w:val="7EE0606A"/>
    <w:rsid w:val="7EE43DCE"/>
    <w:rsid w:val="7EFC2D63"/>
    <w:rsid w:val="7EFD11E0"/>
    <w:rsid w:val="7F190AF5"/>
    <w:rsid w:val="7F3E33CA"/>
    <w:rsid w:val="7F4469DB"/>
    <w:rsid w:val="7F4620E9"/>
    <w:rsid w:val="7F5545F1"/>
    <w:rsid w:val="7F7E543B"/>
    <w:rsid w:val="7F7E6F01"/>
    <w:rsid w:val="7FA92C6D"/>
    <w:rsid w:val="7FAB5A78"/>
    <w:rsid w:val="7FB30ACD"/>
    <w:rsid w:val="7FBA4F58"/>
    <w:rsid w:val="7FC5688E"/>
    <w:rsid w:val="7FD562CA"/>
    <w:rsid w:val="7FF9198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22"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link w:val="2Char"/>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beforeLines="0" w:beforeAutospacing="0" w:after="260" w:afterLines="0" w:afterAutospacing="0" w:line="413" w:lineRule="auto"/>
      <w:outlineLvl w:val="2"/>
    </w:pPr>
    <w:rPr>
      <w:b/>
      <w:sz w:val="32"/>
    </w:rPr>
  </w:style>
  <w:style w:type="paragraph" w:styleId="Heading4">
    <w:name w:val="heading 4"/>
    <w:basedOn w:val="Normal"/>
    <w:next w:val="Normal"/>
    <w:link w:val="4Char"/>
    <w:qFormat/>
    <w:pPr>
      <w:keepNext/>
      <w:keepLines/>
      <w:spacing w:before="280" w:after="290" w:line="376" w:lineRule="auto"/>
      <w:outlineLvl w:val="3"/>
    </w:pPr>
    <w:rPr>
      <w:rFonts w:ascii="Arial" w:eastAsia="黑体" w:hAnsi="Arial"/>
      <w:b/>
      <w:bCs/>
      <w:sz w:val="28"/>
      <w:szCs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font31">
    <w:name w:val="font31"/>
    <w:basedOn w:val="DefaultParagraphFont"/>
    <w:uiPriority w:val="99"/>
    <w:qFormat/>
    <w:rPr>
      <w:rFonts w:ascii="宋体" w:eastAsia="宋体" w:hAnsi="宋体" w:cs="宋体"/>
      <w:b/>
      <w:color w:val="000000"/>
      <w:sz w:val="24"/>
      <w:szCs w:val="24"/>
      <w:u w:val="none"/>
    </w:rPr>
  </w:style>
  <w:style w:type="character" w:customStyle="1" w:styleId="Char">
    <w:name w:val="批注文字 Char"/>
    <w:basedOn w:val="DefaultParagraphFont"/>
    <w:link w:val="CommentText"/>
    <w:rPr>
      <w:kern w:val="2"/>
      <w:sz w:val="21"/>
      <w:szCs w:val="24"/>
    </w:rPr>
  </w:style>
  <w:style w:type="character" w:customStyle="1" w:styleId="Char0">
    <w:name w:val="页眉 Char"/>
    <w:basedOn w:val="DefaultParagraphFont"/>
    <w:link w:val="Header"/>
    <w:rPr>
      <w:kern w:val="2"/>
      <w:sz w:val="18"/>
      <w:szCs w:val="18"/>
    </w:rPr>
  </w:style>
  <w:style w:type="character" w:customStyle="1" w:styleId="Char1">
    <w:name w:val="纯文本 Char"/>
    <w:basedOn w:val="DefaultParagraphFont"/>
    <w:link w:val="PlainText"/>
    <w:rPr>
      <w:rFonts w:ascii="宋体" w:eastAsia="宋体" w:hAnsi="Courier New" w:cs="Courier New"/>
      <w:kern w:val="2"/>
      <w:sz w:val="21"/>
      <w:szCs w:val="21"/>
      <w:lang w:val="en-US" w:eastAsia="zh-CN" w:bidi="ar-SA"/>
    </w:rPr>
  </w:style>
  <w:style w:type="character" w:styleId="Strong">
    <w:name w:val="Strong"/>
    <w:basedOn w:val="DefaultParagraphFont"/>
    <w:uiPriority w:val="22"/>
    <w:qFormat/>
    <w:rPr>
      <w:b/>
      <w:bCs/>
    </w:rPr>
  </w:style>
  <w:style w:type="character" w:customStyle="1" w:styleId="4Char">
    <w:name w:val="标题 4 Char"/>
    <w:basedOn w:val="DefaultParagraphFont"/>
    <w:link w:val="Heading4"/>
    <w:rPr>
      <w:rFonts w:ascii="Arial" w:eastAsia="黑体" w:hAnsi="Arial"/>
      <w:b/>
      <w:bCs/>
      <w:kern w:val="2"/>
      <w:sz w:val="28"/>
      <w:szCs w:val="28"/>
    </w:rPr>
  </w:style>
  <w:style w:type="character" w:customStyle="1" w:styleId="font21">
    <w:name w:val="font21"/>
    <w:basedOn w:val="DefaultParagraphFont"/>
    <w:uiPriority w:val="99"/>
    <w:qFormat/>
    <w:rPr>
      <w:rFonts w:ascii="宋体" w:eastAsia="宋体" w:hAnsi="宋体" w:cs="宋体"/>
      <w:b/>
      <w:color w:val="000000"/>
      <w:sz w:val="24"/>
      <w:szCs w:val="24"/>
      <w:u w:val="none"/>
    </w:rPr>
  </w:style>
  <w:style w:type="character" w:styleId="Hyperlink">
    <w:name w:val="Hyperlink"/>
    <w:basedOn w:val="DefaultParagraphFont"/>
    <w:rPr>
      <w:color w:val="0000FF"/>
      <w:u w:val="single"/>
    </w:rPr>
  </w:style>
  <w:style w:type="character" w:customStyle="1" w:styleId="font01">
    <w:name w:val="font01"/>
    <w:basedOn w:val="DefaultParagraphFont"/>
    <w:rPr>
      <w:rFonts w:ascii="宋体" w:eastAsia="宋体" w:hAnsi="宋体" w:cs="宋体" w:hint="eastAsia"/>
      <w:i w:val="0"/>
      <w:color w:val="000000"/>
      <w:sz w:val="22"/>
      <w:szCs w:val="22"/>
      <w:u w:val="none"/>
    </w:rPr>
  </w:style>
  <w:style w:type="character" w:customStyle="1" w:styleId="Char2">
    <w:name w:val="页脚 Char"/>
    <w:basedOn w:val="DefaultParagraphFont"/>
    <w:link w:val="Footer"/>
    <w:rPr>
      <w:kern w:val="2"/>
      <w:sz w:val="18"/>
      <w:szCs w:val="18"/>
    </w:rPr>
  </w:style>
  <w:style w:type="character" w:styleId="CommentReference">
    <w:name w:val="annotation reference"/>
    <w:basedOn w:val="DefaultParagraphFont"/>
    <w:rPr>
      <w:sz w:val="21"/>
      <w:szCs w:val="21"/>
    </w:rPr>
  </w:style>
  <w:style w:type="character" w:customStyle="1" w:styleId="Char3">
    <w:name w:val="日期 Char"/>
    <w:basedOn w:val="DefaultParagraphFont"/>
    <w:link w:val="Date"/>
    <w:rPr>
      <w:kern w:val="2"/>
      <w:sz w:val="21"/>
      <w:szCs w:val="24"/>
    </w:rPr>
  </w:style>
  <w:style w:type="character" w:customStyle="1" w:styleId="Char4">
    <w:name w:val="正文缩进 Char"/>
    <w:basedOn w:val="DefaultParagraphFont"/>
    <w:link w:val="NormalIndent"/>
    <w:rPr>
      <w:rFonts w:eastAsia="宋体"/>
      <w:kern w:val="2"/>
      <w:sz w:val="21"/>
      <w:lang w:val="en-US" w:eastAsia="zh-CN" w:bidi="ar-SA"/>
    </w:rPr>
  </w:style>
  <w:style w:type="character" w:customStyle="1" w:styleId="1Char">
    <w:name w:val="普通文字1 Char"/>
    <w:aliases w:val="0921 Char,一般文,一般文字 字元 Char,一般文字 字元 字元 字元 Char,一般文字 字元 字元 字元 字元 Char,一般文字 字元 字元 字元 字元 字元 字元 Char,一般文字 字元 字元 字元 字元 字元 字元 字元 Char,一般文字 字元 字元 字元 字元 字元 字元 字元 字元 Char,一般文字 字元 字元 字元 字元 字元 字元 字元 字元 字元 字元 字元 字元 Char,小 Char,正 文 1 Char,纯文本 Char Char"/>
    <w:basedOn w:val="DefaultParagraphFont"/>
    <w:rPr>
      <w:rFonts w:ascii="宋体" w:eastAsia="宋体" w:hAnsi="Courier New" w:cs="Courier New"/>
      <w:kern w:val="2"/>
      <w:sz w:val="21"/>
      <w:szCs w:val="21"/>
      <w:lang w:val="en-US" w:eastAsia="zh-CN" w:bidi="ar-SA"/>
    </w:rPr>
  </w:style>
  <w:style w:type="character" w:customStyle="1" w:styleId="2Char">
    <w:name w:val="标题 2 Char"/>
    <w:basedOn w:val="DefaultParagraphFont"/>
    <w:link w:val="Heading2"/>
    <w:rPr>
      <w:rFonts w:ascii="Arial" w:eastAsia="黑体" w:hAnsi="Arial"/>
      <w:b/>
      <w:bCs/>
      <w:kern w:val="2"/>
      <w:sz w:val="32"/>
      <w:szCs w:val="32"/>
    </w:rPr>
  </w:style>
  <w:style w:type="character" w:customStyle="1" w:styleId="Char13">
    <w:name w:val="批注框文本 Char"/>
    <w:basedOn w:val="DefaultParagraphFont"/>
    <w:link w:val="BalloonText"/>
    <w:rPr>
      <w:kern w:val="2"/>
      <w:sz w:val="18"/>
      <w:szCs w:val="18"/>
    </w:rPr>
  </w:style>
  <w:style w:type="character" w:customStyle="1" w:styleId="font11">
    <w:name w:val="font11"/>
    <w:basedOn w:val="DefaultParagraphFont"/>
    <w:uiPriority w:val="99"/>
    <w:qFormat/>
    <w:rPr>
      <w:rFonts w:ascii="Wingdings" w:hAnsi="Wingdings" w:cs="Wingdings"/>
      <w:b/>
      <w:color w:val="000000"/>
      <w:sz w:val="24"/>
      <w:szCs w:val="24"/>
      <w:u w:val="none"/>
    </w:rPr>
  </w:style>
  <w:style w:type="character" w:customStyle="1" w:styleId="Char14">
    <w:name w:val="批注主题 Char"/>
    <w:basedOn w:val="Char"/>
    <w:link w:val="CommentSubject"/>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BodyText3">
    <w:name w:val="Body Text 3"/>
    <w:basedOn w:val="Normal"/>
    <w:pPr>
      <w:spacing w:after="120"/>
    </w:pPr>
    <w:rPr>
      <w:sz w:val="16"/>
      <w:szCs w:val="16"/>
    </w:rPr>
  </w:style>
  <w:style w:type="paragraph" w:styleId="CommentText">
    <w:name w:val="annotation text"/>
    <w:basedOn w:val="Normal"/>
    <w:link w:val="Char"/>
    <w:pPr>
      <w:jc w:val="left"/>
    </w:pPr>
  </w:style>
  <w:style w:type="paragraph" w:styleId="Index1">
    <w:name w:val="index 1"/>
    <w:basedOn w:val="Normal"/>
    <w:next w:val="Normal"/>
  </w:style>
  <w:style w:type="paragraph" w:styleId="IndexHeading">
    <w:name w:val="index heading"/>
    <w:basedOn w:val="Normal"/>
    <w:next w:val="Index1"/>
    <w:rPr>
      <w:szCs w:val="20"/>
    </w:rPr>
  </w:style>
  <w:style w:type="paragraph" w:styleId="Header">
    <w:name w:val="header"/>
    <w:basedOn w:val="Normal"/>
    <w:link w:val="Char0"/>
    <w:pPr>
      <w:pBdr>
        <w:bottom w:val="single" w:sz="6" w:space="1" w:color="auto"/>
      </w:pBdr>
      <w:tabs>
        <w:tab w:val="center" w:pos="4153"/>
        <w:tab w:val="right" w:pos="8306"/>
      </w:tabs>
      <w:snapToGrid w:val="0"/>
      <w:jc w:val="center"/>
    </w:pPr>
    <w:rPr>
      <w:sz w:val="18"/>
      <w:szCs w:val="18"/>
    </w:rPr>
  </w:style>
  <w:style w:type="paragraph" w:styleId="Caption">
    <w:name w:val="caption"/>
    <w:basedOn w:val="Normal"/>
    <w:next w:val="Normal"/>
    <w:qFormat/>
    <w:rPr>
      <w:rFonts w:ascii="Cambria" w:eastAsia="黑体" w:hAnsi="Cambria" w:cs="Times New Roman"/>
      <w:sz w:val="20"/>
      <w:szCs w:val="20"/>
    </w:rPr>
  </w:style>
  <w:style w:type="paragraph" w:styleId="DocumentMap">
    <w:name w:val="Document Map"/>
    <w:basedOn w:val="Normal"/>
    <w:semiHidden/>
    <w:pPr>
      <w:shd w:val="clear" w:color="auto" w:fill="000080"/>
    </w:pPr>
  </w:style>
  <w:style w:type="paragraph" w:styleId="NormalIndent">
    <w:name w:val="Normal Indent"/>
    <w:basedOn w:val="Normal"/>
    <w:link w:val="Char4"/>
    <w:pPr>
      <w:ind w:firstLine="420"/>
    </w:pPr>
    <w:rPr>
      <w:szCs w:val="20"/>
    </w:rPr>
  </w:style>
  <w:style w:type="paragraph" w:styleId="TOC2">
    <w:name w:val="toc 2"/>
    <w:basedOn w:val="Normal"/>
    <w:next w:val="Normal"/>
    <w:pPr>
      <w:ind w:left="420" w:leftChars="200"/>
    </w:pPr>
  </w:style>
  <w:style w:type="paragraph" w:styleId="TOC1">
    <w:name w:val="toc 1"/>
    <w:basedOn w:val="Normal"/>
    <w:next w:val="Normal"/>
    <w:semiHidden/>
  </w:style>
  <w:style w:type="paragraph" w:styleId="TOC3">
    <w:name w:val="toc 3"/>
    <w:basedOn w:val="Normal"/>
    <w:next w:val="Normal"/>
    <w:pPr>
      <w:ind w:left="840" w:leftChars="400"/>
    </w:pPr>
  </w:style>
  <w:style w:type="paragraph" w:styleId="BodyTextIndent">
    <w:name w:val="Body Text Indent"/>
    <w:basedOn w:val="Normal"/>
    <w:pPr>
      <w:spacing w:after="120"/>
      <w:ind w:left="420" w:leftChars="200"/>
    </w:pPr>
  </w:style>
  <w:style w:type="paragraph" w:styleId="CommentSubject">
    <w:name w:val="annotation subject"/>
    <w:basedOn w:val="CommentText"/>
    <w:next w:val="CommentText"/>
    <w:link w:val="Char14"/>
    <w:rPr>
      <w:b/>
      <w:bCs/>
    </w:rPr>
  </w:style>
  <w:style w:type="paragraph" w:styleId="BalloonText">
    <w:name w:val="Balloon Text"/>
    <w:basedOn w:val="Normal"/>
    <w:link w:val="Char13"/>
    <w:rPr>
      <w:sz w:val="18"/>
      <w:szCs w:val="18"/>
    </w:rPr>
  </w:style>
  <w:style w:type="paragraph" w:styleId="BodyText">
    <w:name w:val="Body Text"/>
    <w:basedOn w:val="Normal"/>
    <w:pPr>
      <w:numPr>
        <w:ilvl w:val="0"/>
        <w:numId w:val="1"/>
      </w:numPr>
      <w:tabs>
        <w:tab w:val="clear" w:pos="839"/>
      </w:tabs>
      <w:spacing w:after="120"/>
      <w:ind w:left="0" w:firstLine="0"/>
    </w:pPr>
  </w:style>
  <w:style w:type="paragraph" w:customStyle="1" w:styleId="NoSpacing1">
    <w:name w:val="No Spacing1"/>
    <w:pPr>
      <w:adjustRightInd w:val="0"/>
      <w:snapToGrid w:val="0"/>
    </w:pPr>
    <w:rPr>
      <w:rFonts w:ascii="Tahoma" w:eastAsia="微软雅黑" w:hAnsi="Tahoma" w:cs="Tahoma"/>
      <w:sz w:val="22"/>
      <w:szCs w:val="22"/>
      <w:lang w:val="en-US" w:eastAsia="zh-CN" w:bidi="ar-SA"/>
    </w:rPr>
  </w:style>
  <w:style w:type="paragraph" w:styleId="Footer">
    <w:name w:val="footer"/>
    <w:basedOn w:val="Normal"/>
    <w:link w:val="Char2"/>
    <w:pPr>
      <w:tabs>
        <w:tab w:val="center" w:pos="4153"/>
        <w:tab w:val="right" w:pos="8306"/>
      </w:tabs>
      <w:snapToGrid w:val="0"/>
      <w:jc w:val="left"/>
    </w:pPr>
    <w:rPr>
      <w:sz w:val="18"/>
      <w:szCs w:val="18"/>
    </w:rPr>
  </w:style>
  <w:style w:type="paragraph" w:styleId="PlainText">
    <w:name w:val="Plain Text"/>
    <w:basedOn w:val="Normal"/>
    <w:link w:val="Char1"/>
    <w:rPr>
      <w:rFonts w:ascii="宋体" w:hAnsi="Courier New" w:cs="Courier New"/>
      <w:szCs w:val="21"/>
    </w:rPr>
  </w:style>
  <w:style w:type="paragraph" w:styleId="NormalWeb">
    <w:name w:val="Normal (Web)"/>
    <w:basedOn w:val="Normal"/>
    <w:rPr>
      <w:sz w:val="24"/>
    </w:rPr>
  </w:style>
  <w:style w:type="paragraph" w:styleId="Date">
    <w:name w:val="Date"/>
    <w:basedOn w:val="Normal"/>
    <w:next w:val="Normal"/>
    <w:link w:val="Char3"/>
    <w:pPr>
      <w:ind w:left="100" w:leftChars="2500"/>
    </w:pPr>
  </w:style>
  <w:style w:type="paragraph" w:styleId="ListParagraph">
    <w:name w:val="List Paragraph"/>
    <w:basedOn w:val="Normal"/>
    <w:uiPriority w:val="34"/>
    <w:qFormat/>
    <w:pPr>
      <w:widowControl/>
      <w:spacing w:after="160" w:line="259" w:lineRule="auto"/>
      <w:ind w:left="720"/>
      <w:contextualSpacing/>
      <w:jc w:val="left"/>
    </w:pPr>
    <w:rPr>
      <w:rFonts w:ascii="Calibri" w:eastAsia="宋体" w:hAnsi="Calibri" w:cs="Times New Roman"/>
      <w:kern w:val="0"/>
      <w:sz w:val="22"/>
      <w:szCs w:val="22"/>
    </w:rPr>
  </w:style>
  <w:style w:type="paragraph" w:customStyle="1" w:styleId="A">
    <w:name w:val="正文 A"/>
    <w:pPr>
      <w:widowControl w:val="0"/>
      <w:jc w:val="both"/>
    </w:pPr>
    <w:rPr>
      <w:rFonts w:eastAsia="Calibri" w:cs="Calibri"/>
      <w:color w:val="000000"/>
      <w:kern w:val="2"/>
      <w:sz w:val="21"/>
      <w:szCs w:val="21"/>
      <w:lang w:val="en-US" w:eastAsia="zh-CN" w:bidi="ar-SA"/>
    </w:rPr>
  </w:style>
  <w:style w:type="paragraph" w:customStyle="1" w:styleId="a0">
    <w:name w:val="表格文字"/>
    <w:basedOn w:val="Normal"/>
    <w:pPr>
      <w:spacing w:before="25" w:after="25"/>
      <w:jc w:val="left"/>
    </w:pPr>
    <w:rPr>
      <w:bCs/>
      <w:spacing w:val="10"/>
      <w:kern w:val="0"/>
      <w:sz w:val="24"/>
      <w:szCs w:val="20"/>
    </w:rPr>
  </w:style>
  <w:style w:type="paragraph" w:customStyle="1" w:styleId="Default">
    <w:name w:val="Default"/>
    <w:pPr>
      <w:widowControl w:val="0"/>
      <w:numPr>
        <w:ilvl w:val="2"/>
        <w:numId w:val="1"/>
      </w:numPr>
      <w:tabs>
        <w:tab w:val="clear" w:pos="1259"/>
      </w:tabs>
      <w:autoSpaceDE w:val="0"/>
      <w:autoSpaceDN w:val="0"/>
      <w:adjustRightInd w:val="0"/>
      <w:ind w:left="0" w:firstLine="0"/>
    </w:pPr>
    <w:rPr>
      <w:rFonts w:ascii="..ì." w:eastAsia="..ì." w:cs="..ì."/>
      <w:color w:val="000000"/>
      <w:sz w:val="24"/>
      <w:szCs w:val="24"/>
      <w:lang w:val="en-US" w:eastAsia="zh-CN" w:bidi="ar-SA"/>
    </w:rPr>
  </w:style>
  <w:style w:type="paragraph" w:customStyle="1" w:styleId="1">
    <w:name w:val="列出段落1"/>
    <w:basedOn w:val="Normal"/>
    <w:uiPriority w:val="34"/>
    <w:qFormat/>
    <w:pPr>
      <w:ind w:firstLine="420" w:firstLineChars="200"/>
    </w:pPr>
  </w:style>
  <w:style w:type="paragraph" w:customStyle="1" w:styleId="CharChar1CharCharCharChar1CharCharCharCharCharChar">
    <w:name w:val=" Char Char1 Char Char Char Char1 Char Char Char Char Char Char"/>
    <w:basedOn w:val="Normal"/>
    <w:rPr>
      <w:rFonts w:ascii="Tahoma" w:hAnsi="Tahoma"/>
      <w:sz w:val="24"/>
    </w:rPr>
  </w:style>
  <w:style w:type="paragraph" w:customStyle="1" w:styleId="a1">
    <w:name w:val="图"/>
    <w:basedOn w:val="Normal"/>
    <w:pPr>
      <w:keepNext/>
      <w:adjustRightInd w:val="0"/>
      <w:spacing w:before="60" w:after="60" w:line="300" w:lineRule="auto"/>
      <w:jc w:val="center"/>
      <w:textAlignment w:val="center"/>
    </w:pPr>
    <w:rPr>
      <w:snapToGrid w:val="0"/>
      <w:spacing w:val="20"/>
      <w:kern w:val="0"/>
      <w:sz w:val="24"/>
      <w:szCs w:val="20"/>
    </w:rPr>
  </w:style>
  <w:style w:type="paragraph" w:customStyle="1" w:styleId="5">
    <w:name w:val="题注5"/>
    <w:basedOn w:val="Normal"/>
    <w:next w:val="Caption"/>
    <w:pPr>
      <w:jc w:val="center"/>
    </w:pPr>
    <w:rPr>
      <w:b/>
      <w:color w:val="000000"/>
      <w:sz w:val="24"/>
      <w:szCs w:val="21"/>
    </w:rPr>
  </w:style>
  <w:style w:type="paragraph" w:customStyle="1" w:styleId="Char15">
    <w:name w:val=" Char"/>
    <w:basedOn w:val="DocumentMap"/>
    <w:rPr>
      <w:rFonts w:ascii="Tahoma" w:hAnsi="Tahoma"/>
      <w:sz w:val="24"/>
    </w:rPr>
  </w:style>
  <w:style w:type="paragraph" w:customStyle="1" w:styleId="10">
    <w:name w:val="列表段落1"/>
    <w:basedOn w:val="Normal"/>
    <w:qFormat/>
    <w:pPr>
      <w:ind w:firstLine="420" w:firstLineChars="200"/>
    </w:pPr>
    <w:rPr>
      <w:rFonts w:ascii="Times New Roman" w:eastAsia="宋体" w:hAnsi="Times New Roman"/>
      <w:szCs w:val="20"/>
    </w:rPr>
  </w:style>
  <w:style w:type="paragraph" w:customStyle="1" w:styleId="NoSpacing">
    <w:name w:val="No Spacing"/>
    <w:qFormat/>
    <w:pPr>
      <w:adjustRightInd w:val="0"/>
      <w:snapToGrid w:val="0"/>
    </w:pPr>
    <w:rPr>
      <w:rFonts w:ascii="Tahoma" w:eastAsia="微软雅黑" w:hAnsi="Tahoma"/>
      <w:sz w:val="22"/>
      <w:szCs w:val="22"/>
      <w:lang w:val="en-US" w:eastAsia="zh-CN" w:bidi="ar-SA"/>
    </w:rPr>
  </w:style>
  <w:style w:type="paragraph" w:customStyle="1" w:styleId="4">
    <w:name w:val="题注4"/>
    <w:basedOn w:val="Normal"/>
    <w:next w:val="Caption"/>
    <w:pPr>
      <w:ind w:left="-132" w:right="-105" w:hanging="2" w:leftChars="-64" w:rightChars="-50"/>
      <w:jc w:val="center"/>
    </w:pPr>
    <w:rPr>
      <w:b/>
      <w:color w:val="FF0000"/>
      <w:szCs w:val="21"/>
      <w:lang w:val="en-GB"/>
    </w:rPr>
  </w:style>
  <w:style w:type="paragraph" w:customStyle="1" w:styleId="ListParagraph0">
    <w:name w:val="List Paragraph"/>
    <w:basedOn w:val="Normal"/>
    <w:pPr>
      <w:numPr>
        <w:ilvl w:val="3"/>
        <w:numId w:val="1"/>
      </w:numPr>
      <w:tabs>
        <w:tab w:val="clear" w:pos="1469"/>
      </w:tabs>
      <w:ind w:left="0" w:firstLine="420" w:firstLineChars="200"/>
    </w:pPr>
    <w:rPr>
      <w:rFonts w:ascii="Calibri" w:hAnsi="Calibri"/>
      <w:szCs w:val="22"/>
    </w:rPr>
  </w:style>
  <w:style w:type="paragraph" w:customStyle="1" w:styleId="ZchnZchn">
    <w:name w:val="Zchn Zchn"/>
    <w:basedOn w:val="Normal"/>
    <w:rPr>
      <w:rFonts w:ascii="Tahoma" w:hAnsi="Tahoma"/>
      <w:sz w:val="24"/>
      <w:szCs w:val="20"/>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5">
    <w:name w:val="Table Grid 5"/>
    <w:basedOn w:val="TableNormal"/>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TableNormal0">
    <w:name w:val="Table Normal"/>
    <w:qFormat/>
    <w:rPr>
      <w:lang w:val="en-US" w:eastAsia="zh-CN" w:bidi="ar-SA"/>
    </w:rPr>
    <w:tblPr>
      <w:tblCellMar>
        <w:top w:w="0" w:type="dxa"/>
        <w:left w:w="0" w:type="dxa"/>
        <w:bottom w:w="0" w:type="dxa"/>
        <w:right w:w="0" w:type="dxa"/>
      </w:tblCellMar>
    </w:tblPr>
  </w:style>
  <w:style w:type="table" w:customStyle="1" w:styleId="0">
    <w:name w:val="网格型_0"/>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footer" Target="footer25.xml" /><Relationship Id="rId54" Type="http://schemas.openxmlformats.org/officeDocument/2006/relationships/header" Target="header26.xml" /><Relationship Id="rId55" Type="http://schemas.openxmlformats.org/officeDocument/2006/relationships/footer" Target="footer26.xml" /><Relationship Id="rId56" Type="http://schemas.openxmlformats.org/officeDocument/2006/relationships/hyperlink" Target="https://d.book118.com/188055013012006035" TargetMode="Externa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theme" Target="theme/theme1.xml" /><Relationship Id="rId6" Type="http://schemas.openxmlformats.org/officeDocument/2006/relationships/header" Target="header2.xml" /><Relationship Id="rId60" Type="http://schemas.openxmlformats.org/officeDocument/2006/relationships/numbering" Target="numbering.xml" /><Relationship Id="rId61"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157260480</TotalTime>
  <Pages>32</Pages>
  <Words>25673</Words>
  <Characters>26586</Characters>
  <Application>Microsoft Office Word</Application>
  <DocSecurity>0</DocSecurity>
  <Lines>210</Lines>
  <Paragraphs>59</Paragraphs>
  <ScaleCrop>false</ScaleCrop>
  <Company>WWW.YlmF.CoM</Company>
  <LinksUpToDate>false</LinksUpToDate>
  <CharactersWithSpaces>30160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招标文件（院内招标）</dc:title>
  <dc:creator>朱文秋</dc:creator>
  <cp:lastModifiedBy>zwq</cp:lastModifiedBy>
  <cp:revision>3</cp:revision>
  <cp:lastPrinted>2021-05-27T02:00:59Z</cp:lastPrinted>
  <dcterms:created xsi:type="dcterms:W3CDTF">2015-10-13T01:36:00Z</dcterms:created>
  <dcterms:modified xsi:type="dcterms:W3CDTF">2021-12-06T01:09:04Z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