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2018-2023年天津电子信息职业技术学院高职单招（数学／语文／英语）历年常考试题库含答案解析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王安石的《答司马谏议书》是一篇什么体的驳论文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B.书信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王昌龄的《从军行》是一首（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B.七言绝句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D.五绝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《马伶传》中的“分宜”“昆山”依次指（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A.分宜人、顾秉谦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B.严嵩、昆山人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C.严嵩、顾秉谦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D.分宜人、昆山人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《短歌行》中引用《诗经》成句“青青子衿，悠悠我心”，所表达的心情是（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A.思慕贤才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B.礼遇贤才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C.对贤才无所依托的思虑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D.与贤才久别重逢的欣慰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在《答司马谏议书》一文中，司马光强加给王安石变法的罪名是（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A.在位久，未能助上大有为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B.不恤国事，同俗自媚于众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C.侵官、生事、征利、拒谏、以致天下怨谤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D.一切不事事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《风波》所描写的事件背景是（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A.1911年辛亥革命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B.1919年五四运动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C.1917年张勋复辟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D.1905年科举制度废除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“易安居士”是指（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A.19世纪俄国作家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B.19世纪法国作家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C.19世纪英国作家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D.19世纪德国作家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“山不厌高，水不厌深”的作者是（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《氓》选自《诗经》中的（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C.大雅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从表现方法上说，《氓》是一首（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B.叙事诗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C.哲理诗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D.寓言诗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《张中丞传后叙》歌颂的三个人物是（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A.张巡、张籍、南霁云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B.张巡、许远、于嵩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C.许远、张巡、南霁云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D.张巡、许远、雷万春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《苦恼》中主人公的名字叫（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A.姚纳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B.拉京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C.万卡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D.别里科夫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北宋时期，第一位大量制作慢词的词人是（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https://d.book118.com/188057022132006040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88057022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