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93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MP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B</w:t>
      </w:r>
      <w:r>
        <w:rPr>
          <w:rFonts w:ascii="SimSun" w:eastAsia="SimSun" w:hAnsi="SimSun" w:cs="SimSun"/>
          <w:spacing w:val="-10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客车项目商业计划书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2176990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)、MPB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客车项目技术工艺分析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、MPB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客车项目技术流程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3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(一)、MP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B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客车项目建设期原辅材料供应情况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)、MPB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客车项目运营期原辅材料供应及质量管理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MPB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客车项目选址说明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一)、MPB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客车项目选址原则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(二)、MPB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客车项目选址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MPB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客车项目可行性研究报告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)、MPB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客车项目实施保障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3740963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)、MPB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客车项目进度安排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MPB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客车项目实施保障措施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3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79567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)、投资决策与财务风险防范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本项目商业计划书是为了规范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MPB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客车项目的实施步骤和计</w:t>
      </w:r>
      <w:r>
        <w:rPr>
          <w:rFonts w:ascii="FangSong" w:eastAsia="FangSong" w:hAnsi="FangSong" w:cs="FangSong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而</w:t>
      </w:r>
      <w:r>
        <w:rPr>
          <w:rFonts w:ascii="FangSong" w:eastAsia="FangSong" w:hAnsi="FangSong" w:cs="FangSong"/>
          <w:spacing w:val="-21"/>
          <w:sz w:val="28"/>
          <w:szCs w:val="28"/>
        </w:rPr>
        <w:t>编</w:t>
      </w:r>
      <w:r>
        <w:rPr>
          <w:rFonts w:ascii="FangSong" w:eastAsia="FangSong" w:hAnsi="FangSong" w:cs="FangSong"/>
          <w:spacing w:val="-11"/>
          <w:sz w:val="28"/>
          <w:szCs w:val="28"/>
        </w:rPr>
        <w:t>写的。通过详细描述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MPB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客车项目的背景和目标，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二)、MPB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客车项目技术工艺分析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9"/>
          <w:sz w:val="28"/>
          <w:szCs w:val="28"/>
        </w:rPr>
        <w:t>产</w:t>
      </w:r>
      <w:r>
        <w:rPr>
          <w:rFonts w:ascii="FangSong" w:eastAsia="FangSong" w:hAnsi="FangSong" w:cs="FangSong"/>
          <w:spacing w:val="-11"/>
          <w:sz w:val="28"/>
          <w:szCs w:val="28"/>
        </w:rPr>
        <w:t>品质量，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提供优质产品和服务。保障工艺流程能够满足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MPB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客车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客</w:t>
      </w:r>
      <w:r>
        <w:rPr>
          <w:rFonts w:ascii="FangSong" w:eastAsia="FangSong" w:hAnsi="FangSong" w:cs="FangSong"/>
          <w:spacing w:val="-12"/>
          <w:sz w:val="28"/>
          <w:szCs w:val="28"/>
        </w:rPr>
        <w:t>车</w:t>
      </w:r>
      <w:r>
        <w:rPr>
          <w:rFonts w:ascii="FangSong" w:eastAsia="FangSong" w:hAnsi="FangSong" w:cs="FangSong"/>
          <w:spacing w:val="-7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33" w:right="56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MPB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</w:t>
      </w:r>
      <w:r>
        <w:rPr>
          <w:rFonts w:ascii="FangSong" w:eastAsia="FangSong" w:hAnsi="FangSong" w:cs="FangSong"/>
          <w:spacing w:val="-3"/>
          <w:sz w:val="28"/>
          <w:szCs w:val="28"/>
        </w:rPr>
        <w:t>车项目的技术保障措施从设计、施工、试运行到投产、销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售</w:t>
      </w:r>
      <w:r>
        <w:rPr>
          <w:rFonts w:ascii="FangSong" w:eastAsia="FangSong" w:hAnsi="FangSong" w:cs="FangSong"/>
          <w:spacing w:val="-15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以确保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MPB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客车项目在技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MPB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客车项目的可持续发展和高效运营。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三)、MPB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客车项目技术流程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11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MPB</w:t>
      </w: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客车项目运营中，进行技术持续改进。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7"/>
          <w:sz w:val="28"/>
          <w:szCs w:val="28"/>
        </w:rPr>
        <w:t>用数据分析工具监测和分析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以</w:t>
      </w:r>
      <w:r>
        <w:rPr>
          <w:rFonts w:ascii="FangSong" w:eastAsia="FangSong" w:hAnsi="FangSong" w:cs="FangSong"/>
          <w:spacing w:val="-13"/>
          <w:sz w:val="28"/>
          <w:szCs w:val="28"/>
        </w:rPr>
        <w:t>上技术流程环环相扣，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共同构建了高效、稳定的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MPB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客车项目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术实施框架，确保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MPB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客车项目顺利推进。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13"/>
          <w:sz w:val="28"/>
          <w:szCs w:val="28"/>
        </w:rPr>
        <w:t>保</w:t>
      </w:r>
      <w:r>
        <w:rPr>
          <w:rFonts w:ascii="FangSong" w:eastAsia="FangSong" w:hAnsi="FangSong" w:cs="FangSong"/>
          <w:spacing w:val="-7"/>
          <w:sz w:val="28"/>
          <w:szCs w:val="28"/>
        </w:rPr>
        <w:t>选用的设备能够满足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客车项目的技术要求，例如：</w:t>
      </w:r>
    </w:p>
    <w:p>
      <w:pPr>
        <w:spacing w:before="29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保所选设备与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MPB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客车项目工艺流程相匹配，例如：</w:t>
      </w:r>
    </w:p>
    <w:p>
      <w:pPr>
        <w:spacing w:before="293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认设备的生产能力是否符合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19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)、MPB</w:t>
      </w:r>
      <w:r>
        <w:rPr>
          <w:rFonts w:ascii="FangSong" w:eastAsia="FangSong" w:hAnsi="FangSong" w:cs="FangSong"/>
          <w:spacing w:val="-5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客车项目建设期原辅材料供应情况</w:t>
      </w:r>
    </w:p>
    <w:p>
      <w:pPr>
        <w:spacing w:line="431" w:lineRule="auto"/>
        <w:rPr>
          <w:rFonts w:ascii="Arial"/>
          <w:sz w:val="21"/>
        </w:rPr>
      </w:pPr>
    </w:p>
    <w:p>
      <w:pPr>
        <w:spacing w:before="92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MPB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客车项目的建设和运营过程中，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程顺利</w:t>
      </w:r>
      <w:r>
        <w:rPr>
          <w:rFonts w:ascii="FangSong" w:eastAsia="FangSong" w:hAnsi="FangSong" w:cs="FangSong"/>
          <w:spacing w:val="-10"/>
          <w:sz w:val="28"/>
          <w:szCs w:val="28"/>
        </w:rPr>
        <w:t>进</w:t>
      </w:r>
      <w:r>
        <w:rPr>
          <w:rFonts w:ascii="FangSong" w:eastAsia="FangSong" w:hAnsi="FangSong" w:cs="FangSong"/>
          <w:spacing w:val="-7"/>
          <w:sz w:val="28"/>
          <w:szCs w:val="28"/>
        </w:rPr>
        <w:t>行和产品质量稳定的重要环节。本章将详细探讨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19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7.1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MPB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客</w:t>
      </w:r>
      <w:r>
        <w:rPr>
          <w:rFonts w:ascii="FangSong" w:eastAsia="FangSong" w:hAnsi="FangSong" w:cs="FangSong"/>
          <w:spacing w:val="-3"/>
          <w:sz w:val="28"/>
          <w:szCs w:val="28"/>
        </w:rPr>
        <w:t>车项目建设期原辅材料供应情况</w:t>
      </w:r>
    </w:p>
    <w:p>
      <w:pPr>
        <w:spacing w:before="294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MPB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客车项目建设期间，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量有着</w:t>
      </w:r>
      <w:r>
        <w:rPr>
          <w:rFonts w:ascii="FangSong" w:eastAsia="FangSong" w:hAnsi="FangSong" w:cs="FangSong"/>
          <w:spacing w:val="-13"/>
          <w:sz w:val="28"/>
          <w:szCs w:val="28"/>
        </w:rPr>
        <w:t>直</w:t>
      </w:r>
      <w:r>
        <w:rPr>
          <w:rFonts w:ascii="FangSong" w:eastAsia="FangSong" w:hAnsi="FangSong" w:cs="FangSong"/>
          <w:spacing w:val="-7"/>
          <w:sz w:val="28"/>
          <w:szCs w:val="28"/>
        </w:rPr>
        <w:t>接的影响。下面是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客车项目建设期原辅材料供应情况的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219" w:lineRule="auto"/>
        <w:ind w:right="5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(二)、MP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B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客车项目运营期原辅材料供应及质量管理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客</w:t>
      </w:r>
      <w:r>
        <w:rPr>
          <w:rFonts w:ascii="FangSong" w:eastAsia="FangSong" w:hAnsi="FangSong" w:cs="FangSong"/>
          <w:spacing w:val="-12"/>
          <w:sz w:val="28"/>
          <w:szCs w:val="28"/>
        </w:rPr>
        <w:t>车</w:t>
      </w:r>
      <w:r>
        <w:rPr>
          <w:rFonts w:ascii="FangSong" w:eastAsia="FangSong" w:hAnsi="FangSong" w:cs="FangSong"/>
          <w:spacing w:val="-7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样至关</w:t>
      </w:r>
      <w:r>
        <w:rPr>
          <w:rFonts w:ascii="FangSong" w:eastAsia="FangSong" w:hAnsi="FangSong" w:cs="FangSong"/>
          <w:spacing w:val="-9"/>
          <w:sz w:val="28"/>
          <w:szCs w:val="28"/>
        </w:rPr>
        <w:t>重</w:t>
      </w:r>
      <w:r>
        <w:rPr>
          <w:rFonts w:ascii="FangSong" w:eastAsia="FangSong" w:hAnsi="FangSong" w:cs="FangSong"/>
          <w:spacing w:val="-7"/>
          <w:sz w:val="28"/>
          <w:szCs w:val="28"/>
        </w:rPr>
        <w:t>要。下面是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2" w:right="176" w:firstLine="979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19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三、MP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B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客车项目选址说明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04" w:line="219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一)、MPB</w:t>
      </w:r>
      <w:r>
        <w:rPr>
          <w:rFonts w:ascii="FangSong" w:eastAsia="FangSong" w:hAnsi="FangSong" w:cs="FangSong"/>
          <w:spacing w:val="-8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客车项目选址原则</w:t>
      </w:r>
    </w:p>
    <w:p>
      <w:pPr>
        <w:spacing w:line="429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1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MPB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客车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目选址必须与城乡建设总体规划保持一致，确保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MPB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客车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客车项目有望更好地融入城市发展大局，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经</w:t>
      </w:r>
      <w:r>
        <w:rPr>
          <w:rFonts w:ascii="FangSong" w:eastAsia="FangSong" w:hAnsi="FangSong" w:cs="FangSong"/>
          <w:spacing w:val="-3"/>
          <w:sz w:val="28"/>
          <w:szCs w:val="28"/>
        </w:rPr>
        <w:t>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优</w:t>
      </w:r>
      <w:r>
        <w:rPr>
          <w:rFonts w:ascii="FangSong" w:eastAsia="FangSong" w:hAnsi="FangSong" w:cs="FangSong"/>
          <w:spacing w:val="-8"/>
          <w:sz w:val="28"/>
          <w:szCs w:val="28"/>
        </w:rPr>
        <w:t>越的交通条件是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MPB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客车项目成功的关键因素之一。选址地应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虑到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MPB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客车项目建设阶段，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2" w:right="196" w:hanging="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客车项目建设的顺利进行。这有助于提高工程效率，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MPB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</w:t>
      </w:r>
      <w:r>
        <w:rPr>
          <w:rFonts w:ascii="FangSong" w:eastAsia="FangSong" w:hAnsi="FangSong" w:cs="FangSong"/>
          <w:spacing w:val="-3"/>
          <w:sz w:val="28"/>
          <w:szCs w:val="28"/>
        </w:rPr>
        <w:t>车项目选址应与当地大气污染防治、水资源利用以及自然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生态环</w:t>
      </w:r>
      <w:r>
        <w:rPr>
          <w:rFonts w:ascii="FangSong" w:eastAsia="FangSong" w:hAnsi="FangSong" w:cs="FangSong"/>
          <w:spacing w:val="-9"/>
          <w:sz w:val="28"/>
          <w:szCs w:val="28"/>
        </w:rPr>
        <w:t>境</w:t>
      </w:r>
      <w:r>
        <w:rPr>
          <w:rFonts w:ascii="FangSong" w:eastAsia="FangSong" w:hAnsi="FangSong" w:cs="FangSong"/>
          <w:spacing w:val="-7"/>
          <w:sz w:val="28"/>
          <w:szCs w:val="28"/>
        </w:rPr>
        <w:t>保护政策相一致。我们将致力于在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过</w:t>
      </w:r>
      <w:r>
        <w:rPr>
          <w:rFonts w:ascii="FangSong" w:eastAsia="FangSong" w:hAnsi="FangSong" w:cs="FangSong"/>
          <w:spacing w:val="-20"/>
          <w:sz w:val="28"/>
          <w:szCs w:val="28"/>
        </w:rPr>
        <w:t>程</w:t>
      </w:r>
      <w:r>
        <w:rPr>
          <w:rFonts w:ascii="FangSong" w:eastAsia="FangSong" w:hAnsi="FangSong" w:cs="FangSong"/>
          <w:spacing w:val="-11"/>
          <w:sz w:val="28"/>
          <w:szCs w:val="28"/>
        </w:rPr>
        <w:t>中最大限度地减少对环境的影响，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MPB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客车项目的可持续发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利用符</w:t>
      </w:r>
      <w:r>
        <w:rPr>
          <w:rFonts w:ascii="FangSong" w:eastAsia="FangSong" w:hAnsi="FangSong" w:cs="FangSong"/>
          <w:spacing w:val="-7"/>
          <w:sz w:val="28"/>
          <w:szCs w:val="28"/>
        </w:rPr>
        <w:t>合法规和规范。通过科学规划用地结构，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我们将有效平衡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客</w:t>
      </w:r>
      <w:r>
        <w:rPr>
          <w:rFonts w:ascii="FangSong" w:eastAsia="FangSong" w:hAnsi="FangSong" w:cs="FangSong"/>
          <w:spacing w:val="-9"/>
          <w:sz w:val="28"/>
          <w:szCs w:val="28"/>
        </w:rPr>
        <w:t>车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客车项目的实施过程中获得更多的理解和支持。</w:t>
      </w:r>
    </w:p>
    <w:p>
      <w:pPr>
        <w:spacing w:before="2" w:line="415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客车项目的长期成功和对社会的积极贡献。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二)、MPB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客车项目选址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在</w:t>
      </w:r>
      <w:r>
        <w:rPr>
          <w:rFonts w:ascii="FangSong" w:eastAsia="FangSong" w:hAnsi="FangSong" w:cs="FangSong"/>
          <w:spacing w:val="-15"/>
          <w:sz w:val="28"/>
          <w:szCs w:val="28"/>
        </w:rPr>
        <w:t>选择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MPB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客车项目的地理位置时，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品的分销，为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MP</w:t>
      </w:r>
      <w:r>
        <w:rPr>
          <w:rFonts w:ascii="FangSong" w:eastAsia="FangSong" w:hAnsi="FangSong" w:cs="FangSong"/>
          <w:spacing w:val="-7"/>
          <w:sz w:val="28"/>
          <w:szCs w:val="28"/>
        </w:rPr>
        <w:t>B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客车项目的顺利推进提供了有力支持。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20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惠等方面的支持。这将显著减轻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MPB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客车项目的财务压力，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众</w:t>
      </w:r>
      <w:r>
        <w:rPr>
          <w:rFonts w:ascii="FangSong" w:eastAsia="FangSong" w:hAnsi="FangSong" w:cs="FangSong"/>
          <w:spacing w:val="-28"/>
          <w:sz w:val="28"/>
          <w:szCs w:val="28"/>
        </w:rPr>
        <w:t>多</w:t>
      </w:r>
      <w:r>
        <w:rPr>
          <w:rFonts w:ascii="FangSong" w:eastAsia="FangSong" w:hAnsi="FangSong" w:cs="FangSong"/>
          <w:spacing w:val="-16"/>
          <w:sz w:val="28"/>
          <w:szCs w:val="28"/>
        </w:rPr>
        <w:t>，形成了完善的产业链，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MPB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客车项目提供了丰富的合作机会，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7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MPB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客车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经</w:t>
      </w:r>
      <w:r>
        <w:rPr>
          <w:rFonts w:ascii="FangSong" w:eastAsia="FangSong" w:hAnsi="FangSong" w:cs="FangSong"/>
          <w:spacing w:val="-3"/>
          <w:sz w:val="28"/>
          <w:szCs w:val="28"/>
        </w:rPr>
        <w:t>济技术开发区被视为未来经济发展的重要增长点。MPB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车</w:t>
      </w:r>
      <w:r>
        <w:rPr>
          <w:rFonts w:ascii="FangSong" w:eastAsia="FangSong" w:hAnsi="FangSong" w:cs="FangSong"/>
          <w:spacing w:val="-15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MPB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客车项目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line="414" w:lineRule="auto"/>
        <w:ind w:left="42" w:right="8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的合作，确保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MPB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客</w:t>
      </w:r>
      <w:r>
        <w:rPr>
          <w:rFonts w:ascii="FangSong" w:eastAsia="FangSong" w:hAnsi="FangSong" w:cs="FangSong"/>
          <w:sz w:val="28"/>
          <w:szCs w:val="28"/>
        </w:rPr>
        <w:t>车项目的建设与运营与当地发展规划相协调，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MPB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客车项目的成功提供全方位的支持。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客</w:t>
      </w:r>
      <w:r>
        <w:rPr>
          <w:rFonts w:ascii="FangSong" w:eastAsia="FangSong" w:hAnsi="FangSong" w:cs="FangSong"/>
          <w:spacing w:val="-12"/>
          <w:sz w:val="28"/>
          <w:szCs w:val="28"/>
        </w:rPr>
        <w:t>车</w:t>
      </w:r>
      <w:r>
        <w:rPr>
          <w:rFonts w:ascii="FangSong" w:eastAsia="FangSong" w:hAnsi="FangSong" w:cs="FangSong"/>
          <w:spacing w:val="-7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这为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MPB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客车项目的建设提供了必要的基础支持，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经</w:t>
      </w:r>
      <w:r>
        <w:rPr>
          <w:rFonts w:ascii="FangSong" w:eastAsia="FangSong" w:hAnsi="FangSong" w:cs="FangSong"/>
          <w:spacing w:val="-12"/>
          <w:sz w:val="28"/>
          <w:szCs w:val="28"/>
        </w:rPr>
        <w:t>过与相关政府部门的沟通，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MPB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客车项目选址符合当地的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用</w:t>
      </w: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1"/>
          <w:sz w:val="28"/>
          <w:szCs w:val="28"/>
        </w:rPr>
        <w:t>规划要求。这有助于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MPB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客车项目在合规范围内进行建设，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15" w:right="17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客车项目的用工提供了充足的保障，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包括税</w:t>
      </w:r>
      <w:r>
        <w:rPr>
          <w:rFonts w:ascii="FangSong" w:eastAsia="FangSong" w:hAnsi="FangSong" w:cs="FangSong"/>
          <w:spacing w:val="-7"/>
          <w:sz w:val="28"/>
          <w:szCs w:val="28"/>
        </w:rPr>
        <w:t>收、用地等方面的优惠政策。这为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建设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MPB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客车项目的过程中，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我们将遵循严格的环境监测和保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4" w:right="56" w:hanging="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2"/>
          <w:sz w:val="28"/>
          <w:szCs w:val="28"/>
        </w:rPr>
        <w:t>护</w:t>
      </w:r>
      <w:r>
        <w:rPr>
          <w:rFonts w:ascii="FangSong" w:eastAsia="FangSong" w:hAnsi="FangSong" w:cs="FangSong"/>
          <w:spacing w:val="-18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MPB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客车项目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在不对周边环</w:t>
      </w:r>
      <w:r>
        <w:rPr>
          <w:rFonts w:ascii="FangSong" w:eastAsia="FangSong" w:hAnsi="FangSong" w:cs="FangSong"/>
          <w:spacing w:val="-2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客</w:t>
      </w:r>
      <w:r>
        <w:rPr>
          <w:rFonts w:ascii="FangSong" w:eastAsia="FangSong" w:hAnsi="FangSong" w:cs="FangSong"/>
          <w:spacing w:val="-12"/>
          <w:sz w:val="28"/>
          <w:szCs w:val="28"/>
        </w:rPr>
        <w:t>车</w:t>
      </w:r>
      <w:r>
        <w:rPr>
          <w:rFonts w:ascii="FangSong" w:eastAsia="FangSong" w:hAnsi="FangSong" w:cs="FangSong"/>
          <w:spacing w:val="-7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安全</w:t>
      </w:r>
      <w:r>
        <w:rPr>
          <w:rFonts w:ascii="FangSong" w:eastAsia="FangSong" w:hAnsi="FangSong" w:cs="FangSong"/>
          <w:spacing w:val="-11"/>
          <w:sz w:val="28"/>
          <w:szCs w:val="28"/>
        </w:rPr>
        <w:t>系统。这为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MPB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客车项目的安全运行提供了可靠的支持，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0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</w:p>
    <w:p>
      <w:pPr>
        <w:spacing w:before="292" w:line="411" w:lineRule="auto"/>
        <w:ind w:left="81" w:right="56" w:hanging="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MPB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客</w:t>
      </w:r>
      <w:r>
        <w:rPr>
          <w:rFonts w:ascii="FangSong" w:eastAsia="FangSong" w:hAnsi="FangSong" w:cs="FangSong"/>
          <w:spacing w:val="-10"/>
          <w:sz w:val="28"/>
          <w:szCs w:val="28"/>
        </w:rPr>
        <w:t>车项目提供了明确的建设方向，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确保用地符合工业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MPB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客车项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根</w:t>
      </w:r>
      <w:r>
        <w:rPr>
          <w:rFonts w:ascii="FangSong" w:eastAsia="FangSong" w:hAnsi="FangSong" w:cs="FangSong"/>
          <w:spacing w:val="-8"/>
          <w:sz w:val="28"/>
          <w:szCs w:val="28"/>
        </w:rPr>
        <w:t>据当地的规划要求，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MPB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客车项目所在地区容积率和建筑密度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都有具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的控制指标。我们将确保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和建筑密度范围内，以充分利用土地资源，提高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MP</w:t>
      </w:r>
      <w:r>
        <w:rPr>
          <w:rFonts w:ascii="FangSong" w:eastAsia="FangSong" w:hAnsi="FangSong" w:cs="FangSong"/>
          <w:spacing w:val="-4"/>
          <w:sz w:val="28"/>
          <w:szCs w:val="28"/>
        </w:rPr>
        <w:t>B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客车项目效益。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219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明确</w:t>
      </w:r>
      <w:r>
        <w:rPr>
          <w:rFonts w:ascii="FangSong" w:eastAsia="FangSong" w:hAnsi="FangSong" w:cs="FangSong"/>
          <w:spacing w:val="-10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地用途划分是用地控制的核心之一。根据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MPB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客车项目的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9" w:right="36" w:hanging="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9"/>
          <w:sz w:val="28"/>
          <w:szCs w:val="28"/>
        </w:rPr>
        <w:t>性质，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保持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MP</w:t>
      </w:r>
      <w:r>
        <w:rPr>
          <w:rFonts w:ascii="FangSong" w:eastAsia="FangSong" w:hAnsi="FangSong" w:cs="FangSong"/>
          <w:spacing w:val="-13"/>
          <w:sz w:val="28"/>
          <w:szCs w:val="28"/>
        </w:rPr>
        <w:t>B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车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限</w:t>
      </w:r>
      <w:r>
        <w:rPr>
          <w:rFonts w:ascii="FangSong" w:eastAsia="FangSong" w:hAnsi="FangSong" w:cs="FangSong"/>
          <w:spacing w:val="-7"/>
          <w:sz w:val="28"/>
          <w:szCs w:val="28"/>
        </w:rPr>
        <w:t>。我们将严格按照规定的利用年限进行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自然</w:t>
      </w:r>
      <w:r>
        <w:rPr>
          <w:rFonts w:ascii="FangSong" w:eastAsia="FangSong" w:hAnsi="FangSong" w:cs="FangSong"/>
          <w:spacing w:val="-11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境，减小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全面了解和遵守用地控制指标，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MPB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客车项目在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连</w:t>
      </w:r>
      <w:r>
        <w:rPr>
          <w:rFonts w:ascii="FangSong" w:eastAsia="FangSong" w:hAnsi="FangSong" w:cs="FangSong"/>
          <w:spacing w:val="-20"/>
          <w:sz w:val="28"/>
          <w:szCs w:val="28"/>
        </w:rPr>
        <w:t>。</w:t>
      </w:r>
      <w:r>
        <w:rPr>
          <w:rFonts w:ascii="FangSong" w:eastAsia="FangSong" w:hAnsi="FangSong" w:cs="FangSong"/>
          <w:spacing w:val="-11"/>
          <w:sz w:val="28"/>
          <w:szCs w:val="28"/>
        </w:rPr>
        <w:t>这为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MPB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客车项目提供了便捷的物流通道，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成品销售，提高了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MPB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客车项目的市场竞争力。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8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区域地貌平坦，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自然条件适宜。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MPB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客车项目建设将充分利用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</w:p>
    <w:p>
      <w:pPr>
        <w:sectPr>
          <w:pgSz w:w="11906" w:h="16839"/>
          <w:pgMar w:top="1431" w:right="1763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自然保护原则，最大限度地保留周边自然环境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1"/>
          <w:sz w:val="28"/>
          <w:szCs w:val="28"/>
        </w:rPr>
        <w:t>施。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MPB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客车项目将充分利用这些配套设施，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助</w:t>
      </w:r>
      <w:r>
        <w:rPr>
          <w:rFonts w:ascii="FangSong" w:eastAsia="FangSong" w:hAnsi="FangSong" w:cs="FangSong"/>
          <w:spacing w:val="-11"/>
          <w:sz w:val="28"/>
          <w:szCs w:val="28"/>
        </w:rPr>
        <w:t>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MPB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客车项目的稳定运营。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总体要求中还包括对环境的保护要求。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MPB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客车项目将遵循当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于建设绿色、可持续的工业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MPB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客车项目。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MPB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客车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9"/>
          <w:sz w:val="28"/>
          <w:szCs w:val="28"/>
        </w:rPr>
        <w:t>过</w:t>
      </w:r>
      <w:r>
        <w:rPr>
          <w:rFonts w:ascii="FangSong" w:eastAsia="FangSong" w:hAnsi="FangSong" w:cs="FangSong"/>
          <w:spacing w:val="-11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促进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MPB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客车项目与当地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3" w:line="415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全面了解地总体要求，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MPB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客车项目将在选址的基础上更好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MPB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客车项目选址的初步规划中，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我们将采取一系列创新性的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5" w:right="189" w:firstLine="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6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首</w:t>
      </w:r>
      <w:r>
        <w:rPr>
          <w:rFonts w:ascii="FangSong" w:eastAsia="FangSong" w:hAnsi="FangSong" w:cs="FangSong"/>
          <w:spacing w:val="-18"/>
          <w:sz w:val="28"/>
          <w:szCs w:val="28"/>
        </w:rPr>
        <w:t>先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我们计划通过多功能空间规划来优化土地利用。在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MPB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车项目内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41" w:right="8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高建筑的垂直利用率。这一措施有助于减小MP</w:t>
      </w:r>
      <w:r>
        <w:rPr>
          <w:rFonts w:ascii="FangSong" w:eastAsia="FangSong" w:hAnsi="FangSong" w:cs="FangSong"/>
          <w:spacing w:val="-8"/>
          <w:sz w:val="28"/>
          <w:szCs w:val="28"/>
        </w:rPr>
        <w:t>B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客车项目的占地面积，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客</w:t>
      </w:r>
      <w:r>
        <w:rPr>
          <w:rFonts w:ascii="FangSong" w:eastAsia="FangSong" w:hAnsi="FangSong" w:cs="FangSong"/>
          <w:spacing w:val="-12"/>
          <w:sz w:val="28"/>
          <w:szCs w:val="28"/>
        </w:rPr>
        <w:t>车</w:t>
      </w:r>
      <w:r>
        <w:rPr>
          <w:rFonts w:ascii="FangSong" w:eastAsia="FangSong" w:hAnsi="FangSong" w:cs="FangSong"/>
          <w:spacing w:val="-7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材</w:t>
      </w:r>
      <w:r>
        <w:rPr>
          <w:rFonts w:ascii="FangSong" w:eastAsia="FangSong" w:hAnsi="FangSong" w:cs="FangSong"/>
          <w:spacing w:val="-18"/>
          <w:sz w:val="28"/>
          <w:szCs w:val="28"/>
        </w:rPr>
        <w:t>料</w:t>
      </w:r>
      <w:r>
        <w:rPr>
          <w:rFonts w:ascii="FangSong" w:eastAsia="FangSong" w:hAnsi="FangSong" w:cs="FangSong"/>
          <w:spacing w:val="-11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还有助于提高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MPB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客车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共</w:t>
      </w:r>
      <w:r>
        <w:rPr>
          <w:rFonts w:ascii="FangSong" w:eastAsia="FangSong" w:hAnsi="FangSong" w:cs="FangSong"/>
          <w:spacing w:val="-13"/>
          <w:sz w:val="28"/>
          <w:szCs w:val="28"/>
        </w:rPr>
        <w:t>享</w:t>
      </w:r>
      <w:r>
        <w:rPr>
          <w:rFonts w:ascii="FangSong" w:eastAsia="FangSong" w:hAnsi="FangSong" w:cs="FangSong"/>
          <w:spacing w:val="-8"/>
          <w:sz w:val="28"/>
          <w:szCs w:val="28"/>
        </w:rPr>
        <w:t>公共设施也是我们的设计理念之一。在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MPB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客车项目内部建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right="8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9"/>
          <w:sz w:val="28"/>
          <w:szCs w:val="28"/>
        </w:rPr>
        <w:t>过</w:t>
      </w:r>
      <w:r>
        <w:rPr>
          <w:rFonts w:ascii="FangSong" w:eastAsia="FangSong" w:hAnsi="FangSong" w:cs="FangSong"/>
          <w:spacing w:val="-11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我们致力于实现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MPB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客车项目用地的经济高效利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MPB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客车项目整体布置中，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道</w:t>
      </w:r>
      <w:r>
        <w:rPr>
          <w:rFonts w:ascii="FangSong" w:eastAsia="FangSong" w:hAnsi="FangSong" w:cs="FangSong"/>
          <w:spacing w:val="-13"/>
          <w:sz w:val="28"/>
          <w:szCs w:val="28"/>
        </w:rPr>
        <w:t>，便于原材料运输和产品出货；办公区域靠近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MPB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客车项目核心区，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方便管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7"/>
          <w:sz w:val="28"/>
          <w:szCs w:val="28"/>
        </w:rPr>
        <w:t>和内外部沟通；休闲区和绿化区域分布在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们通过科学的交通流线规划，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确保了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MPB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客车项目内外的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MPB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客车项目区域内设置了一系列公共设施，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3" w:right="8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MPB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客</w:t>
      </w:r>
      <w:r>
        <w:rPr>
          <w:rFonts w:ascii="FangSong" w:eastAsia="FangSong" w:hAnsi="FangSong" w:cs="FangSong"/>
          <w:spacing w:val="-12"/>
          <w:sz w:val="28"/>
          <w:szCs w:val="28"/>
        </w:rPr>
        <w:t>车项目总图中，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82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生产与</w:t>
      </w:r>
      <w:r>
        <w:rPr>
          <w:rFonts w:ascii="FangSong" w:eastAsia="FangSong" w:hAnsi="FangSong" w:cs="FangSong"/>
          <w:spacing w:val="-6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MPB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客车项目的两个核心功能区，我们通过合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确保原</w:t>
      </w:r>
      <w:r>
        <w:rPr>
          <w:rFonts w:ascii="FangSong" w:eastAsia="FangSong" w:hAnsi="FangSong" w:cs="FangSong"/>
          <w:spacing w:val="-9"/>
          <w:sz w:val="28"/>
          <w:szCs w:val="28"/>
        </w:rPr>
        <w:t>材</w:t>
      </w:r>
      <w:r>
        <w:rPr>
          <w:rFonts w:ascii="FangSong" w:eastAsia="FangSong" w:hAnsi="FangSong" w:cs="FangSong"/>
          <w:spacing w:val="-7"/>
          <w:sz w:val="28"/>
          <w:szCs w:val="28"/>
        </w:rPr>
        <w:t>料的顺畅运输和产品的高效配送。办公区则位于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目核心</w:t>
      </w:r>
      <w:r>
        <w:rPr>
          <w:rFonts w:ascii="FangSong" w:eastAsia="FangSong" w:hAnsi="FangSong" w:cs="FangSong"/>
          <w:spacing w:val="-6"/>
          <w:sz w:val="28"/>
          <w:szCs w:val="28"/>
        </w:rPr>
        <w:t>区，方便管理层对整个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MPB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客车项目的监控与决策。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过在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MPB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客车项目区域内分布绿化带和休闲区，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作环</w:t>
      </w:r>
      <w:r>
        <w:rPr>
          <w:rFonts w:ascii="FangSong" w:eastAsia="FangSong" w:hAnsi="FangSong" w:cs="FangSong"/>
          <w:spacing w:val="-11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也为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MPB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车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将环境保护区域规划在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MPB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客车项目的一侧，集中处理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视</w:t>
      </w:r>
      <w:r>
        <w:rPr>
          <w:rFonts w:ascii="FangSong" w:eastAsia="FangSong" w:hAnsi="FangSong" w:cs="FangSong"/>
          <w:spacing w:val="-17"/>
          <w:sz w:val="28"/>
          <w:szCs w:val="28"/>
        </w:rPr>
        <w:t>觉</w:t>
      </w:r>
      <w:r>
        <w:rPr>
          <w:rFonts w:ascii="FangSong" w:eastAsia="FangSong" w:hAnsi="FangSong" w:cs="FangSong"/>
          <w:spacing w:val="-11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确保了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MPB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客车项目整体的美观性。这一举措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符</w:t>
      </w:r>
      <w:r>
        <w:rPr>
          <w:rFonts w:ascii="FangSong" w:eastAsia="FangSong" w:hAnsi="FangSong" w:cs="FangSong"/>
          <w:spacing w:val="-17"/>
          <w:sz w:val="28"/>
          <w:szCs w:val="28"/>
        </w:rPr>
        <w:t>合</w:t>
      </w:r>
      <w:r>
        <w:rPr>
          <w:rFonts w:ascii="FangSong" w:eastAsia="FangSong" w:hAnsi="FangSong" w:cs="FangSong"/>
          <w:spacing w:val="-11"/>
          <w:sz w:val="28"/>
          <w:szCs w:val="28"/>
        </w:rPr>
        <w:t>可持续发展的理念，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使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MPB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客车项目在生产的同时也能够实现对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7"/>
          <w:sz w:val="28"/>
          <w:szCs w:val="28"/>
        </w:rPr>
        <w:t>八个设计要点共同构成了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客车项目总图布置方案的核心，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20"/>
          <w:sz w:val="28"/>
          <w:szCs w:val="28"/>
        </w:rPr>
        <w:t>保</w:t>
      </w:r>
      <w:r>
        <w:rPr>
          <w:rFonts w:ascii="FangSong" w:eastAsia="FangSong" w:hAnsi="FangSong" w:cs="FangSong"/>
          <w:spacing w:val="-11"/>
          <w:sz w:val="28"/>
          <w:szCs w:val="28"/>
        </w:rPr>
        <w:t>了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MPB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客车项目在各个方面都能够取得良好的平衡，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15" w:right="14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该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MPB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客车项目选址位于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天独</w:t>
      </w:r>
      <w:r>
        <w:rPr>
          <w:rFonts w:ascii="FangSong" w:eastAsia="FangSong" w:hAnsi="FangSong" w:cs="FangSong"/>
          <w:spacing w:val="-12"/>
          <w:sz w:val="28"/>
          <w:szCs w:val="28"/>
        </w:rPr>
        <w:t>厚</w:t>
      </w:r>
      <w:r>
        <w:rPr>
          <w:rFonts w:ascii="FangSong" w:eastAsia="FangSong" w:hAnsi="FangSong" w:cs="FangSong"/>
          <w:spacing w:val="-7"/>
          <w:sz w:val="28"/>
          <w:szCs w:val="28"/>
        </w:rPr>
        <w:t>。开发区内已有较为成熟的基础设施和产业支持体系，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MPB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客车项目的顺利启动和运营。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料的采</w:t>
      </w:r>
      <w:r>
        <w:rPr>
          <w:rFonts w:ascii="FangSong" w:eastAsia="FangSong" w:hAnsi="FangSong" w:cs="FangSong"/>
          <w:spacing w:val="-7"/>
          <w:sz w:val="28"/>
          <w:szCs w:val="28"/>
        </w:rPr>
        <w:t>购、产品的销售和员工的通勤。这为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MPB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客车项目选址规划中特别考虑了环保区域</w:t>
      </w:r>
      <w:r>
        <w:rPr>
          <w:rFonts w:ascii="FangSong" w:eastAsia="FangSong" w:hAnsi="FangSong" w:cs="FangSong"/>
          <w:spacing w:val="1"/>
          <w:sz w:val="28"/>
          <w:szCs w:val="28"/>
        </w:rPr>
        <w:t>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弃物</w:t>
      </w:r>
      <w:r>
        <w:rPr>
          <w:rFonts w:ascii="FangSong" w:eastAsia="FangSong" w:hAnsi="FangSong" w:cs="FangSong"/>
          <w:spacing w:val="-16"/>
          <w:sz w:val="28"/>
          <w:szCs w:val="28"/>
        </w:rPr>
        <w:t>和</w:t>
      </w:r>
      <w:r>
        <w:rPr>
          <w:rFonts w:ascii="FangSong" w:eastAsia="FangSong" w:hAnsi="FangSong" w:cs="FangSong"/>
          <w:spacing w:val="-11"/>
          <w:sz w:val="28"/>
          <w:szCs w:val="28"/>
        </w:rPr>
        <w:t>废水，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MPB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客车项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9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MPB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客车项目选址的用地控制指标与相关规划</w:t>
      </w:r>
      <w:r>
        <w:rPr>
          <w:rFonts w:ascii="FangSong" w:eastAsia="FangSong" w:hAnsi="FangSong" w:cs="FangSong"/>
          <w:spacing w:val="1"/>
          <w:sz w:val="28"/>
          <w:szCs w:val="28"/>
        </w:rPr>
        <w:t>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满</w:t>
      </w:r>
      <w:r>
        <w:rPr>
          <w:rFonts w:ascii="FangSong" w:eastAsia="FangSong" w:hAnsi="FangSong" w:cs="FangSong"/>
          <w:spacing w:val="-20"/>
          <w:sz w:val="28"/>
          <w:szCs w:val="28"/>
        </w:rPr>
        <w:t>足</w:t>
      </w:r>
      <w:r>
        <w:rPr>
          <w:rFonts w:ascii="FangSong" w:eastAsia="FangSong" w:hAnsi="FangSong" w:cs="FangSong"/>
          <w:spacing w:val="-11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也兼顾了用地的合理利用。这有助于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MPB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客车项目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MP</w:t>
      </w:r>
      <w:r>
        <w:rPr>
          <w:rFonts w:ascii="FangSong" w:eastAsia="FangSong" w:hAnsi="FangSong" w:cs="FangSong"/>
          <w:spacing w:val="-3"/>
          <w:sz w:val="28"/>
          <w:szCs w:val="28"/>
        </w:rPr>
        <w:t>B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客车项目选址周边进行了社区和周边环境的调查，确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MPB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客车项目建设不会对周边社区造成过大的影响，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29" w:firstLine="96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z w:val="28"/>
          <w:szCs w:val="28"/>
        </w:rPr>
        <w:t>MPB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客车项目选址时，我们充分考</w:t>
      </w:r>
      <w:r>
        <w:rPr>
          <w:rFonts w:ascii="FangSong" w:eastAsia="FangSong" w:hAnsi="FangSong" w:cs="FangSong"/>
          <w:spacing w:val="1"/>
          <w:sz w:val="28"/>
          <w:szCs w:val="28"/>
        </w:rPr>
        <w:t>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8"/>
          <w:sz w:val="28"/>
          <w:szCs w:val="28"/>
        </w:rPr>
        <w:t>MPB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客车项目的合法性和稳健性。对政府支持政策和法规的遵从，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</w:t>
      </w:r>
      <w:r>
        <w:rPr>
          <w:rFonts w:ascii="FangSong" w:eastAsia="FangSong" w:hAnsi="FangSong" w:cs="FangSong"/>
          <w:spacing w:val="-13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MPB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客车项目在当地获得更多支持。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0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综合考虑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MPB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客车项目选址的各项因素，我们认为该选址有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望为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客车项目带来更多的发展机遇。与周边的产业和社会环境相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7"/>
          <w:sz w:val="28"/>
          <w:szCs w:val="28"/>
        </w:rPr>
        <w:t>合，该选址将有助于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客车项目实现可持续发展。</w:t>
      </w:r>
    </w:p>
    <w:p>
      <w:pPr>
        <w:spacing w:before="1" w:line="415" w:lineRule="auto"/>
        <w:ind w:left="32" w:right="10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以上综合评价，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我们可以得出该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MPB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客车项目选址的合理性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可行性，为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MPB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客车项目的后续规划和实施提供了坚实的基础。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right="1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3" w:lineRule="auto"/>
        <w:ind w:left="41" w:right="10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</w:p>
    <w:p>
      <w:pPr>
        <w:sectPr>
          <w:pgSz w:w="11906" w:h="16839"/>
          <w:pgMar w:top="1431" w:right="169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3" w:line="415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2" w:right="56" w:firstLine="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8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MPB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客车项目可行性研究报告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MPB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客车行业，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2" w:line="326" w:lineRule="auto"/>
        <w:ind w:left="63" w:right="14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上脱</w:t>
      </w:r>
      <w:r>
        <w:rPr>
          <w:rFonts w:ascii="FangSong" w:eastAsia="FangSong" w:hAnsi="FangSong" w:cs="FangSong"/>
          <w:spacing w:val="-11"/>
          <w:sz w:val="28"/>
          <w:szCs w:val="28"/>
        </w:rPr>
        <w:t>颖</w:t>
      </w:r>
      <w:r>
        <w:rPr>
          <w:rFonts w:ascii="FangSong" w:eastAsia="FangSong" w:hAnsi="FangSong" w:cs="FangSong"/>
          <w:spacing w:val="-7"/>
          <w:sz w:val="28"/>
          <w:szCs w:val="28"/>
        </w:rPr>
        <w:t>而出，成为消费者首选的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客车产品。</w:t>
      </w:r>
    </w:p>
    <w:p>
      <w:pPr>
        <w:spacing w:before="248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1.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MPB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客车项目总投资</w:t>
      </w:r>
    </w:p>
    <w:p>
      <w:pPr>
        <w:spacing w:before="293" w:line="411" w:lineRule="auto"/>
        <w:ind w:left="37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我</w:t>
      </w:r>
      <w:r>
        <w:rPr>
          <w:rFonts w:ascii="FangSong" w:eastAsia="FangSong" w:hAnsi="FangSong" w:cs="FangSong"/>
          <w:spacing w:val="-12"/>
          <w:sz w:val="28"/>
          <w:szCs w:val="28"/>
        </w:rPr>
        <w:t>们的建设规模旨在实现一个全面、可持续的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MPB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客车项目。MPB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客</w:t>
      </w:r>
      <w:r>
        <w:rPr>
          <w:rFonts w:ascii="FangSong" w:eastAsia="FangSong" w:hAnsi="FangSong" w:cs="FangSong"/>
          <w:spacing w:val="-5"/>
          <w:sz w:val="28"/>
          <w:szCs w:val="28"/>
        </w:rPr>
        <w:t>车</w:t>
      </w:r>
      <w:r>
        <w:rPr>
          <w:rFonts w:ascii="FangSong" w:eastAsia="FangSong" w:hAnsi="FangSong" w:cs="FangSong"/>
          <w:spacing w:val="-4"/>
          <w:sz w:val="28"/>
          <w:szCs w:val="28"/>
        </w:rPr>
        <w:t>项目总投资将主要用于以下几个方面：</w:t>
      </w:r>
    </w:p>
    <w:p>
      <w:pPr>
        <w:spacing w:before="1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基</w:t>
      </w:r>
      <w:r>
        <w:rPr>
          <w:rFonts w:ascii="FangSong" w:eastAsia="FangSong" w:hAnsi="FangSong" w:cs="FangSong"/>
          <w:spacing w:val="-21"/>
          <w:sz w:val="28"/>
          <w:szCs w:val="28"/>
        </w:rPr>
        <w:t>础</w:t>
      </w:r>
      <w:r>
        <w:rPr>
          <w:rFonts w:ascii="FangSong" w:eastAsia="FangSong" w:hAnsi="FangSong" w:cs="FangSong"/>
          <w:spacing w:val="-12"/>
          <w:sz w:val="28"/>
          <w:szCs w:val="28"/>
        </w:rPr>
        <w:t>设施建设：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我们将投入资金用于基础设施的修建，确保MPB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https://d.book118.com/188060117063006046</w:t>
        </w:r>
      </w:hyperlink>
    </w:p>
    <w:p/>
    <w:sectPr>
      <w:pgSz w:w="11906" w:h="16839"/>
      <w:pgMar w:top="1431" w:right="1718" w:bottom="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88060117063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2024-03-14T08:31:21Z</vt:filetime>
  </property>
  <property fmtid="{D5CDD505-2E9C-101B-9397-08002B2CF9AE}" pid="3" name="CRO">
    <vt:lpwstr>wqlLaW5nc29mdCBQREYgdG8gV1BTIDgw</vt:lpwstr>
  </property>
</Properties>
</file>