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01AB" w14:paraId="331F478D" w14:textId="77777777">
      <w:pPr>
        <w:widowControl/>
        <w:jc w:val="left"/>
        <w:rPr>
          <w:rFonts w:ascii="仿宋" w:eastAsia="仿宋" w:hAnsi="仿宋"/>
          <w:b/>
          <w:sz w:val="40"/>
        </w:rPr>
      </w:pPr>
    </w:p>
    <w:p w:rsidR="00E001AB" w14:paraId="33923D48" w14:textId="77777777">
      <w:pPr>
        <w:widowControl/>
        <w:jc w:val="left"/>
        <w:rPr>
          <w:rFonts w:ascii="仿宋" w:eastAsia="仿宋" w:hAnsi="仿宋"/>
          <w:b/>
          <w:sz w:val="40"/>
        </w:rPr>
      </w:pPr>
    </w:p>
    <w:p w:rsidR="00E001AB" w14:paraId="6B6BF49A" w14:textId="77777777">
      <w:pPr>
        <w:widowControl/>
        <w:jc w:val="left"/>
        <w:rPr>
          <w:rFonts w:ascii="仿宋" w:eastAsia="仿宋" w:hAnsi="仿宋"/>
          <w:b/>
          <w:sz w:val="40"/>
        </w:rPr>
      </w:pPr>
    </w:p>
    <w:p w:rsidR="00E001AB" w:rsidRPr="00E001AB" w14:paraId="115123EB" w14:textId="7F0423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001AB">
        <w:rPr>
          <w:rFonts w:ascii="宋体" w:eastAsia="宋体" w:hAnsi="宋体" w:hint="eastAsia"/>
          <w:b/>
          <w:sz w:val="60"/>
        </w:rPr>
        <w:t>硒氧化物相关项目可行性研究报告</w:t>
      </w:r>
    </w:p>
    <w:p w:rsidR="00E001AB" w:rsidP="00E001AB" w14:paraId="3942A4BE" w14:textId="1577003F">
      <w:pPr>
        <w:widowControl/>
        <w:jc w:val="center"/>
        <w:rPr>
          <w:rFonts w:ascii="仿宋" w:eastAsia="仿宋" w:hAnsi="仿宋" w:hint="eastAsia"/>
          <w:b/>
          <w:sz w:val="40"/>
        </w:rPr>
      </w:pPr>
      <w:r w:rsidRPr="00E001AB">
        <w:rPr>
          <w:rFonts w:ascii="仿宋" w:eastAsia="仿宋" w:hAnsi="仿宋" w:hint="eastAsia"/>
          <w:b/>
          <w:sz w:val="40"/>
        </w:rPr>
        <w:t>目录</w:t>
      </w:r>
    </w:p>
    <w:p w:rsidR="00E001AB" w14:paraId="117F1A86" w14:textId="7895B728">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_Toc153580772 \h </w:instrText>
      </w:r>
      <w:r>
        <w:rPr>
          <w:noProof/>
        </w:rPr>
        <w:fldChar w:fldCharType="separate"/>
      </w:r>
      <w:r>
        <w:rPr>
          <w:noProof/>
        </w:rPr>
        <w:t>3</w:t>
      </w:r>
      <w:r>
        <w:rPr>
          <w:noProof/>
        </w:rPr>
        <w:fldChar w:fldCharType="end"/>
      </w:r>
    </w:p>
    <w:p w:rsidR="00E001AB" w14:paraId="5429435F" w14:textId="55EF322E">
      <w:pPr>
        <w:pStyle w:val="TOC1"/>
        <w:tabs>
          <w:tab w:val="right" w:leader="dot" w:pos="8296"/>
        </w:tabs>
        <w:rPr>
          <w:noProof/>
        </w:rPr>
      </w:pPr>
      <w:r>
        <w:rPr>
          <w:noProof/>
        </w:rPr>
        <w:t>一、硒氧化物行业社会文化影响评估</w:t>
      </w:r>
      <w:r>
        <w:rPr>
          <w:noProof/>
        </w:rPr>
        <w:tab/>
      </w:r>
      <w:r>
        <w:rPr>
          <w:noProof/>
        </w:rPr>
        <w:fldChar w:fldCharType="begin"/>
      </w:r>
      <w:r>
        <w:rPr>
          <w:noProof/>
        </w:rPr>
        <w:instrText xml:space="preserve"> PAGEREF _Toc153580773 \h </w:instrText>
      </w:r>
      <w:r>
        <w:rPr>
          <w:noProof/>
        </w:rPr>
        <w:fldChar w:fldCharType="separate"/>
      </w:r>
      <w:r>
        <w:rPr>
          <w:noProof/>
        </w:rPr>
        <w:t>3</w:t>
      </w:r>
      <w:r>
        <w:rPr>
          <w:noProof/>
        </w:rPr>
        <w:fldChar w:fldCharType="end"/>
      </w:r>
    </w:p>
    <w:p w:rsidR="00E001AB" w14:paraId="4E0A724C" w14:textId="3F58DAD5">
      <w:pPr>
        <w:pStyle w:val="TOC2"/>
        <w:tabs>
          <w:tab w:val="right" w:leader="dot" w:pos="8296"/>
        </w:tabs>
        <w:rPr>
          <w:noProof/>
        </w:rPr>
      </w:pPr>
      <w:r>
        <w:rPr>
          <w:noProof/>
        </w:rPr>
        <w:t>(一)、硒氧化物在文化和艺术中的地位</w:t>
      </w:r>
      <w:r>
        <w:rPr>
          <w:noProof/>
        </w:rPr>
        <w:tab/>
      </w:r>
      <w:r>
        <w:rPr>
          <w:noProof/>
        </w:rPr>
        <w:fldChar w:fldCharType="begin"/>
      </w:r>
      <w:r>
        <w:rPr>
          <w:noProof/>
        </w:rPr>
        <w:instrText xml:space="preserve"> PAGEREF _Toc153580774 \h </w:instrText>
      </w:r>
      <w:r>
        <w:rPr>
          <w:noProof/>
        </w:rPr>
        <w:fldChar w:fldCharType="separate"/>
      </w:r>
      <w:r>
        <w:rPr>
          <w:noProof/>
        </w:rPr>
        <w:t>3</w:t>
      </w:r>
      <w:r>
        <w:rPr>
          <w:noProof/>
        </w:rPr>
        <w:fldChar w:fldCharType="end"/>
      </w:r>
    </w:p>
    <w:p w:rsidR="00E001AB" w14:paraId="01CF9ED6" w14:textId="7CC8FA0A">
      <w:pPr>
        <w:pStyle w:val="TOC2"/>
        <w:tabs>
          <w:tab w:val="right" w:leader="dot" w:pos="8296"/>
        </w:tabs>
        <w:rPr>
          <w:noProof/>
        </w:rPr>
      </w:pPr>
      <w:r>
        <w:rPr>
          <w:noProof/>
        </w:rPr>
        <w:t>(二)、文化趋势对硒氧化物需求的影响</w:t>
      </w:r>
      <w:r>
        <w:rPr>
          <w:noProof/>
        </w:rPr>
        <w:tab/>
      </w:r>
      <w:r>
        <w:rPr>
          <w:noProof/>
        </w:rPr>
        <w:fldChar w:fldCharType="begin"/>
      </w:r>
      <w:r>
        <w:rPr>
          <w:noProof/>
        </w:rPr>
        <w:instrText xml:space="preserve"> PAGEREF _Toc153580775 \h </w:instrText>
      </w:r>
      <w:r>
        <w:rPr>
          <w:noProof/>
        </w:rPr>
        <w:fldChar w:fldCharType="separate"/>
      </w:r>
      <w:r>
        <w:rPr>
          <w:noProof/>
        </w:rPr>
        <w:t>4</w:t>
      </w:r>
      <w:r>
        <w:rPr>
          <w:noProof/>
        </w:rPr>
        <w:fldChar w:fldCharType="end"/>
      </w:r>
    </w:p>
    <w:p w:rsidR="00E001AB" w14:paraId="150D2753" w14:textId="178E39BD">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_Toc153580776 \h </w:instrText>
      </w:r>
      <w:r>
        <w:rPr>
          <w:noProof/>
        </w:rPr>
        <w:fldChar w:fldCharType="separate"/>
      </w:r>
      <w:r>
        <w:rPr>
          <w:noProof/>
        </w:rPr>
        <w:t>5</w:t>
      </w:r>
      <w:r>
        <w:rPr>
          <w:noProof/>
        </w:rPr>
        <w:fldChar w:fldCharType="end"/>
      </w:r>
    </w:p>
    <w:p w:rsidR="00E001AB" w14:paraId="34AA5BBE" w14:textId="154E032E">
      <w:pPr>
        <w:pStyle w:val="TOC1"/>
        <w:tabs>
          <w:tab w:val="right" w:leader="dot" w:pos="8296"/>
        </w:tabs>
        <w:rPr>
          <w:noProof/>
        </w:rPr>
      </w:pPr>
      <w:r>
        <w:rPr>
          <w:noProof/>
        </w:rPr>
        <w:t>二、硒氧化物项目投资估算与资金筹措</w:t>
      </w:r>
      <w:r>
        <w:rPr>
          <w:noProof/>
        </w:rPr>
        <w:tab/>
      </w:r>
      <w:r>
        <w:rPr>
          <w:noProof/>
        </w:rPr>
        <w:fldChar w:fldCharType="begin"/>
      </w:r>
      <w:r>
        <w:rPr>
          <w:noProof/>
        </w:rPr>
        <w:instrText xml:space="preserve"> PAGEREF _Toc153580777 \h </w:instrText>
      </w:r>
      <w:r>
        <w:rPr>
          <w:noProof/>
        </w:rPr>
        <w:fldChar w:fldCharType="separate"/>
      </w:r>
      <w:r>
        <w:rPr>
          <w:noProof/>
        </w:rPr>
        <w:t>7</w:t>
      </w:r>
      <w:r>
        <w:rPr>
          <w:noProof/>
        </w:rPr>
        <w:fldChar w:fldCharType="end"/>
      </w:r>
    </w:p>
    <w:p w:rsidR="00E001AB" w14:paraId="068E6889" w14:textId="1E8550A6">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_Toc153580778 \h </w:instrText>
      </w:r>
      <w:r>
        <w:rPr>
          <w:noProof/>
        </w:rPr>
        <w:fldChar w:fldCharType="separate"/>
      </w:r>
      <w:r>
        <w:rPr>
          <w:noProof/>
        </w:rPr>
        <w:t>7</w:t>
      </w:r>
      <w:r>
        <w:rPr>
          <w:noProof/>
        </w:rPr>
        <w:fldChar w:fldCharType="end"/>
      </w:r>
    </w:p>
    <w:p w:rsidR="00E001AB" w14:paraId="204D0173" w14:textId="54B49AD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_Toc153580779 \h </w:instrText>
      </w:r>
      <w:r>
        <w:rPr>
          <w:noProof/>
        </w:rPr>
        <w:fldChar w:fldCharType="separate"/>
      </w:r>
      <w:r>
        <w:rPr>
          <w:noProof/>
        </w:rPr>
        <w:t>8</w:t>
      </w:r>
      <w:r>
        <w:rPr>
          <w:noProof/>
        </w:rPr>
        <w:fldChar w:fldCharType="end"/>
      </w:r>
    </w:p>
    <w:p w:rsidR="00E001AB" w14:paraId="453D5CAA" w14:textId="7B87B006">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_Toc153580780 \h </w:instrText>
      </w:r>
      <w:r>
        <w:rPr>
          <w:noProof/>
        </w:rPr>
        <w:fldChar w:fldCharType="separate"/>
      </w:r>
      <w:r>
        <w:rPr>
          <w:noProof/>
        </w:rPr>
        <w:t>8</w:t>
      </w:r>
      <w:r>
        <w:rPr>
          <w:noProof/>
        </w:rPr>
        <w:fldChar w:fldCharType="end"/>
      </w:r>
    </w:p>
    <w:p w:rsidR="00E001AB" w14:paraId="5E18AEF6" w14:textId="114F68D1">
      <w:pPr>
        <w:pStyle w:val="TOC2"/>
        <w:tabs>
          <w:tab w:val="right" w:leader="dot" w:pos="8296"/>
        </w:tabs>
        <w:rPr>
          <w:noProof/>
        </w:rPr>
      </w:pPr>
      <w:r>
        <w:rPr>
          <w:noProof/>
        </w:rPr>
        <w:t>(四)、硒氧化物项目经济评价</w:t>
      </w:r>
      <w:r>
        <w:rPr>
          <w:noProof/>
        </w:rPr>
        <w:tab/>
      </w:r>
      <w:r>
        <w:rPr>
          <w:noProof/>
        </w:rPr>
        <w:fldChar w:fldCharType="begin"/>
      </w:r>
      <w:r>
        <w:rPr>
          <w:noProof/>
        </w:rPr>
        <w:instrText xml:space="preserve"> PAGEREF _Toc153580781 \h </w:instrText>
      </w:r>
      <w:r>
        <w:rPr>
          <w:noProof/>
        </w:rPr>
        <w:fldChar w:fldCharType="separate"/>
      </w:r>
      <w:r>
        <w:rPr>
          <w:noProof/>
        </w:rPr>
        <w:t>8</w:t>
      </w:r>
      <w:r>
        <w:rPr>
          <w:noProof/>
        </w:rPr>
        <w:fldChar w:fldCharType="end"/>
      </w:r>
    </w:p>
    <w:p w:rsidR="00E001AB" w14:paraId="73FCFEF6" w14:textId="7CA62821">
      <w:pPr>
        <w:pStyle w:val="TOC1"/>
        <w:tabs>
          <w:tab w:val="right" w:leader="dot" w:pos="8296"/>
        </w:tabs>
        <w:rPr>
          <w:noProof/>
        </w:rPr>
      </w:pPr>
      <w:r>
        <w:rPr>
          <w:noProof/>
        </w:rPr>
        <w:t>三、灵活性和可持续性平衡</w:t>
      </w:r>
      <w:r>
        <w:rPr>
          <w:noProof/>
        </w:rPr>
        <w:tab/>
      </w:r>
      <w:r>
        <w:rPr>
          <w:noProof/>
        </w:rPr>
        <w:fldChar w:fldCharType="begin"/>
      </w:r>
      <w:r>
        <w:rPr>
          <w:noProof/>
        </w:rPr>
        <w:instrText xml:space="preserve"> PAGEREF _Toc153580782 \h </w:instrText>
      </w:r>
      <w:r>
        <w:rPr>
          <w:noProof/>
        </w:rPr>
        <w:fldChar w:fldCharType="separate"/>
      </w:r>
      <w:r>
        <w:rPr>
          <w:noProof/>
        </w:rPr>
        <w:t>9</w:t>
      </w:r>
      <w:r>
        <w:rPr>
          <w:noProof/>
        </w:rPr>
        <w:fldChar w:fldCharType="end"/>
      </w:r>
    </w:p>
    <w:p w:rsidR="00E001AB" w14:paraId="4BCE1D46" w14:textId="32C1A92D">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_Toc153580783 \h </w:instrText>
      </w:r>
      <w:r>
        <w:rPr>
          <w:noProof/>
        </w:rPr>
        <w:fldChar w:fldCharType="separate"/>
      </w:r>
      <w:r>
        <w:rPr>
          <w:noProof/>
        </w:rPr>
        <w:t>9</w:t>
      </w:r>
      <w:r>
        <w:rPr>
          <w:noProof/>
        </w:rPr>
        <w:fldChar w:fldCharType="end"/>
      </w:r>
    </w:p>
    <w:p w:rsidR="00E001AB" w14:paraId="3D45F4A6" w14:textId="2DFF7870">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_Toc153580784 \h </w:instrText>
      </w:r>
      <w:r>
        <w:rPr>
          <w:noProof/>
        </w:rPr>
        <w:fldChar w:fldCharType="separate"/>
      </w:r>
      <w:r>
        <w:rPr>
          <w:noProof/>
        </w:rPr>
        <w:t>10</w:t>
      </w:r>
      <w:r>
        <w:rPr>
          <w:noProof/>
        </w:rPr>
        <w:fldChar w:fldCharType="end"/>
      </w:r>
    </w:p>
    <w:p w:rsidR="00E001AB" w14:paraId="3FC76590" w14:textId="4AEA8331">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_Toc153580785 \h </w:instrText>
      </w:r>
      <w:r>
        <w:rPr>
          <w:noProof/>
        </w:rPr>
        <w:fldChar w:fldCharType="separate"/>
      </w:r>
      <w:r>
        <w:rPr>
          <w:noProof/>
        </w:rPr>
        <w:t>11</w:t>
      </w:r>
      <w:r>
        <w:rPr>
          <w:noProof/>
        </w:rPr>
        <w:fldChar w:fldCharType="end"/>
      </w:r>
    </w:p>
    <w:p w:rsidR="00E001AB" w14:paraId="5F90164F" w14:textId="3B76513B">
      <w:pPr>
        <w:pStyle w:val="TOC1"/>
        <w:tabs>
          <w:tab w:val="right" w:leader="dot" w:pos="8296"/>
        </w:tabs>
        <w:rPr>
          <w:noProof/>
        </w:rPr>
      </w:pPr>
      <w:r>
        <w:rPr>
          <w:noProof/>
        </w:rPr>
        <w:t>四、文化内涵和艺术价值</w:t>
      </w:r>
      <w:r>
        <w:rPr>
          <w:noProof/>
        </w:rPr>
        <w:tab/>
      </w:r>
      <w:r>
        <w:rPr>
          <w:noProof/>
        </w:rPr>
        <w:fldChar w:fldCharType="begin"/>
      </w:r>
      <w:r>
        <w:rPr>
          <w:noProof/>
        </w:rPr>
        <w:instrText xml:space="preserve"> PAGEREF _Toc153580786 \h </w:instrText>
      </w:r>
      <w:r>
        <w:rPr>
          <w:noProof/>
        </w:rPr>
        <w:fldChar w:fldCharType="separate"/>
      </w:r>
      <w:r>
        <w:rPr>
          <w:noProof/>
        </w:rPr>
        <w:t>12</w:t>
      </w:r>
      <w:r>
        <w:rPr>
          <w:noProof/>
        </w:rPr>
        <w:fldChar w:fldCharType="end"/>
      </w:r>
    </w:p>
    <w:p w:rsidR="00E001AB" w14:paraId="35B4BC1A" w14:textId="14F970C1">
      <w:pPr>
        <w:pStyle w:val="TOC2"/>
        <w:tabs>
          <w:tab w:val="right" w:leader="dot" w:pos="8296"/>
        </w:tabs>
        <w:rPr>
          <w:noProof/>
        </w:rPr>
      </w:pPr>
      <w:r>
        <w:rPr>
          <w:noProof/>
        </w:rPr>
        <w:t>(一)、硒氧化物项目与文化内涵的结合方式</w:t>
      </w:r>
      <w:r>
        <w:rPr>
          <w:noProof/>
        </w:rPr>
        <w:tab/>
      </w:r>
      <w:r>
        <w:rPr>
          <w:noProof/>
        </w:rPr>
        <w:fldChar w:fldCharType="begin"/>
      </w:r>
      <w:r>
        <w:rPr>
          <w:noProof/>
        </w:rPr>
        <w:instrText xml:space="preserve"> PAGEREF _Toc153580787 \h </w:instrText>
      </w:r>
      <w:r>
        <w:rPr>
          <w:noProof/>
        </w:rPr>
        <w:fldChar w:fldCharType="separate"/>
      </w:r>
      <w:r>
        <w:rPr>
          <w:noProof/>
        </w:rPr>
        <w:t>12</w:t>
      </w:r>
      <w:r>
        <w:rPr>
          <w:noProof/>
        </w:rPr>
        <w:fldChar w:fldCharType="end"/>
      </w:r>
    </w:p>
    <w:p w:rsidR="00E001AB" w14:paraId="71A0FE65" w14:textId="3A772CFF">
      <w:pPr>
        <w:pStyle w:val="TOC2"/>
        <w:tabs>
          <w:tab w:val="right" w:leader="dot" w:pos="8296"/>
        </w:tabs>
        <w:rPr>
          <w:noProof/>
        </w:rPr>
      </w:pPr>
      <w:r>
        <w:rPr>
          <w:noProof/>
        </w:rPr>
        <w:t>(二)、硒氧化物项目产品的艺术价值分析</w:t>
      </w:r>
      <w:r>
        <w:rPr>
          <w:noProof/>
        </w:rPr>
        <w:tab/>
      </w:r>
      <w:r>
        <w:rPr>
          <w:noProof/>
        </w:rPr>
        <w:fldChar w:fldCharType="begin"/>
      </w:r>
      <w:r>
        <w:rPr>
          <w:noProof/>
        </w:rPr>
        <w:instrText xml:space="preserve"> PAGEREF _Toc153580788 \h </w:instrText>
      </w:r>
      <w:r>
        <w:rPr>
          <w:noProof/>
        </w:rPr>
        <w:fldChar w:fldCharType="separate"/>
      </w:r>
      <w:r>
        <w:rPr>
          <w:noProof/>
        </w:rPr>
        <w:t>13</w:t>
      </w:r>
      <w:r>
        <w:rPr>
          <w:noProof/>
        </w:rPr>
        <w:fldChar w:fldCharType="end"/>
      </w:r>
    </w:p>
    <w:p w:rsidR="00E001AB" w14:paraId="484C576F" w14:textId="6CAE936C">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_Toc153580789 \h </w:instrText>
      </w:r>
      <w:r>
        <w:rPr>
          <w:noProof/>
        </w:rPr>
        <w:fldChar w:fldCharType="separate"/>
      </w:r>
      <w:r>
        <w:rPr>
          <w:noProof/>
        </w:rPr>
        <w:t>13</w:t>
      </w:r>
      <w:r>
        <w:rPr>
          <w:noProof/>
        </w:rPr>
        <w:fldChar w:fldCharType="end"/>
      </w:r>
    </w:p>
    <w:p w:rsidR="00E001AB" w14:paraId="33C32926" w14:textId="7020B173">
      <w:pPr>
        <w:pStyle w:val="TOC1"/>
        <w:tabs>
          <w:tab w:val="right" w:leader="dot" w:pos="8296"/>
        </w:tabs>
        <w:rPr>
          <w:noProof/>
        </w:rPr>
      </w:pPr>
      <w:r>
        <w:rPr>
          <w:noProof/>
        </w:rPr>
        <w:t>五、产品定价和销售策略</w:t>
      </w:r>
      <w:r>
        <w:rPr>
          <w:noProof/>
        </w:rPr>
        <w:tab/>
      </w:r>
      <w:r>
        <w:rPr>
          <w:noProof/>
        </w:rPr>
        <w:fldChar w:fldCharType="begin"/>
      </w:r>
      <w:r>
        <w:rPr>
          <w:noProof/>
        </w:rPr>
        <w:instrText xml:space="preserve"> PAGEREF _Toc153580790 \h </w:instrText>
      </w:r>
      <w:r>
        <w:rPr>
          <w:noProof/>
        </w:rPr>
        <w:fldChar w:fldCharType="separate"/>
      </w:r>
      <w:r>
        <w:rPr>
          <w:noProof/>
        </w:rPr>
        <w:t>14</w:t>
      </w:r>
      <w:r>
        <w:rPr>
          <w:noProof/>
        </w:rPr>
        <w:fldChar w:fldCharType="end"/>
      </w:r>
    </w:p>
    <w:p w:rsidR="00E001AB" w14:paraId="610E58E4" w14:textId="343F80B1">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_Toc153580791 \h </w:instrText>
      </w:r>
      <w:r>
        <w:rPr>
          <w:noProof/>
        </w:rPr>
        <w:fldChar w:fldCharType="separate"/>
      </w:r>
      <w:r>
        <w:rPr>
          <w:noProof/>
        </w:rPr>
        <w:t>14</w:t>
      </w:r>
      <w:r>
        <w:rPr>
          <w:noProof/>
        </w:rPr>
        <w:fldChar w:fldCharType="end"/>
      </w:r>
    </w:p>
    <w:p w:rsidR="00E001AB" w14:paraId="7E75049B" w14:textId="4DDF1F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(二)、销售渠道的选择和拓展</w:t>
      </w:r>
      <w:r>
        <w:rPr>
          <w:noProof/>
        </w:rPr>
        <w:tab/>
      </w:r>
      <w:r>
        <w:rPr>
          <w:noProof/>
        </w:rPr>
        <w:fldChar w:fldCharType="begin"/>
      </w:r>
      <w:r>
        <w:rPr>
          <w:noProof/>
        </w:rPr>
        <w:instrText xml:space="preserve"> PAGEREF _Toc153580792 \h </w:instrText>
      </w:r>
      <w:r>
        <w:rPr>
          <w:noProof/>
        </w:rPr>
        <w:fldChar w:fldCharType="separate"/>
      </w:r>
      <w:r>
        <w:rPr>
          <w:noProof/>
        </w:rPr>
        <w:t>16</w:t>
      </w:r>
      <w:r>
        <w:rPr>
          <w:noProof/>
        </w:rPr>
        <w:fldChar w:fldCharType="end"/>
      </w:r>
    </w:p>
    <w:p w:rsidR="00E001AB" w14:paraId="6A3EB015" w14:textId="715BBA31">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_Toc153580793 \h </w:instrText>
      </w:r>
      <w:r>
        <w:rPr>
          <w:noProof/>
        </w:rPr>
        <w:fldChar w:fldCharType="separate"/>
      </w:r>
      <w:r>
        <w:rPr>
          <w:noProof/>
        </w:rPr>
        <w:t>17</w:t>
      </w:r>
      <w:r>
        <w:rPr>
          <w:noProof/>
        </w:rPr>
        <w:fldChar w:fldCharType="end"/>
      </w:r>
    </w:p>
    <w:p w:rsidR="00E001AB" w14:paraId="01F6068D" w14:textId="080E06D0">
      <w:pPr>
        <w:pStyle w:val="TOC1"/>
        <w:tabs>
          <w:tab w:val="right" w:leader="dot" w:pos="8296"/>
        </w:tabs>
        <w:rPr>
          <w:noProof/>
        </w:rPr>
      </w:pPr>
      <w:r>
        <w:rPr>
          <w:noProof/>
        </w:rPr>
        <w:t>六、市场创新和颠覆潜力</w:t>
      </w:r>
      <w:r>
        <w:rPr>
          <w:noProof/>
        </w:rPr>
        <w:tab/>
      </w:r>
      <w:r>
        <w:rPr>
          <w:noProof/>
        </w:rPr>
        <w:fldChar w:fldCharType="begin"/>
      </w:r>
      <w:r>
        <w:rPr>
          <w:noProof/>
        </w:rPr>
        <w:instrText xml:space="preserve"> PAGEREF _Toc153580794 \h </w:instrText>
      </w:r>
      <w:r>
        <w:rPr>
          <w:noProof/>
        </w:rPr>
        <w:fldChar w:fldCharType="separate"/>
      </w:r>
      <w:r>
        <w:rPr>
          <w:noProof/>
        </w:rPr>
        <w:t>19</w:t>
      </w:r>
      <w:r>
        <w:rPr>
          <w:noProof/>
        </w:rPr>
        <w:fldChar w:fldCharType="end"/>
      </w:r>
    </w:p>
    <w:p w:rsidR="00E001AB" w14:paraId="5665F86F" w14:textId="695ECE9A">
      <w:pPr>
        <w:pStyle w:val="TOC2"/>
        <w:tabs>
          <w:tab w:val="right" w:leader="dot" w:pos="8296"/>
        </w:tabs>
        <w:rPr>
          <w:noProof/>
        </w:rPr>
      </w:pPr>
      <w:r>
        <w:rPr>
          <w:noProof/>
        </w:rPr>
        <w:t>(一)、市场创新对硒氧化物行业的潜力</w:t>
      </w:r>
      <w:r>
        <w:rPr>
          <w:noProof/>
        </w:rPr>
        <w:tab/>
      </w:r>
      <w:r>
        <w:rPr>
          <w:noProof/>
        </w:rPr>
        <w:fldChar w:fldCharType="begin"/>
      </w:r>
      <w:r>
        <w:rPr>
          <w:noProof/>
        </w:rPr>
        <w:instrText xml:space="preserve"> PAGEREF _Toc153580795 \h </w:instrText>
      </w:r>
      <w:r>
        <w:rPr>
          <w:noProof/>
        </w:rPr>
        <w:fldChar w:fldCharType="separate"/>
      </w:r>
      <w:r>
        <w:rPr>
          <w:noProof/>
        </w:rPr>
        <w:t>19</w:t>
      </w:r>
      <w:r>
        <w:rPr>
          <w:noProof/>
        </w:rPr>
        <w:fldChar w:fldCharType="end"/>
      </w:r>
    </w:p>
    <w:p w:rsidR="00E001AB" w14:paraId="20F8906C" w14:textId="1BBEBC1D">
      <w:pPr>
        <w:pStyle w:val="TOC2"/>
        <w:tabs>
          <w:tab w:val="right" w:leader="dot" w:pos="8296"/>
        </w:tabs>
        <w:rPr>
          <w:noProof/>
        </w:rPr>
      </w:pPr>
      <w:r>
        <w:rPr>
          <w:noProof/>
        </w:rPr>
        <w:t>(二)、硒氧化物技术的颠覆性影响</w:t>
      </w:r>
      <w:r>
        <w:rPr>
          <w:noProof/>
        </w:rPr>
        <w:tab/>
      </w:r>
      <w:r>
        <w:rPr>
          <w:noProof/>
        </w:rPr>
        <w:fldChar w:fldCharType="begin"/>
      </w:r>
      <w:r>
        <w:rPr>
          <w:noProof/>
        </w:rPr>
        <w:instrText xml:space="preserve"> PAGEREF _Toc153580796 \h </w:instrText>
      </w:r>
      <w:r>
        <w:rPr>
          <w:noProof/>
        </w:rPr>
        <w:fldChar w:fldCharType="separate"/>
      </w:r>
      <w:r>
        <w:rPr>
          <w:noProof/>
        </w:rPr>
        <w:t>20</w:t>
      </w:r>
      <w:r>
        <w:rPr>
          <w:noProof/>
        </w:rPr>
        <w:fldChar w:fldCharType="end"/>
      </w:r>
    </w:p>
    <w:p w:rsidR="00E001AB" w14:paraId="7AC93E65" w14:textId="3C8D6FBB">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_Toc153580797 \h </w:instrText>
      </w:r>
      <w:r>
        <w:rPr>
          <w:noProof/>
        </w:rPr>
        <w:fldChar w:fldCharType="separate"/>
      </w:r>
      <w:r>
        <w:rPr>
          <w:noProof/>
        </w:rPr>
        <w:t>21</w:t>
      </w:r>
      <w:r>
        <w:rPr>
          <w:noProof/>
        </w:rPr>
        <w:fldChar w:fldCharType="end"/>
      </w:r>
    </w:p>
    <w:p w:rsidR="00E001AB" w14:paraId="156BAD9E" w14:textId="419D023A">
      <w:pPr>
        <w:pStyle w:val="TOC1"/>
        <w:tabs>
          <w:tab w:val="right" w:leader="dot" w:pos="8296"/>
        </w:tabs>
        <w:rPr>
          <w:noProof/>
        </w:rPr>
      </w:pPr>
      <w:r>
        <w:rPr>
          <w:noProof/>
        </w:rPr>
        <w:t>七、可行性结论</w:t>
      </w:r>
      <w:r>
        <w:rPr>
          <w:noProof/>
        </w:rPr>
        <w:tab/>
      </w:r>
      <w:r>
        <w:rPr>
          <w:noProof/>
        </w:rPr>
        <w:fldChar w:fldCharType="begin"/>
      </w:r>
      <w:r>
        <w:rPr>
          <w:noProof/>
        </w:rPr>
        <w:instrText xml:space="preserve"> PAGEREF _Toc153580798 \h </w:instrText>
      </w:r>
      <w:r>
        <w:rPr>
          <w:noProof/>
        </w:rPr>
        <w:fldChar w:fldCharType="separate"/>
      </w:r>
      <w:r>
        <w:rPr>
          <w:noProof/>
        </w:rPr>
        <w:t>22</w:t>
      </w:r>
      <w:r>
        <w:rPr>
          <w:noProof/>
        </w:rPr>
        <w:fldChar w:fldCharType="end"/>
      </w:r>
    </w:p>
    <w:p w:rsidR="00E001AB" w14:paraId="5EF042DD" w14:textId="2C82A138">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_Toc153580799 \h </w:instrText>
      </w:r>
      <w:r>
        <w:rPr>
          <w:noProof/>
        </w:rPr>
        <w:fldChar w:fldCharType="separate"/>
      </w:r>
      <w:r>
        <w:rPr>
          <w:noProof/>
        </w:rPr>
        <w:t>22</w:t>
      </w:r>
      <w:r>
        <w:rPr>
          <w:noProof/>
        </w:rPr>
        <w:fldChar w:fldCharType="end"/>
      </w:r>
    </w:p>
    <w:p w:rsidR="00E001AB" w14:paraId="42420887" w14:textId="6DB8A8BE">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_Toc153580800 \h </w:instrText>
      </w:r>
      <w:r>
        <w:rPr>
          <w:noProof/>
        </w:rPr>
        <w:fldChar w:fldCharType="separate"/>
      </w:r>
      <w:r>
        <w:rPr>
          <w:noProof/>
        </w:rPr>
        <w:t>23</w:t>
      </w:r>
      <w:r>
        <w:rPr>
          <w:noProof/>
        </w:rPr>
        <w:fldChar w:fldCharType="end"/>
      </w:r>
    </w:p>
    <w:p w:rsidR="00E001AB" w14:paraId="7A4E00A0" w14:textId="383AED28">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_Toc153580801 \h </w:instrText>
      </w:r>
      <w:r>
        <w:rPr>
          <w:noProof/>
        </w:rPr>
        <w:fldChar w:fldCharType="separate"/>
      </w:r>
      <w:r>
        <w:rPr>
          <w:noProof/>
        </w:rPr>
        <w:t>24</w:t>
      </w:r>
      <w:r>
        <w:rPr>
          <w:noProof/>
        </w:rPr>
        <w:fldChar w:fldCharType="end"/>
      </w:r>
    </w:p>
    <w:p w:rsidR="00E001AB" w14:paraId="1D7AF54F" w14:textId="25270997">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_Toc153580802 \h </w:instrText>
      </w:r>
      <w:r>
        <w:rPr>
          <w:noProof/>
        </w:rPr>
        <w:fldChar w:fldCharType="separate"/>
      </w:r>
      <w:r>
        <w:rPr>
          <w:noProof/>
        </w:rPr>
        <w:t>25</w:t>
      </w:r>
      <w:r>
        <w:rPr>
          <w:noProof/>
        </w:rPr>
        <w:fldChar w:fldCharType="end"/>
      </w:r>
    </w:p>
    <w:p w:rsidR="00E001AB" w14:paraId="1121A2DB" w14:textId="1D388B32">
      <w:pPr>
        <w:pStyle w:val="TOC1"/>
        <w:tabs>
          <w:tab w:val="right" w:leader="dot" w:pos="8296"/>
        </w:tabs>
        <w:rPr>
          <w:noProof/>
        </w:rPr>
      </w:pPr>
      <w:r>
        <w:rPr>
          <w:noProof/>
        </w:rPr>
        <w:t>八、企业文化和员工培训</w:t>
      </w:r>
      <w:r>
        <w:rPr>
          <w:noProof/>
        </w:rPr>
        <w:tab/>
      </w:r>
      <w:r>
        <w:rPr>
          <w:noProof/>
        </w:rPr>
        <w:fldChar w:fldCharType="begin"/>
      </w:r>
      <w:r>
        <w:rPr>
          <w:noProof/>
        </w:rPr>
        <w:instrText xml:space="preserve"> PAGEREF _Toc153580803 \h </w:instrText>
      </w:r>
      <w:r>
        <w:rPr>
          <w:noProof/>
        </w:rPr>
        <w:fldChar w:fldCharType="separate"/>
      </w:r>
      <w:r>
        <w:rPr>
          <w:noProof/>
        </w:rPr>
        <w:t>25</w:t>
      </w:r>
      <w:r>
        <w:rPr>
          <w:noProof/>
        </w:rPr>
        <w:fldChar w:fldCharType="end"/>
      </w:r>
    </w:p>
    <w:p w:rsidR="00E001AB" w14:paraId="52716627" w14:textId="21A7747F">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_Toc153580804 \h </w:instrText>
      </w:r>
      <w:r>
        <w:rPr>
          <w:noProof/>
        </w:rPr>
        <w:fldChar w:fldCharType="separate"/>
      </w:r>
      <w:r>
        <w:rPr>
          <w:noProof/>
        </w:rPr>
        <w:t>25</w:t>
      </w:r>
      <w:r>
        <w:rPr>
          <w:noProof/>
        </w:rPr>
        <w:fldChar w:fldCharType="end"/>
      </w:r>
    </w:p>
    <w:p w:rsidR="00E001AB" w14:paraId="6368C1A7" w14:textId="33500951">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_Toc153580805 \h </w:instrText>
      </w:r>
      <w:r>
        <w:rPr>
          <w:noProof/>
        </w:rPr>
        <w:fldChar w:fldCharType="separate"/>
      </w:r>
      <w:r>
        <w:rPr>
          <w:noProof/>
        </w:rPr>
        <w:t>27</w:t>
      </w:r>
      <w:r>
        <w:rPr>
          <w:noProof/>
        </w:rPr>
        <w:fldChar w:fldCharType="end"/>
      </w:r>
    </w:p>
    <w:p w:rsidR="00E001AB" w14:paraId="44DA1B8E" w14:textId="113EB112">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_Toc153580806 \h </w:instrText>
      </w:r>
      <w:r>
        <w:rPr>
          <w:noProof/>
        </w:rPr>
        <w:fldChar w:fldCharType="separate"/>
      </w:r>
      <w:r>
        <w:rPr>
          <w:noProof/>
        </w:rPr>
        <w:t>28</w:t>
      </w:r>
      <w:r>
        <w:rPr>
          <w:noProof/>
        </w:rPr>
        <w:fldChar w:fldCharType="end"/>
      </w:r>
    </w:p>
    <w:p w:rsidR="00E001AB" w14:paraId="7E5FE209" w14:textId="14FED607">
      <w:pPr>
        <w:pStyle w:val="TOC1"/>
        <w:tabs>
          <w:tab w:val="right" w:leader="dot" w:pos="8296"/>
        </w:tabs>
        <w:rPr>
          <w:noProof/>
        </w:rPr>
      </w:pPr>
      <w:r>
        <w:rPr>
          <w:noProof/>
        </w:rPr>
        <w:t>九、硒氧化物项目合作协议和合同</w:t>
      </w:r>
      <w:r>
        <w:rPr>
          <w:noProof/>
        </w:rPr>
        <w:tab/>
      </w:r>
      <w:r>
        <w:rPr>
          <w:noProof/>
        </w:rPr>
        <w:fldChar w:fldCharType="begin"/>
      </w:r>
      <w:r>
        <w:rPr>
          <w:noProof/>
        </w:rPr>
        <w:instrText xml:space="preserve"> PAGEREF _Toc153580807 \h </w:instrText>
      </w:r>
      <w:r>
        <w:rPr>
          <w:noProof/>
        </w:rPr>
        <w:fldChar w:fldCharType="separate"/>
      </w:r>
      <w:r>
        <w:rPr>
          <w:noProof/>
        </w:rPr>
        <w:t>29</w:t>
      </w:r>
      <w:r>
        <w:rPr>
          <w:noProof/>
        </w:rPr>
        <w:fldChar w:fldCharType="end"/>
      </w:r>
    </w:p>
    <w:p w:rsidR="00E001AB" w14:paraId="3F6F701A" w14:textId="00A685D8">
      <w:pPr>
        <w:pStyle w:val="TOC2"/>
        <w:tabs>
          <w:tab w:val="right" w:leader="dot" w:pos="8296"/>
        </w:tabs>
        <w:rPr>
          <w:noProof/>
        </w:rPr>
      </w:pPr>
      <w:r>
        <w:rPr>
          <w:noProof/>
        </w:rPr>
        <w:t>(一)、硒氧化物项目合作协议的主要内容和条款</w:t>
      </w:r>
      <w:r>
        <w:rPr>
          <w:noProof/>
        </w:rPr>
        <w:tab/>
      </w:r>
      <w:r>
        <w:rPr>
          <w:noProof/>
        </w:rPr>
        <w:fldChar w:fldCharType="begin"/>
      </w:r>
      <w:r>
        <w:rPr>
          <w:noProof/>
        </w:rPr>
        <w:instrText xml:space="preserve"> PAGEREF _Toc153580808 \h </w:instrText>
      </w:r>
      <w:r>
        <w:rPr>
          <w:noProof/>
        </w:rPr>
        <w:fldChar w:fldCharType="separate"/>
      </w:r>
      <w:r>
        <w:rPr>
          <w:noProof/>
        </w:rPr>
        <w:t>29</w:t>
      </w:r>
      <w:r>
        <w:rPr>
          <w:noProof/>
        </w:rPr>
        <w:fldChar w:fldCharType="end"/>
      </w:r>
    </w:p>
    <w:p w:rsidR="00E001AB" w14:paraId="312C609A" w14:textId="10B6F381">
      <w:pPr>
        <w:pStyle w:val="TOC2"/>
        <w:tabs>
          <w:tab w:val="right" w:leader="dot" w:pos="8296"/>
        </w:tabs>
        <w:rPr>
          <w:noProof/>
        </w:rPr>
      </w:pPr>
      <w:r>
        <w:rPr>
          <w:noProof/>
        </w:rPr>
        <w:t>(二)、硒氧化物项目合同的主要内容和条款</w:t>
      </w:r>
      <w:r>
        <w:rPr>
          <w:noProof/>
        </w:rPr>
        <w:tab/>
      </w:r>
      <w:r>
        <w:rPr>
          <w:noProof/>
        </w:rPr>
        <w:fldChar w:fldCharType="begin"/>
      </w:r>
      <w:r>
        <w:rPr>
          <w:noProof/>
        </w:rPr>
        <w:instrText xml:space="preserve"> PAGEREF _Toc153580809 \h </w:instrText>
      </w:r>
      <w:r>
        <w:rPr>
          <w:noProof/>
        </w:rPr>
        <w:fldChar w:fldCharType="separate"/>
      </w:r>
      <w:r>
        <w:rPr>
          <w:noProof/>
        </w:rPr>
        <w:t>30</w:t>
      </w:r>
      <w:r>
        <w:rPr>
          <w:noProof/>
        </w:rPr>
        <w:fldChar w:fldCharType="end"/>
      </w:r>
    </w:p>
    <w:p w:rsidR="00E001AB" w14:paraId="0E82AE8B" w14:textId="407D145A">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_Toc153580810 \h </w:instrText>
      </w:r>
      <w:r>
        <w:rPr>
          <w:noProof/>
        </w:rPr>
        <w:fldChar w:fldCharType="separate"/>
      </w:r>
      <w:r>
        <w:rPr>
          <w:noProof/>
        </w:rPr>
        <w:t>31</w:t>
      </w:r>
      <w:r>
        <w:rPr>
          <w:noProof/>
        </w:rPr>
        <w:fldChar w:fldCharType="end"/>
      </w:r>
    </w:p>
    <w:p w:rsidR="00E001AB" w14:paraId="466EBF9F" w14:textId="14FDB844">
      <w:pPr>
        <w:pStyle w:val="TOC1"/>
        <w:tabs>
          <w:tab w:val="right" w:leader="dot" w:pos="8296"/>
        </w:tabs>
        <w:rPr>
          <w:noProof/>
        </w:rPr>
      </w:pPr>
      <w:r>
        <w:rPr>
          <w:noProof/>
        </w:rPr>
        <w:t>十、技术创新和研发成果转化</w:t>
      </w:r>
      <w:r>
        <w:rPr>
          <w:noProof/>
        </w:rPr>
        <w:tab/>
      </w:r>
      <w:r>
        <w:rPr>
          <w:noProof/>
        </w:rPr>
        <w:fldChar w:fldCharType="begin"/>
      </w:r>
      <w:r>
        <w:rPr>
          <w:noProof/>
        </w:rPr>
        <w:instrText xml:space="preserve"> PAGEREF _Toc153580811 \h </w:instrText>
      </w:r>
      <w:r>
        <w:rPr>
          <w:noProof/>
        </w:rPr>
        <w:fldChar w:fldCharType="separate"/>
      </w:r>
      <w:r>
        <w:rPr>
          <w:noProof/>
        </w:rPr>
        <w:t>33</w:t>
      </w:r>
      <w:r>
        <w:rPr>
          <w:noProof/>
        </w:rPr>
        <w:fldChar w:fldCharType="end"/>
      </w:r>
    </w:p>
    <w:p w:rsidR="00E001AB" w14:paraId="21BA0849" w14:textId="2B8F0A01">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_Toc153580812 \h </w:instrText>
      </w:r>
      <w:r>
        <w:rPr>
          <w:noProof/>
        </w:rPr>
        <w:fldChar w:fldCharType="separate"/>
      </w:r>
      <w:r>
        <w:rPr>
          <w:noProof/>
        </w:rPr>
        <w:t>33</w:t>
      </w:r>
      <w:r>
        <w:rPr>
          <w:noProof/>
        </w:rPr>
        <w:fldChar w:fldCharType="end"/>
      </w:r>
    </w:p>
    <w:p w:rsidR="00E001AB" w14:paraId="78DCA3F8" w14:textId="05ADAD82">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_Toc153580813 \h </w:instrText>
      </w:r>
      <w:r>
        <w:rPr>
          <w:noProof/>
        </w:rPr>
        <w:fldChar w:fldCharType="separate"/>
      </w:r>
      <w:r>
        <w:rPr>
          <w:noProof/>
        </w:rPr>
        <w:t>34</w:t>
      </w:r>
      <w:r>
        <w:rPr>
          <w:noProof/>
        </w:rPr>
        <w:fldChar w:fldCharType="end"/>
      </w:r>
    </w:p>
    <w:p w:rsidR="00E001AB" w14:paraId="438B5DED" w14:textId="38B5A14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(三)、技术创新和研发成果转化的风险控制</w:t>
      </w:r>
      <w:r>
        <w:rPr>
          <w:noProof/>
        </w:rPr>
        <w:tab/>
      </w:r>
      <w:r>
        <w:rPr>
          <w:noProof/>
        </w:rPr>
        <w:fldChar w:fldCharType="begin"/>
      </w:r>
      <w:r>
        <w:rPr>
          <w:noProof/>
        </w:rPr>
        <w:instrText xml:space="preserve"> PAGEREF _Toc153580814 \h </w:instrText>
      </w:r>
      <w:r>
        <w:rPr>
          <w:noProof/>
        </w:rPr>
        <w:fldChar w:fldCharType="separate"/>
      </w:r>
      <w:r>
        <w:rPr>
          <w:noProof/>
        </w:rPr>
        <w:t>35</w:t>
      </w:r>
      <w:r>
        <w:rPr>
          <w:noProof/>
        </w:rPr>
        <w:fldChar w:fldCharType="end"/>
      </w:r>
    </w:p>
    <w:p w:rsidR="00E001AB" w14:paraId="549F1840" w14:textId="77FBE71D">
      <w:pPr>
        <w:pStyle w:val="TOC1"/>
        <w:tabs>
          <w:tab w:val="right" w:leader="dot" w:pos="8296"/>
        </w:tabs>
        <w:rPr>
          <w:noProof/>
        </w:rPr>
      </w:pPr>
      <w:r>
        <w:rPr>
          <w:noProof/>
        </w:rPr>
        <w:t>十一、团队协作和沟通管理</w:t>
      </w:r>
      <w:r>
        <w:rPr>
          <w:noProof/>
        </w:rPr>
        <w:tab/>
      </w:r>
      <w:r>
        <w:rPr>
          <w:noProof/>
        </w:rPr>
        <w:fldChar w:fldCharType="begin"/>
      </w:r>
      <w:r>
        <w:rPr>
          <w:noProof/>
        </w:rPr>
        <w:instrText xml:space="preserve"> PAGEREF _Toc153580815 \h </w:instrText>
      </w:r>
      <w:r>
        <w:rPr>
          <w:noProof/>
        </w:rPr>
        <w:fldChar w:fldCharType="separate"/>
      </w:r>
      <w:r>
        <w:rPr>
          <w:noProof/>
        </w:rPr>
        <w:t>37</w:t>
      </w:r>
      <w:r>
        <w:rPr>
          <w:noProof/>
        </w:rPr>
        <w:fldChar w:fldCharType="end"/>
      </w:r>
    </w:p>
    <w:p w:rsidR="00E001AB" w14:paraId="76723034" w14:textId="270A4D69">
      <w:pPr>
        <w:pStyle w:val="TOC2"/>
        <w:tabs>
          <w:tab w:val="right" w:leader="dot" w:pos="8296"/>
        </w:tabs>
        <w:rPr>
          <w:noProof/>
        </w:rPr>
      </w:pPr>
      <w:r>
        <w:rPr>
          <w:noProof/>
        </w:rPr>
        <w:t>(一)、硒氧化物项目团队协作和合作方式</w:t>
      </w:r>
      <w:r>
        <w:rPr>
          <w:noProof/>
        </w:rPr>
        <w:tab/>
      </w:r>
      <w:r>
        <w:rPr>
          <w:noProof/>
        </w:rPr>
        <w:fldChar w:fldCharType="begin"/>
      </w:r>
      <w:r>
        <w:rPr>
          <w:noProof/>
        </w:rPr>
        <w:instrText xml:space="preserve"> PAGEREF _Toc153580816 \h </w:instrText>
      </w:r>
      <w:r>
        <w:rPr>
          <w:noProof/>
        </w:rPr>
        <w:fldChar w:fldCharType="separate"/>
      </w:r>
      <w:r>
        <w:rPr>
          <w:noProof/>
        </w:rPr>
        <w:t>37</w:t>
      </w:r>
      <w:r>
        <w:rPr>
          <w:noProof/>
        </w:rPr>
        <w:fldChar w:fldCharType="end"/>
      </w:r>
    </w:p>
    <w:p w:rsidR="00E001AB" w14:paraId="15B03CBF" w14:textId="2C1FE863">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_Toc153580817 \h </w:instrText>
      </w:r>
      <w:r>
        <w:rPr>
          <w:noProof/>
        </w:rPr>
        <w:fldChar w:fldCharType="separate"/>
      </w:r>
      <w:r>
        <w:rPr>
          <w:noProof/>
        </w:rPr>
        <w:t>38</w:t>
      </w:r>
      <w:r>
        <w:rPr>
          <w:noProof/>
        </w:rPr>
        <w:fldChar w:fldCharType="end"/>
      </w:r>
    </w:p>
    <w:p w:rsidR="00E001AB" w14:paraId="2517169F" w14:textId="45DB18DA">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_Toc153580818 \h </w:instrText>
      </w:r>
      <w:r>
        <w:rPr>
          <w:noProof/>
        </w:rPr>
        <w:fldChar w:fldCharType="separate"/>
      </w:r>
      <w:r>
        <w:rPr>
          <w:noProof/>
        </w:rPr>
        <w:t>39</w:t>
      </w:r>
      <w:r>
        <w:rPr>
          <w:noProof/>
        </w:rPr>
        <w:fldChar w:fldCharType="end"/>
      </w:r>
    </w:p>
    <w:p w:rsidR="00E001AB" w14:paraId="01CBA430" w14:textId="55867B10">
      <w:pPr>
        <w:pStyle w:val="TOC1"/>
        <w:tabs>
          <w:tab w:val="right" w:leader="dot" w:pos="8296"/>
        </w:tabs>
        <w:rPr>
          <w:noProof/>
        </w:rPr>
      </w:pPr>
      <w:r>
        <w:rPr>
          <w:noProof/>
        </w:rPr>
        <w:t>十二、绿色建筑和生态环保设计</w:t>
      </w:r>
      <w:r>
        <w:rPr>
          <w:noProof/>
        </w:rPr>
        <w:tab/>
      </w:r>
      <w:r>
        <w:rPr>
          <w:noProof/>
        </w:rPr>
        <w:fldChar w:fldCharType="begin"/>
      </w:r>
      <w:r>
        <w:rPr>
          <w:noProof/>
        </w:rPr>
        <w:instrText xml:space="preserve"> PAGEREF _Toc153580819 \h </w:instrText>
      </w:r>
      <w:r>
        <w:rPr>
          <w:noProof/>
        </w:rPr>
        <w:fldChar w:fldCharType="separate"/>
      </w:r>
      <w:r>
        <w:rPr>
          <w:noProof/>
        </w:rPr>
        <w:t>40</w:t>
      </w:r>
      <w:r>
        <w:rPr>
          <w:noProof/>
        </w:rPr>
        <w:fldChar w:fldCharType="end"/>
      </w:r>
    </w:p>
    <w:p w:rsidR="00E001AB" w14:paraId="7C66716B" w14:textId="6F5BFED5">
      <w:pPr>
        <w:pStyle w:val="TOC2"/>
        <w:tabs>
          <w:tab w:val="right" w:leader="dot" w:pos="8296"/>
        </w:tabs>
        <w:rPr>
          <w:noProof/>
        </w:rPr>
      </w:pPr>
      <w:r>
        <w:rPr>
          <w:noProof/>
        </w:rPr>
        <w:t>(一)、绿色建筑和生态环保设计的理念和实践</w:t>
      </w:r>
      <w:r>
        <w:rPr>
          <w:noProof/>
        </w:rPr>
        <w:tab/>
      </w:r>
      <w:r>
        <w:rPr>
          <w:noProof/>
        </w:rPr>
        <w:fldChar w:fldCharType="begin"/>
      </w:r>
      <w:r>
        <w:rPr>
          <w:noProof/>
        </w:rPr>
        <w:instrText xml:space="preserve"> PAGEREF _Toc153580820 \h </w:instrText>
      </w:r>
      <w:r>
        <w:rPr>
          <w:noProof/>
        </w:rPr>
        <w:fldChar w:fldCharType="separate"/>
      </w:r>
      <w:r>
        <w:rPr>
          <w:noProof/>
        </w:rPr>
        <w:t>40</w:t>
      </w:r>
      <w:r>
        <w:rPr>
          <w:noProof/>
        </w:rPr>
        <w:fldChar w:fldCharType="end"/>
      </w:r>
    </w:p>
    <w:p w:rsidR="00E001AB" w14:paraId="011A079E" w14:textId="58DEC3C5">
      <w:pPr>
        <w:pStyle w:val="TOC2"/>
        <w:tabs>
          <w:tab w:val="right" w:leader="dot" w:pos="8296"/>
        </w:tabs>
        <w:rPr>
          <w:noProof/>
        </w:rPr>
      </w:pPr>
      <w:r>
        <w:rPr>
          <w:noProof/>
        </w:rPr>
        <w:t>(二)、硒氧化物项目如何应用绿色建筑和生态环保设计</w:t>
      </w:r>
      <w:r>
        <w:rPr>
          <w:noProof/>
        </w:rPr>
        <w:tab/>
      </w:r>
      <w:r>
        <w:rPr>
          <w:noProof/>
        </w:rPr>
        <w:fldChar w:fldCharType="begin"/>
      </w:r>
      <w:r>
        <w:rPr>
          <w:noProof/>
        </w:rPr>
        <w:instrText xml:space="preserve"> PAGEREF _Toc153580821 \h </w:instrText>
      </w:r>
      <w:r>
        <w:rPr>
          <w:noProof/>
        </w:rPr>
        <w:fldChar w:fldCharType="separate"/>
      </w:r>
      <w:r>
        <w:rPr>
          <w:noProof/>
        </w:rPr>
        <w:t>41</w:t>
      </w:r>
      <w:r>
        <w:rPr>
          <w:noProof/>
        </w:rPr>
        <w:fldChar w:fldCharType="end"/>
      </w:r>
    </w:p>
    <w:p w:rsidR="00E001AB" w14:paraId="5EA2F89C" w14:textId="4DBBD0FF">
      <w:pPr>
        <w:pStyle w:val="TOC2"/>
        <w:tabs>
          <w:tab w:val="right" w:leader="dot" w:pos="8296"/>
        </w:tabs>
        <w:rPr>
          <w:noProof/>
        </w:rPr>
      </w:pPr>
      <w:r>
        <w:rPr>
          <w:noProof/>
        </w:rPr>
        <w:t>(三)、绿色建筑和生态环保设计对硒氧化物项目的影响和价值</w:t>
      </w:r>
      <w:r>
        <w:rPr>
          <w:noProof/>
        </w:rPr>
        <w:tab/>
      </w:r>
      <w:r>
        <w:rPr>
          <w:noProof/>
        </w:rPr>
        <w:fldChar w:fldCharType="begin"/>
      </w:r>
      <w:r>
        <w:rPr>
          <w:noProof/>
        </w:rPr>
        <w:instrText xml:space="preserve"> PAGEREF _Toc153580822 \h </w:instrText>
      </w:r>
      <w:r>
        <w:rPr>
          <w:noProof/>
        </w:rPr>
        <w:fldChar w:fldCharType="separate"/>
      </w:r>
      <w:r>
        <w:rPr>
          <w:noProof/>
        </w:rPr>
        <w:t>42</w:t>
      </w:r>
      <w:r>
        <w:rPr>
          <w:noProof/>
        </w:rPr>
        <w:fldChar w:fldCharType="end"/>
      </w:r>
    </w:p>
    <w:p w:rsidR="00E001AB" w14:paraId="2D286C10" w14:textId="41A2138E">
      <w:pPr>
        <w:pStyle w:val="TOC1"/>
        <w:tabs>
          <w:tab w:val="right" w:leader="dot" w:pos="8296"/>
        </w:tabs>
        <w:rPr>
          <w:noProof/>
        </w:rPr>
      </w:pPr>
      <w:r>
        <w:rPr>
          <w:noProof/>
        </w:rPr>
        <w:t>十三、供应链管理和合作伙伴选择</w:t>
      </w:r>
      <w:r>
        <w:rPr>
          <w:noProof/>
        </w:rPr>
        <w:tab/>
      </w:r>
      <w:r>
        <w:rPr>
          <w:noProof/>
        </w:rPr>
        <w:fldChar w:fldCharType="begin"/>
      </w:r>
      <w:r>
        <w:rPr>
          <w:noProof/>
        </w:rPr>
        <w:instrText xml:space="preserve"> PAGEREF _Toc153580823 \h </w:instrText>
      </w:r>
      <w:r>
        <w:rPr>
          <w:noProof/>
        </w:rPr>
        <w:fldChar w:fldCharType="separate"/>
      </w:r>
      <w:r>
        <w:rPr>
          <w:noProof/>
        </w:rPr>
        <w:t>44</w:t>
      </w:r>
      <w:r>
        <w:rPr>
          <w:noProof/>
        </w:rPr>
        <w:fldChar w:fldCharType="end"/>
      </w:r>
    </w:p>
    <w:p w:rsidR="00E001AB" w14:paraId="02C67CA1" w14:textId="034B360F">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_Toc153580824 \h </w:instrText>
      </w:r>
      <w:r>
        <w:rPr>
          <w:noProof/>
        </w:rPr>
        <w:fldChar w:fldCharType="separate"/>
      </w:r>
      <w:r>
        <w:rPr>
          <w:noProof/>
        </w:rPr>
        <w:t>44</w:t>
      </w:r>
      <w:r>
        <w:rPr>
          <w:noProof/>
        </w:rPr>
        <w:fldChar w:fldCharType="end"/>
      </w:r>
    </w:p>
    <w:p w:rsidR="00E001AB" w14:paraId="13A7E5A9" w14:textId="79A65B61">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_Toc153580825 \h </w:instrText>
      </w:r>
      <w:r>
        <w:rPr>
          <w:noProof/>
        </w:rPr>
        <w:fldChar w:fldCharType="separate"/>
      </w:r>
      <w:r>
        <w:rPr>
          <w:noProof/>
        </w:rPr>
        <w:t>45</w:t>
      </w:r>
      <w:r>
        <w:rPr>
          <w:noProof/>
        </w:rPr>
        <w:fldChar w:fldCharType="end"/>
      </w:r>
    </w:p>
    <w:p w:rsidR="00E001AB" w14:paraId="2B224E94" w14:textId="6EB3B622">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_Toc153580826 \h </w:instrText>
      </w:r>
      <w:r>
        <w:rPr>
          <w:noProof/>
        </w:rPr>
        <w:fldChar w:fldCharType="separate"/>
      </w:r>
      <w:r>
        <w:rPr>
          <w:noProof/>
        </w:rPr>
        <w:t>46</w:t>
      </w:r>
      <w:r>
        <w:rPr>
          <w:noProof/>
        </w:rPr>
        <w:fldChar w:fldCharType="end"/>
      </w:r>
    </w:p>
    <w:p w:rsidR="00E001AB" w14:paraId="5E2D4780" w14:textId="1B89A5A8">
      <w:pPr>
        <w:pStyle w:val="TOC1"/>
        <w:tabs>
          <w:tab w:val="right" w:leader="dot" w:pos="8296"/>
        </w:tabs>
        <w:rPr>
          <w:noProof/>
        </w:rPr>
      </w:pPr>
      <w:r>
        <w:rPr>
          <w:noProof/>
        </w:rPr>
        <w:t>十四、技术创新和研发能力</w:t>
      </w:r>
      <w:r>
        <w:rPr>
          <w:noProof/>
        </w:rPr>
        <w:tab/>
      </w:r>
      <w:r>
        <w:rPr>
          <w:noProof/>
        </w:rPr>
        <w:fldChar w:fldCharType="begin"/>
      </w:r>
      <w:r>
        <w:rPr>
          <w:noProof/>
        </w:rPr>
        <w:instrText xml:space="preserve"> PAGEREF _Toc153580827 \h </w:instrText>
      </w:r>
      <w:r>
        <w:rPr>
          <w:noProof/>
        </w:rPr>
        <w:fldChar w:fldCharType="separate"/>
      </w:r>
      <w:r>
        <w:rPr>
          <w:noProof/>
        </w:rPr>
        <w:t>47</w:t>
      </w:r>
      <w:r>
        <w:rPr>
          <w:noProof/>
        </w:rPr>
        <w:fldChar w:fldCharType="end"/>
      </w:r>
    </w:p>
    <w:p w:rsidR="00E001AB" w14:paraId="0A1CDB23" w14:textId="3DB5CE13">
      <w:pPr>
        <w:pStyle w:val="TOC2"/>
        <w:tabs>
          <w:tab w:val="right" w:leader="dot" w:pos="8296"/>
        </w:tabs>
        <w:rPr>
          <w:noProof/>
        </w:rPr>
      </w:pPr>
      <w:r>
        <w:rPr>
          <w:noProof/>
        </w:rPr>
        <w:t>(一)、硒氧化物项目采用的技术创新点和优势</w:t>
      </w:r>
      <w:r>
        <w:rPr>
          <w:noProof/>
        </w:rPr>
        <w:tab/>
      </w:r>
      <w:r>
        <w:rPr>
          <w:noProof/>
        </w:rPr>
        <w:fldChar w:fldCharType="begin"/>
      </w:r>
      <w:r>
        <w:rPr>
          <w:noProof/>
        </w:rPr>
        <w:instrText xml:space="preserve"> PAGEREF _Toc153580828 \h </w:instrText>
      </w:r>
      <w:r>
        <w:rPr>
          <w:noProof/>
        </w:rPr>
        <w:fldChar w:fldCharType="separate"/>
      </w:r>
      <w:r>
        <w:rPr>
          <w:noProof/>
        </w:rPr>
        <w:t>47</w:t>
      </w:r>
      <w:r>
        <w:rPr>
          <w:noProof/>
        </w:rPr>
        <w:fldChar w:fldCharType="end"/>
      </w:r>
    </w:p>
    <w:p w:rsidR="00E001AB" w14:paraId="100F74D5" w14:textId="75329D83">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_Toc153580829 \h </w:instrText>
      </w:r>
      <w:r>
        <w:rPr>
          <w:noProof/>
        </w:rPr>
        <w:fldChar w:fldCharType="separate"/>
      </w:r>
      <w:r>
        <w:rPr>
          <w:noProof/>
        </w:rPr>
        <w:t>48</w:t>
      </w:r>
      <w:r>
        <w:rPr>
          <w:noProof/>
        </w:rPr>
        <w:fldChar w:fldCharType="end"/>
      </w:r>
    </w:p>
    <w:p w:rsidR="00E001AB" w14:paraId="3C01BBD0" w14:textId="25A4F7D7">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_Toc153580830 \h </w:instrText>
      </w:r>
      <w:r>
        <w:rPr>
          <w:noProof/>
        </w:rPr>
        <w:fldChar w:fldCharType="separate"/>
      </w:r>
      <w:r>
        <w:rPr>
          <w:noProof/>
        </w:rPr>
        <w:t>49</w:t>
      </w:r>
      <w:r>
        <w:rPr>
          <w:noProof/>
        </w:rPr>
        <w:fldChar w:fldCharType="end"/>
      </w:r>
    </w:p>
    <w:p w:rsidR="00E001AB" w14:paraId="298EE964" w14:textId="0016796E">
      <w:pPr>
        <w:pStyle w:val="TOC1"/>
        <w:tabs>
          <w:tab w:val="right" w:leader="dot" w:pos="8296"/>
        </w:tabs>
        <w:rPr>
          <w:noProof/>
        </w:rPr>
      </w:pPr>
      <w:r>
        <w:rPr>
          <w:noProof/>
        </w:rPr>
        <w:t>十五、企业文化和员工培训</w:t>
      </w:r>
      <w:r>
        <w:rPr>
          <w:noProof/>
        </w:rPr>
        <w:tab/>
      </w:r>
      <w:r>
        <w:rPr>
          <w:noProof/>
        </w:rPr>
        <w:fldChar w:fldCharType="begin"/>
      </w:r>
      <w:r>
        <w:rPr>
          <w:noProof/>
        </w:rPr>
        <w:instrText xml:space="preserve"> PAGEREF _Toc153580831 \h </w:instrText>
      </w:r>
      <w:r>
        <w:rPr>
          <w:noProof/>
        </w:rPr>
        <w:fldChar w:fldCharType="separate"/>
      </w:r>
      <w:r>
        <w:rPr>
          <w:noProof/>
        </w:rPr>
        <w:t>51</w:t>
      </w:r>
      <w:r>
        <w:rPr>
          <w:noProof/>
        </w:rPr>
        <w:fldChar w:fldCharType="end"/>
      </w:r>
    </w:p>
    <w:p w:rsidR="00E001AB" w14:paraId="6A9C5819" w14:textId="3B2F6C4C">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_Toc153580832 \h </w:instrText>
      </w:r>
      <w:r>
        <w:rPr>
          <w:noProof/>
        </w:rPr>
        <w:fldChar w:fldCharType="separate"/>
      </w:r>
      <w:r>
        <w:rPr>
          <w:noProof/>
        </w:rPr>
        <w:t>51</w:t>
      </w:r>
      <w:r>
        <w:rPr>
          <w:noProof/>
        </w:rPr>
        <w:fldChar w:fldCharType="end"/>
      </w:r>
    </w:p>
    <w:p w:rsidR="00E001AB" w14:paraId="0AECAED2" w14:textId="634C9F7D">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_Toc153580833 \h </w:instrText>
      </w:r>
      <w:r>
        <w:rPr>
          <w:noProof/>
        </w:rPr>
        <w:fldChar w:fldCharType="separate"/>
      </w:r>
      <w:r>
        <w:rPr>
          <w:noProof/>
        </w:rPr>
        <w:t>52</w:t>
      </w:r>
      <w:r>
        <w:rPr>
          <w:noProof/>
        </w:rPr>
        <w:fldChar w:fldCharType="end"/>
      </w:r>
    </w:p>
    <w:p w:rsidR="00E001AB" w14:paraId="34FB6BCE" w14:textId="16249BBB">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_Toc153580834 \h </w:instrText>
      </w:r>
      <w:r>
        <w:rPr>
          <w:noProof/>
        </w:rPr>
        <w:fldChar w:fldCharType="separate"/>
      </w:r>
      <w:r>
        <w:rPr>
          <w:noProof/>
        </w:rPr>
        <w:t>53</w:t>
      </w:r>
      <w:r>
        <w:rPr>
          <w:noProof/>
        </w:rPr>
        <w:fldChar w:fldCharType="end"/>
      </w:r>
    </w:p>
    <w:p w:rsidR="00E001AB" w:rsidP="00E001AB" w14:paraId="14112FF4" w14:textId="2C639C8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001AB" w:rsidP="00E001AB" w14:paraId="4460B1D3" w14:textId="35FBB310">
      <w:pPr>
        <w:pStyle w:val="Heading1"/>
        <w:jc w:val="center"/>
        <w:rPr>
          <w:rFonts w:hint="eastAsia"/>
        </w:rPr>
      </w:pPr>
      <w:bookmarkStart w:id="0" w:name="_Toc153580772"/>
      <w:r w:rsidRPr="00E001AB">
        <w:rPr>
          <w:rFonts w:hint="eastAsia"/>
        </w:rPr>
        <w:t>概述</w:t>
      </w:r>
      <w:bookmarkEnd w:id="0"/>
    </w:p>
    <w:p w:rsidR="00E001AB" w:rsidP="00E001AB" w14:paraId="378E1F52" w14:textId="62545265">
      <w:pPr>
        <w:ind w:firstLine="560" w:firstLineChars="200"/>
        <w:rPr>
          <w:rFonts w:ascii="仿宋" w:eastAsia="仿宋" w:hAnsi="仿宋" w:hint="eastAsia"/>
          <w:sz w:val="28"/>
        </w:rPr>
      </w:pPr>
      <w:r w:rsidRPr="00E001AB">
        <w:rPr>
          <w:rFonts w:ascii="仿宋" w:eastAsia="仿宋" w:hAnsi="仿宋" w:hint="eastAsia"/>
          <w:sz w:val="28"/>
        </w:rPr>
        <w:t>本研究的主要目的是评估硒氧化物行业的可行性，深入了解该行业的各个方面，并提供有关如何应对当前和未来挑战的建议。我们将对硒氧化物生产过程、市场需求、竞争格局、环境影响、技术趋势以及法规合规性等多个方面进行全面研究和分析。</w:t>
      </w:r>
    </w:p>
    <w:p w:rsidR="00E001AB" w:rsidP="00E001AB" w14:paraId="42B94FCE" w14:textId="5A376DFF">
      <w:pPr>
        <w:pStyle w:val="Heading1"/>
        <w:rPr>
          <w:rFonts w:hint="eastAsia"/>
        </w:rPr>
      </w:pPr>
      <w:bookmarkStart w:id="1" w:name="_Toc153580773"/>
      <w:r w:rsidRPr="00E001AB">
        <w:rPr>
          <w:rFonts w:hint="eastAsia"/>
        </w:rPr>
        <w:t>一、硒氧化物行业社会文化影响评估</w:t>
      </w:r>
      <w:bookmarkEnd w:id="1"/>
    </w:p>
    <w:p w:rsidR="00E001AB" w:rsidP="00E001AB" w14:paraId="2770A351" w14:textId="27363444">
      <w:pPr>
        <w:pStyle w:val="Heading2"/>
      </w:pPr>
      <w:bookmarkStart w:id="2" w:name="_Toc153580774"/>
      <w:r w:rsidRPr="00E001AB">
        <w:t>(一)、硒氧化物在文化和艺术中的地位</w:t>
      </w:r>
      <w:bookmarkEnd w:id="2"/>
    </w:p>
    <w:p w:rsidR="00E001AB" w:rsidRPr="00E001AB" w:rsidP="00E001AB" w14:paraId="432447F5" w14:textId="77777777">
      <w:pPr>
        <w:ind w:firstLine="560" w:firstLineChars="200"/>
        <w:rPr>
          <w:rFonts w:ascii="仿宋" w:eastAsia="仿宋" w:hAnsi="仿宋"/>
          <w:sz w:val="28"/>
        </w:rPr>
      </w:pPr>
      <w:r w:rsidRPr="00E001AB">
        <w:rPr>
          <w:rFonts w:ascii="仿宋" w:eastAsia="仿宋" w:hAnsi="仿宋" w:hint="eastAsia"/>
          <w:sz w:val="28"/>
        </w:rPr>
        <w:t>创造力的拓展：</w:t>
      </w:r>
    </w:p>
    <w:p w:rsidR="00E001AB" w:rsidRPr="00E001AB" w:rsidP="00E001AB" w14:paraId="176BD6F9" w14:textId="77777777">
      <w:pPr>
        <w:ind w:firstLine="560" w:firstLineChars="200"/>
        <w:rPr>
          <w:rFonts w:ascii="仿宋" w:eastAsia="仿宋" w:hAnsi="仿宋"/>
          <w:sz w:val="28"/>
        </w:rPr>
      </w:pPr>
      <w:r w:rsidRPr="00E001AB">
        <w:rPr>
          <w:rFonts w:ascii="仿宋" w:eastAsia="仿宋" w:hAnsi="仿宋" w:hint="eastAsia"/>
          <w:sz w:val="28"/>
        </w:rPr>
        <w:t>硒氧化物为艺术家和创作者提供了新的工具和媒介，可以拓展他们的创造力和表达方式。通过硒氧化物，艺术家可以探索新的艺术形式、交互式作品和沉浸式体验，从而为观众带来全新的视听感受。</w:t>
      </w:r>
    </w:p>
    <w:p w:rsidR="00E001AB" w:rsidRPr="00E001AB" w:rsidP="00E001AB" w14:paraId="4D01B2FE" w14:textId="77777777">
      <w:pPr>
        <w:ind w:firstLine="560" w:firstLineChars="200"/>
        <w:rPr>
          <w:rFonts w:ascii="仿宋" w:eastAsia="仿宋" w:hAnsi="仿宋"/>
          <w:sz w:val="28"/>
        </w:rPr>
      </w:pPr>
      <w:r w:rsidRPr="00E001AB">
        <w:rPr>
          <w:rFonts w:ascii="仿宋" w:eastAsia="仿宋" w:hAnsi="仿宋" w:hint="eastAsia"/>
          <w:sz w:val="28"/>
        </w:rPr>
        <w:t>艺术作品的互动性：</w:t>
      </w:r>
    </w:p>
    <w:p w:rsidR="00E001AB" w:rsidRPr="00E001AB" w:rsidP="00E001AB" w14:paraId="2039F3DD" w14:textId="77777777">
      <w:pPr>
        <w:ind w:firstLine="560" w:firstLineChars="200"/>
        <w:rPr>
          <w:rFonts w:ascii="仿宋" w:eastAsia="仿宋" w:hAnsi="仿宋"/>
          <w:sz w:val="28"/>
        </w:rPr>
      </w:pPr>
      <w:r w:rsidRPr="00E001AB">
        <w:rPr>
          <w:rFonts w:ascii="仿宋" w:eastAsia="仿宋" w:hAnsi="仿宋" w:hint="eastAsia"/>
          <w:sz w:val="28"/>
        </w:rPr>
        <w:t>硒氧化物的技术特性使得观众可以积极参与艺术作品的创作和演示过程。例如，虚拟现实和增强现实技术可以创造出与观众互动的艺术装置和展览，使观众成为艺术作品的一部分，提升了艺术体验的参与度和个性化。</w:t>
      </w:r>
    </w:p>
    <w:p w:rsidR="00E001AB" w:rsidRPr="00E001AB" w:rsidP="00E001AB" w14:paraId="218F2008" w14:textId="77777777">
      <w:pPr>
        <w:ind w:firstLine="560" w:firstLineChars="200"/>
        <w:rPr>
          <w:rFonts w:ascii="仿宋" w:eastAsia="仿宋" w:hAnsi="仿宋"/>
          <w:sz w:val="28"/>
        </w:rPr>
      </w:pPr>
      <w:r w:rsidRPr="00E001AB">
        <w:rPr>
          <w:rFonts w:ascii="仿宋" w:eastAsia="仿宋" w:hAnsi="仿宋" w:hint="eastAsia"/>
          <w:sz w:val="28"/>
        </w:rPr>
        <w:t>艺术品的数字化保存和传播：</w:t>
      </w:r>
    </w:p>
    <w:p w:rsidR="00E001AB" w:rsidRPr="00E001AB" w:rsidP="00E001AB" w14:paraId="6DF8277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硒氧化物技术可以用于数字化保存和传播艺术品，为文化遗产的保护和传承提供了新的途径。通过数字化技术，艺术品可以以高保真度的形式被保存下来，并通过互联网和虚拟展览等方式向全球观众展</w:t>
      </w:r>
      <w:r w:rsidRPr="00E001AB">
        <w:rPr>
          <w:rFonts w:ascii="仿宋" w:eastAsia="仿宋" w:hAnsi="仿宋" w:hint="eastAsia"/>
          <w:sz w:val="28"/>
        </w:rPr>
        <w:t>示，促进了艺术的跨地域传播和交流。</w:t>
      </w:r>
    </w:p>
    <w:p w:rsidR="00E001AB" w:rsidRPr="00E001AB" w:rsidP="00E001AB" w14:paraId="3249A499" w14:textId="77777777">
      <w:pPr>
        <w:ind w:firstLine="560" w:firstLineChars="200"/>
        <w:rPr>
          <w:rFonts w:ascii="仿宋" w:eastAsia="仿宋" w:hAnsi="仿宋"/>
          <w:sz w:val="28"/>
        </w:rPr>
      </w:pPr>
      <w:r w:rsidRPr="00E001AB">
        <w:rPr>
          <w:rFonts w:ascii="仿宋" w:eastAsia="仿宋" w:hAnsi="仿宋" w:hint="eastAsia"/>
          <w:sz w:val="28"/>
        </w:rPr>
        <w:t>艺术与科技的融合：</w:t>
      </w:r>
    </w:p>
    <w:p w:rsidR="00E001AB" w:rsidRPr="00E001AB" w:rsidP="00E001AB" w14:paraId="7EF10062" w14:textId="77777777">
      <w:pPr>
        <w:ind w:firstLine="560" w:firstLineChars="200"/>
        <w:rPr>
          <w:rFonts w:ascii="仿宋" w:eastAsia="仿宋" w:hAnsi="仿宋"/>
          <w:sz w:val="28"/>
        </w:rPr>
      </w:pPr>
      <w:r w:rsidRPr="00E001AB">
        <w:rPr>
          <w:rFonts w:ascii="仿宋" w:eastAsia="仿宋" w:hAnsi="仿宋" w:hint="eastAsia"/>
          <w:sz w:val="28"/>
        </w:rPr>
        <w:t>硒氧化物在文化和艺术中的应用推动了艺术与科技的融合。艺术家和科技专家可以共同合作，创造出结合艺术和科技元素的作品，探索人类与技术的关系，挑战传统艺术形式的边界，以及探索新的艺术语言和表达方式。</w:t>
      </w:r>
    </w:p>
    <w:p w:rsidR="00E001AB" w:rsidRPr="00E001AB" w:rsidP="00E001AB" w14:paraId="7E7C4F01" w14:textId="77777777">
      <w:pPr>
        <w:ind w:firstLine="560" w:firstLineChars="200"/>
        <w:rPr>
          <w:rFonts w:ascii="仿宋" w:eastAsia="仿宋" w:hAnsi="仿宋"/>
          <w:sz w:val="28"/>
        </w:rPr>
      </w:pPr>
      <w:r w:rsidRPr="00E001AB">
        <w:rPr>
          <w:rFonts w:ascii="仿宋" w:eastAsia="仿宋" w:hAnsi="仿宋" w:hint="eastAsia"/>
          <w:sz w:val="28"/>
        </w:rPr>
        <w:t>文化创意产业的发展：</w:t>
      </w:r>
    </w:p>
    <w:p w:rsidR="00E001AB" w:rsidP="00E001AB" w14:paraId="76B5CA43" w14:textId="67389B7D">
      <w:pPr>
        <w:ind w:firstLine="560" w:firstLineChars="200"/>
        <w:rPr>
          <w:rFonts w:ascii="仿宋" w:eastAsia="仿宋" w:hAnsi="仿宋" w:hint="eastAsia"/>
          <w:sz w:val="28"/>
        </w:rPr>
      </w:pPr>
      <w:r w:rsidRPr="00E001AB">
        <w:rPr>
          <w:rFonts w:ascii="仿宋" w:eastAsia="仿宋" w:hAnsi="仿宋" w:hint="eastAsia"/>
          <w:sz w:val="28"/>
        </w:rPr>
        <w:t>硒氧化物为文化创意产业的发展提供了新的机遇。通过将硒氧化物技术与文化创意产业相结合，可以创造出具有艺术价值和商业潜力的产品和服务。这有助于推动文化创意产业的创新和增长，并为经济发展带来积极的影响。</w:t>
      </w:r>
    </w:p>
    <w:p w:rsidR="00E001AB" w:rsidP="00E001AB" w14:paraId="25FAB576" w14:textId="1E10449E">
      <w:pPr>
        <w:pStyle w:val="Heading2"/>
      </w:pPr>
      <w:bookmarkStart w:id="3" w:name="_Toc153580775"/>
      <w:r w:rsidRPr="00E001AB">
        <w:t>(二)、文化趋势对硒氧化物需求的影响</w:t>
      </w:r>
      <w:bookmarkEnd w:id="3"/>
    </w:p>
    <w:p w:rsidR="00E001AB" w:rsidRPr="00E001AB" w:rsidP="00E001AB" w14:paraId="6E4F9E36" w14:textId="77777777">
      <w:pPr>
        <w:ind w:firstLine="560" w:firstLineChars="200"/>
        <w:rPr>
          <w:rFonts w:ascii="仿宋" w:eastAsia="仿宋" w:hAnsi="仿宋"/>
          <w:sz w:val="28"/>
        </w:rPr>
      </w:pPr>
      <w:r w:rsidRPr="00E001AB">
        <w:rPr>
          <w:rFonts w:ascii="仿宋" w:eastAsia="仿宋" w:hAnsi="仿宋" w:hint="eastAsia"/>
          <w:sz w:val="28"/>
        </w:rPr>
        <w:t>数字化生活方式的普及：</w:t>
      </w:r>
    </w:p>
    <w:p w:rsidR="00E001AB" w:rsidRPr="00E001AB" w:rsidP="00E001AB" w14:paraId="18CF763C" w14:textId="77777777">
      <w:pPr>
        <w:ind w:firstLine="560" w:firstLineChars="200"/>
        <w:rPr>
          <w:rFonts w:ascii="仿宋" w:eastAsia="仿宋" w:hAnsi="仿宋"/>
          <w:sz w:val="28"/>
        </w:rPr>
      </w:pPr>
      <w:r w:rsidRPr="00E001AB">
        <w:rPr>
          <w:rFonts w:ascii="仿宋" w:eastAsia="仿宋" w:hAnsi="仿宋" w:hint="eastAsia"/>
          <w:sz w:val="28"/>
        </w:rPr>
        <w:t>随着数字化技术的普及，人们的生活方式发生了巨大变化。人们越来越依赖于数字设备和互联网来获取信息、进行交流和娱乐。这种数字化生活方式对硒氧化物的需求产生了影响，人们对于更好的用户体验、个性化定制和互动性的期望也在增加。</w:t>
      </w:r>
    </w:p>
    <w:p w:rsidR="00E001AB" w:rsidRPr="00E001AB" w:rsidP="00E001AB" w14:paraId="1099274E" w14:textId="77777777">
      <w:pPr>
        <w:ind w:firstLine="560" w:firstLineChars="200"/>
        <w:rPr>
          <w:rFonts w:ascii="仿宋" w:eastAsia="仿宋" w:hAnsi="仿宋"/>
          <w:sz w:val="28"/>
        </w:rPr>
      </w:pPr>
      <w:r w:rsidRPr="00E001AB">
        <w:rPr>
          <w:rFonts w:ascii="仿宋" w:eastAsia="仿宋" w:hAnsi="仿宋" w:hint="eastAsia"/>
          <w:sz w:val="28"/>
        </w:rPr>
        <w:t>多元化和个性化的文化表达：</w:t>
      </w:r>
    </w:p>
    <w:p w:rsidR="00E001AB" w:rsidRPr="00E001AB" w:rsidP="00E001AB" w14:paraId="5629F16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当今社会，多元化和个性化的文化表达方式得到了广泛关注。人们对于独特、个性化的艺术和文化体验的需求不断增加。硒氧化物技术能够提供创新的艺术形式和个性化的文化产品，满足人们对于多样</w:t>
      </w:r>
      <w:r w:rsidRPr="00E001AB">
        <w:rPr>
          <w:rFonts w:ascii="仿宋" w:eastAsia="仿宋" w:hAnsi="仿宋" w:hint="eastAsia"/>
          <w:sz w:val="28"/>
        </w:rPr>
        <w:t>化文化表达的需求。</w:t>
      </w:r>
    </w:p>
    <w:p w:rsidR="00E001AB" w:rsidRPr="00E001AB" w:rsidP="00E001AB" w14:paraId="2AE4ABBE" w14:textId="77777777">
      <w:pPr>
        <w:ind w:firstLine="560" w:firstLineChars="200"/>
        <w:rPr>
          <w:rFonts w:ascii="仿宋" w:eastAsia="仿宋" w:hAnsi="仿宋"/>
          <w:sz w:val="28"/>
        </w:rPr>
      </w:pPr>
      <w:r w:rsidRPr="00E001AB">
        <w:rPr>
          <w:rFonts w:ascii="仿宋" w:eastAsia="仿宋" w:hAnsi="仿宋" w:hint="eastAsia"/>
          <w:sz w:val="28"/>
        </w:rPr>
        <w:t>参与性文化的兴起：</w:t>
      </w:r>
    </w:p>
    <w:p w:rsidR="00E001AB" w:rsidRPr="00E001AB" w:rsidP="00E001AB" w14:paraId="7265D8DC" w14:textId="77777777">
      <w:pPr>
        <w:ind w:firstLine="560" w:firstLineChars="200"/>
        <w:rPr>
          <w:rFonts w:ascii="仿宋" w:eastAsia="仿宋" w:hAnsi="仿宋"/>
          <w:sz w:val="28"/>
        </w:rPr>
      </w:pPr>
      <w:r w:rsidRPr="00E001AB">
        <w:rPr>
          <w:rFonts w:ascii="仿宋" w:eastAsia="仿宋" w:hAnsi="仿宋" w:hint="eastAsia"/>
          <w:sz w:val="28"/>
        </w:rPr>
        <w:t>参与性文化是指观众和用户参与到文化和艺术创作中的趋势。人们不再满足于被动地接受文化产品，而是希望积极参与其中，成为创作者或共同创造者。硒氧化物技术的互动性和参与性特点与参与性文化的需求相契合，为人们提供了更具参与性的文化体验。</w:t>
      </w:r>
    </w:p>
    <w:p w:rsidR="00E001AB" w:rsidRPr="00E001AB" w:rsidP="00E001AB" w14:paraId="06EB939D" w14:textId="77777777">
      <w:pPr>
        <w:ind w:firstLine="560" w:firstLineChars="200"/>
        <w:rPr>
          <w:rFonts w:ascii="仿宋" w:eastAsia="仿宋" w:hAnsi="仿宋"/>
          <w:sz w:val="28"/>
        </w:rPr>
      </w:pPr>
      <w:r w:rsidRPr="00E001AB">
        <w:rPr>
          <w:rFonts w:ascii="仿宋" w:eastAsia="仿宋" w:hAnsi="仿宋" w:hint="eastAsia"/>
          <w:sz w:val="28"/>
        </w:rPr>
        <w:t>可持续发展和环保意识的崛起：</w:t>
      </w:r>
    </w:p>
    <w:p w:rsidR="00E001AB" w:rsidRPr="00E001AB" w:rsidP="00E001AB" w14:paraId="28DAD73B" w14:textId="77777777">
      <w:pPr>
        <w:ind w:firstLine="560" w:firstLineChars="200"/>
        <w:rPr>
          <w:rFonts w:ascii="仿宋" w:eastAsia="仿宋" w:hAnsi="仿宋"/>
          <w:sz w:val="28"/>
        </w:rPr>
      </w:pPr>
      <w:r w:rsidRPr="00E001AB">
        <w:rPr>
          <w:rFonts w:ascii="仿宋" w:eastAsia="仿宋" w:hAnsi="仿宋" w:hint="eastAsia"/>
          <w:sz w:val="28"/>
        </w:rPr>
        <w:t>可持续发展和环保意识是当今社会的重要议题。人们对于环境保护和可持续性的关注不断增加，对于环保型的技术和产品的需求也在上升。在硒氧化物的应用中，注重环境友好性和可持续性的设计和开发将受到更多关注。</w:t>
      </w:r>
    </w:p>
    <w:p w:rsidR="00E001AB" w:rsidRPr="00E001AB" w:rsidP="00E001AB" w14:paraId="0791525B" w14:textId="77777777">
      <w:pPr>
        <w:ind w:firstLine="560" w:firstLineChars="200"/>
        <w:rPr>
          <w:rFonts w:ascii="仿宋" w:eastAsia="仿宋" w:hAnsi="仿宋"/>
          <w:sz w:val="28"/>
        </w:rPr>
      </w:pPr>
      <w:r w:rsidRPr="00E001AB">
        <w:rPr>
          <w:rFonts w:ascii="仿宋" w:eastAsia="仿宋" w:hAnsi="仿宋" w:hint="eastAsia"/>
          <w:sz w:val="28"/>
        </w:rPr>
        <w:t>跨文化交流和文化融合：</w:t>
      </w:r>
    </w:p>
    <w:p w:rsidR="00E001AB" w:rsidP="00E001AB" w14:paraId="36D264B8" w14:textId="43F7A681">
      <w:pPr>
        <w:ind w:firstLine="560" w:firstLineChars="200"/>
        <w:rPr>
          <w:rFonts w:ascii="仿宋" w:eastAsia="仿宋" w:hAnsi="仿宋" w:hint="eastAsia"/>
          <w:sz w:val="28"/>
        </w:rPr>
      </w:pPr>
      <w:r w:rsidRPr="00E001AB">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硒氧化物技术可以通过虚拟现实、语言翻译等功能，促进跨文化交流和文化融合。</w:t>
      </w:r>
    </w:p>
    <w:p w:rsidR="00E001AB" w:rsidP="00E001AB" w14:paraId="48C021AB" w14:textId="0DD86F2C">
      <w:pPr>
        <w:pStyle w:val="Heading2"/>
      </w:pPr>
      <w:bookmarkStart w:id="4" w:name="_Toc153580776"/>
      <w:r w:rsidRPr="00E001AB">
        <w:t>(三)、社会文化因素的可行性分析</w:t>
      </w:r>
      <w:bookmarkEnd w:id="4"/>
    </w:p>
    <w:p w:rsidR="00E001AB" w:rsidRPr="00E001AB" w:rsidP="00E001AB" w14:paraId="0DC7908E" w14:textId="77777777">
      <w:pPr>
        <w:ind w:firstLine="560" w:firstLineChars="200"/>
        <w:rPr>
          <w:rFonts w:ascii="仿宋" w:eastAsia="仿宋" w:hAnsi="仿宋"/>
          <w:sz w:val="28"/>
        </w:rPr>
      </w:pPr>
      <w:r w:rsidRPr="00E001AB">
        <w:rPr>
          <w:rFonts w:ascii="仿宋" w:eastAsia="仿宋" w:hAnsi="仿宋" w:hint="eastAsia"/>
          <w:sz w:val="28"/>
        </w:rPr>
        <w:t>社会价值观念的影响：</w:t>
      </w:r>
    </w:p>
    <w:p w:rsidR="00E001AB" w:rsidRPr="00E001AB" w:rsidP="00E001AB" w14:paraId="0AA21A5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w:t>
      </w:r>
      <w:r w:rsidRPr="00E001AB">
        <w:rPr>
          <w:rFonts w:ascii="仿宋" w:eastAsia="仿宋" w:hAnsi="仿宋" w:hint="eastAsia"/>
          <w:sz w:val="28"/>
        </w:rPr>
        <w:t>产生影响。在硒氧化物技术的应用中，需要考虑社会价值观念对于技术应用的影响，确保技术的应用符合社会的伦理和道德标准。</w:t>
      </w:r>
    </w:p>
    <w:p w:rsidR="00E001AB" w:rsidRPr="00E001AB" w:rsidP="00E001AB" w14:paraId="05469E11" w14:textId="77777777">
      <w:pPr>
        <w:ind w:firstLine="560" w:firstLineChars="200"/>
        <w:rPr>
          <w:rFonts w:ascii="仿宋" w:eastAsia="仿宋" w:hAnsi="仿宋"/>
          <w:sz w:val="28"/>
        </w:rPr>
      </w:pPr>
      <w:r w:rsidRPr="00E001AB">
        <w:rPr>
          <w:rFonts w:ascii="仿宋" w:eastAsia="仿宋" w:hAnsi="仿宋" w:hint="eastAsia"/>
          <w:sz w:val="28"/>
        </w:rPr>
        <w:t>文化传统和文化政策的影响：</w:t>
      </w:r>
    </w:p>
    <w:p w:rsidR="00E001AB" w:rsidRPr="00E001AB" w:rsidP="00E001AB" w14:paraId="6C37F0D6" w14:textId="77777777">
      <w:pPr>
        <w:ind w:firstLine="560" w:firstLineChars="200"/>
        <w:rPr>
          <w:rFonts w:ascii="仿宋" w:eastAsia="仿宋" w:hAnsi="仿宋"/>
          <w:sz w:val="28"/>
        </w:rPr>
      </w:pPr>
      <w:r w:rsidRPr="00E001AB">
        <w:rPr>
          <w:rFonts w:ascii="仿宋" w:eastAsia="仿宋" w:hAnsi="仿宋" w:hint="eastAsia"/>
          <w:sz w:val="28"/>
        </w:rPr>
        <w:t>文化传统和文化政策对于文化和艺术的发展和创新具有重要意义。在硒氧化物技术的应用中，需要考虑文化传统和文化政策对于技术应用的影响，确保技术的应用符合文化传统和文化政策的要求。例如，在文化遗产保护和传承方面，需要考虑文化传统的保护和传承，同时结合硒氧化物技术的应用，推动文化遗产的数字化保存和传播。</w:t>
      </w:r>
    </w:p>
    <w:p w:rsidR="00E001AB" w:rsidRPr="00E001AB" w:rsidP="00E001AB" w14:paraId="7DF59105" w14:textId="77777777">
      <w:pPr>
        <w:ind w:firstLine="560" w:firstLineChars="200"/>
        <w:rPr>
          <w:rFonts w:ascii="仿宋" w:eastAsia="仿宋" w:hAnsi="仿宋"/>
          <w:sz w:val="28"/>
        </w:rPr>
      </w:pPr>
      <w:r w:rsidRPr="00E001AB">
        <w:rPr>
          <w:rFonts w:ascii="仿宋" w:eastAsia="仿宋" w:hAnsi="仿宋" w:hint="eastAsia"/>
          <w:sz w:val="28"/>
        </w:rPr>
        <w:t>社会需求和市场趋势的分析：</w:t>
      </w:r>
    </w:p>
    <w:p w:rsidR="00E001AB" w:rsidRPr="00E001AB" w:rsidP="00E001AB" w14:paraId="1C9AB20B" w14:textId="77777777">
      <w:pPr>
        <w:ind w:firstLine="560" w:firstLineChars="200"/>
        <w:rPr>
          <w:rFonts w:ascii="仿宋" w:eastAsia="仿宋" w:hAnsi="仿宋"/>
          <w:sz w:val="28"/>
        </w:rPr>
      </w:pPr>
      <w:r w:rsidRPr="00E001AB">
        <w:rPr>
          <w:rFonts w:ascii="仿宋" w:eastAsia="仿宋" w:hAnsi="仿宋" w:hint="eastAsia"/>
          <w:sz w:val="28"/>
        </w:rPr>
        <w:t>社会需求和市场趋势是评估技术可行性的重要因素。在硒氧化物技术的应用中，需要考虑社会需求和市场趋势的变化，以及技术应用的市场前景和商业模式。通过对市场需求和趋势的分析，可以确定技术应用的商业模式和市场定位，提高硒氧化物项目的商业价值和可持续性。</w:t>
      </w:r>
    </w:p>
    <w:p w:rsidR="00E001AB" w:rsidRPr="00E001AB" w:rsidP="00E001AB" w14:paraId="0F6137BC" w14:textId="77777777">
      <w:pPr>
        <w:ind w:firstLine="560" w:firstLineChars="200"/>
        <w:rPr>
          <w:rFonts w:ascii="仿宋" w:eastAsia="仿宋" w:hAnsi="仿宋"/>
          <w:sz w:val="28"/>
        </w:rPr>
      </w:pPr>
      <w:r w:rsidRPr="00E001AB">
        <w:rPr>
          <w:rFonts w:ascii="仿宋" w:eastAsia="仿宋" w:hAnsi="仿宋" w:hint="eastAsia"/>
          <w:sz w:val="28"/>
        </w:rPr>
        <w:t>文化多样性和文化交流的促进：</w:t>
      </w:r>
    </w:p>
    <w:p w:rsidR="00E001AB" w:rsidP="00E001AB" w14:paraId="478C8D65" w14:textId="6F5129F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001AB">
        <w:rPr>
          <w:rFonts w:ascii="仿宋" w:eastAsia="仿宋" w:hAnsi="仿宋" w:hint="eastAsia"/>
          <w:sz w:val="28"/>
        </w:rPr>
        <w:t>文化多样性和文化交流是当今社会的重要趋势。在硒氧化物技术的应用中，需要考虑如何促进文化多样性和文化交流，创造出具有跨文化特色和价值的文化和艺术产品。通过结合文化多样性和文化交流的特点，可以推动文化和艺术的创新和发展，提高硒氧化物项目的社会价值和文化影响力。</w:t>
      </w:r>
    </w:p>
    <w:p w:rsidR="00E001AB" w:rsidP="00E001AB" w14:paraId="503C5C79" w14:textId="36B464BA">
      <w:pPr>
        <w:pStyle w:val="Heading1"/>
        <w:rPr>
          <w:rFonts w:hint="eastAsia"/>
        </w:rPr>
      </w:pPr>
      <w:bookmarkStart w:id="5" w:name="_Toc153580777"/>
      <w:r w:rsidRPr="00E001AB">
        <w:rPr>
          <w:rFonts w:hint="eastAsia"/>
        </w:rPr>
        <w:t>二、硒氧化物项目投资估算与资金筹措</w:t>
      </w:r>
      <w:bookmarkEnd w:id="5"/>
    </w:p>
    <w:p w:rsidR="00E001AB" w:rsidP="00E001AB" w14:paraId="3E08B287" w14:textId="6EB5CA45">
      <w:pPr>
        <w:pStyle w:val="Heading2"/>
      </w:pPr>
      <w:bookmarkStart w:id="6" w:name="_Toc153580778"/>
      <w:r w:rsidRPr="00E001AB">
        <w:t>(一)、投资估算依据和说明</w:t>
      </w:r>
      <w:bookmarkEnd w:id="6"/>
    </w:p>
    <w:p w:rsidR="00E001AB" w:rsidRPr="00E001AB" w:rsidP="00E001AB" w14:paraId="76B7FE6A" w14:textId="77777777">
      <w:pPr>
        <w:ind w:firstLine="560" w:firstLineChars="200"/>
        <w:rPr>
          <w:rFonts w:ascii="仿宋" w:eastAsia="仿宋" w:hAnsi="仿宋"/>
          <w:sz w:val="28"/>
        </w:rPr>
      </w:pPr>
      <w:r w:rsidRPr="00E001AB">
        <w:rPr>
          <w:rFonts w:ascii="仿宋" w:eastAsia="仿宋" w:hAnsi="仿宋" w:hint="eastAsia"/>
          <w:sz w:val="28"/>
        </w:rPr>
        <w:t>本硒氧化物项目的投资估算范围涵盖多个方面，其中包括固定资产投资估算以及流动资金、总投资和报批投资的估算。在编制这一估算计划时，我们严格依据以下一系列标准和规范，以确保投资估算的科学性和合理性：</w:t>
      </w:r>
    </w:p>
    <w:p w:rsidR="00E001AB" w:rsidRPr="00E001AB" w:rsidP="00E001AB" w14:paraId="49DBC625" w14:textId="77777777">
      <w:pPr>
        <w:ind w:firstLine="560" w:firstLineChars="200"/>
        <w:rPr>
          <w:rFonts w:ascii="仿宋" w:eastAsia="仿宋" w:hAnsi="仿宋"/>
          <w:sz w:val="28"/>
        </w:rPr>
      </w:pPr>
      <w:r w:rsidRPr="00E001AB">
        <w:rPr>
          <w:rFonts w:ascii="仿宋" w:eastAsia="仿宋" w:hAnsi="仿宋"/>
          <w:sz w:val="28"/>
        </w:rPr>
        <w:t>**1. 编制依据**</w:t>
      </w:r>
    </w:p>
    <w:p w:rsidR="00E001AB" w:rsidRPr="00E001AB" w:rsidP="00E001AB" w14:paraId="244FE507" w14:textId="77777777">
      <w:pPr>
        <w:ind w:firstLine="560" w:firstLineChars="200"/>
        <w:rPr>
          <w:rFonts w:ascii="仿宋" w:eastAsia="仿宋" w:hAnsi="仿宋"/>
          <w:sz w:val="28"/>
        </w:rPr>
      </w:pPr>
      <w:r w:rsidRPr="00E001AB">
        <w:rPr>
          <w:rFonts w:ascii="仿宋" w:eastAsia="仿宋" w:hAnsi="仿宋"/>
          <w:sz w:val="28"/>
        </w:rPr>
        <w:t>- 《建设硒氧化物项目投资估算编审规程》 ( CECA/GC1 )</w:t>
      </w:r>
    </w:p>
    <w:p w:rsidR="00E001AB" w:rsidRPr="00E001AB" w:rsidP="00E001AB" w14:paraId="5806C88F" w14:textId="77777777">
      <w:pPr>
        <w:ind w:firstLine="560" w:firstLineChars="200"/>
        <w:rPr>
          <w:rFonts w:ascii="仿宋" w:eastAsia="仿宋" w:hAnsi="仿宋"/>
          <w:sz w:val="28"/>
        </w:rPr>
      </w:pPr>
      <w:r w:rsidRPr="00E001AB">
        <w:rPr>
          <w:rFonts w:ascii="仿宋" w:eastAsia="仿宋" w:hAnsi="仿宋"/>
          <w:sz w:val="28"/>
        </w:rPr>
        <w:t>- 《工程经济与财务评价实用手册》</w:t>
      </w:r>
    </w:p>
    <w:p w:rsidR="00E001AB" w:rsidRPr="00E001AB" w:rsidP="00E001AB" w14:paraId="65407D40" w14:textId="77777777">
      <w:pPr>
        <w:ind w:firstLine="560" w:firstLineChars="200"/>
        <w:rPr>
          <w:rFonts w:ascii="仿宋" w:eastAsia="仿宋" w:hAnsi="仿宋"/>
          <w:sz w:val="28"/>
        </w:rPr>
      </w:pPr>
      <w:r w:rsidRPr="00E001AB">
        <w:rPr>
          <w:rFonts w:ascii="仿宋" w:eastAsia="仿宋" w:hAnsi="仿宋"/>
          <w:sz w:val="28"/>
        </w:rPr>
        <w:t>- 《投资硒氧化物项目可行性研究指南》</w:t>
      </w:r>
    </w:p>
    <w:p w:rsidR="00E001AB" w:rsidRPr="00E001AB" w:rsidP="00E001AB" w14:paraId="27F0BE9F" w14:textId="77777777">
      <w:pPr>
        <w:ind w:firstLine="560" w:firstLineChars="200"/>
        <w:rPr>
          <w:rFonts w:ascii="仿宋" w:eastAsia="仿宋" w:hAnsi="仿宋"/>
          <w:sz w:val="28"/>
        </w:rPr>
      </w:pPr>
      <w:r w:rsidRPr="00E001AB">
        <w:rPr>
          <w:rFonts w:ascii="仿宋" w:eastAsia="仿宋" w:hAnsi="仿宋"/>
          <w:sz w:val="28"/>
        </w:rPr>
        <w:t>- 《建设硒氧化物项目经济评价方法与参数》 ( 第三版 )</w:t>
      </w:r>
    </w:p>
    <w:p w:rsidR="00E001AB" w:rsidRPr="00E001AB" w:rsidP="00E001AB" w14:paraId="40D50A9F" w14:textId="77777777">
      <w:pPr>
        <w:ind w:firstLine="560" w:firstLineChars="200"/>
        <w:rPr>
          <w:rFonts w:ascii="仿宋" w:eastAsia="仿宋" w:hAnsi="仿宋"/>
          <w:sz w:val="28"/>
        </w:rPr>
      </w:pPr>
      <w:r w:rsidRPr="00E001AB">
        <w:rPr>
          <w:rFonts w:ascii="仿宋" w:eastAsia="仿宋" w:hAnsi="仿宋"/>
          <w:sz w:val="28"/>
        </w:rPr>
        <w:t>- 《基本建设设计概算编制办法》</w:t>
      </w:r>
    </w:p>
    <w:p w:rsidR="00E001AB" w:rsidRPr="00E001AB" w:rsidP="00E001AB" w14:paraId="0E475E92" w14:textId="77777777">
      <w:pPr>
        <w:ind w:firstLine="560" w:firstLineChars="200"/>
        <w:rPr>
          <w:rFonts w:ascii="仿宋" w:eastAsia="仿宋" w:hAnsi="仿宋"/>
          <w:sz w:val="28"/>
        </w:rPr>
      </w:pPr>
      <w:r w:rsidRPr="00E001AB">
        <w:rPr>
          <w:rFonts w:ascii="仿宋" w:eastAsia="仿宋" w:hAnsi="仿宋"/>
          <w:sz w:val="28"/>
        </w:rPr>
        <w:t>- 各专业工程设计规范</w:t>
      </w:r>
    </w:p>
    <w:p w:rsidR="00E001AB" w:rsidRPr="00E001AB" w:rsidP="00E001AB" w14:paraId="0F0A8E74" w14:textId="77777777">
      <w:pPr>
        <w:ind w:firstLine="560" w:firstLineChars="200"/>
        <w:rPr>
          <w:rFonts w:ascii="仿宋" w:eastAsia="仿宋" w:hAnsi="仿宋"/>
          <w:sz w:val="28"/>
        </w:rPr>
      </w:pPr>
      <w:r w:rsidRPr="00E001AB">
        <w:rPr>
          <w:rFonts w:ascii="仿宋" w:eastAsia="仿宋" w:hAnsi="仿宋"/>
          <w:sz w:val="28"/>
        </w:rPr>
        <w:t>- 市场价格信息及相关政策法规</w:t>
      </w:r>
    </w:p>
    <w:p w:rsidR="00E001AB" w:rsidRPr="00E001AB" w:rsidP="00E001AB" w14:paraId="7A4C672D" w14:textId="77777777">
      <w:pPr>
        <w:ind w:firstLine="560" w:firstLineChars="200"/>
        <w:rPr>
          <w:rFonts w:ascii="仿宋" w:eastAsia="仿宋" w:hAnsi="仿宋"/>
          <w:sz w:val="28"/>
        </w:rPr>
      </w:pPr>
      <w:r w:rsidRPr="00E001AB">
        <w:rPr>
          <w:rFonts w:ascii="仿宋" w:eastAsia="仿宋" w:hAnsi="仿宋"/>
          <w:sz w:val="28"/>
        </w:rPr>
        <w:t>- 类似硒氧化物项目的历史成本数据</w:t>
      </w:r>
    </w:p>
    <w:p w:rsidR="00E001AB" w:rsidRPr="00E001AB" w:rsidP="00E001AB" w14:paraId="266479BA" w14:textId="77777777">
      <w:pPr>
        <w:ind w:firstLine="560" w:firstLineChars="200"/>
        <w:rPr>
          <w:rFonts w:ascii="仿宋" w:eastAsia="仿宋" w:hAnsi="仿宋"/>
          <w:sz w:val="28"/>
        </w:rPr>
      </w:pPr>
      <w:r w:rsidRPr="00E001AB">
        <w:rPr>
          <w:rFonts w:ascii="仿宋" w:eastAsia="仿宋" w:hAnsi="仿宋"/>
          <w:sz w:val="28"/>
        </w:rPr>
        <w:t>**2. 投资费用分析**</w:t>
      </w:r>
    </w:p>
    <w:p w:rsidR="00E001AB" w:rsidRPr="00E001AB" w:rsidP="00E001AB" w14:paraId="040AA68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001AB">
        <w:rPr>
          <w:rFonts w:ascii="仿宋" w:eastAsia="仿宋" w:hAnsi="仿宋" w:hint="eastAsia"/>
          <w:sz w:val="28"/>
        </w:rPr>
        <w:t>在硒氧化物项目的投资估算中，我们详细考虑了多个方面的投资费用，将其分为固定资产投资估算和流动资金、总投资以及报批投资的估算。固定资产投资估算涵盖了主要生产硒氧化物项目、辅助生产硒氧化物项目、公用工程硒氧化物项目、服务性工程、配套费用以及其他费用的投资估算。这些估算值是通过充分的市场调研和技术评估</w:t>
      </w: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得出的，从而确保了估算数据的可靠性和合理性。</w:t>
      </w:r>
    </w:p>
    <w:p w:rsidR="00E001AB" w:rsidRPr="00E001AB" w:rsidP="00E001AB" w14:paraId="11C063F2" w14:textId="77777777">
      <w:pPr>
        <w:ind w:firstLine="560" w:firstLineChars="200"/>
        <w:rPr>
          <w:rFonts w:ascii="仿宋" w:eastAsia="仿宋" w:hAnsi="仿宋"/>
          <w:sz w:val="28"/>
        </w:rPr>
      </w:pPr>
      <w:r w:rsidRPr="00E001AB">
        <w:rPr>
          <w:rFonts w:ascii="仿宋" w:eastAsia="仿宋" w:hAnsi="仿宋" w:hint="eastAsia"/>
          <w:sz w:val="28"/>
        </w:rPr>
        <w:t>在进行投资费用的精确计算和全面分析时，我们不仅考虑了当前的市场情况，还充分预见了可能的物价上涨、汇率变动等风险因素。这样的综合考虑确保了我们的投资估算能够在动态变化的环境中依然保持准确和可靠。</w:t>
      </w:r>
    </w:p>
    <w:p w:rsidR="00E001AB" w:rsidP="00E001AB" w14:paraId="3EE125DA" w14:textId="1CC702D9">
      <w:pPr>
        <w:ind w:firstLine="560" w:firstLineChars="200"/>
        <w:rPr>
          <w:rFonts w:ascii="仿宋" w:eastAsia="仿宋" w:hAnsi="仿宋" w:hint="eastAsia"/>
          <w:sz w:val="28"/>
        </w:rPr>
      </w:pPr>
      <w:r w:rsidRPr="00E001AB">
        <w:rPr>
          <w:rFonts w:ascii="仿宋" w:eastAsia="仿宋" w:hAnsi="仿宋" w:hint="eastAsia"/>
          <w:sz w:val="28"/>
        </w:rPr>
        <w:t>通过以上的标准和分析，我们对硒氧化物项目的投资估算进行了全面而细致的规划，以确保硒氧化物项目在资金支持方面的充分准备，从而为硒氧化物项目的顺利实施打下了坚实的基础。</w:t>
      </w:r>
    </w:p>
    <w:p w:rsidR="00E001AB" w:rsidP="00E001AB" w14:paraId="35B8798B" w14:textId="011B8AEA">
      <w:pPr>
        <w:pStyle w:val="Heading2"/>
      </w:pPr>
      <w:bookmarkStart w:id="7" w:name="_Toc153580779"/>
      <w:r w:rsidRPr="00E001AB">
        <w:t>(二)、资金筹措</w:t>
      </w:r>
      <w:bookmarkEnd w:id="7"/>
    </w:p>
    <w:p w:rsidR="00E001AB" w:rsidP="00E001AB" w14:paraId="399D710B" w14:textId="5D433BBA">
      <w:pPr>
        <w:ind w:firstLine="560" w:firstLineChars="200"/>
        <w:rPr>
          <w:rFonts w:ascii="仿宋" w:eastAsia="仿宋" w:hAnsi="仿宋"/>
          <w:sz w:val="28"/>
        </w:rPr>
      </w:pPr>
      <w:r w:rsidRPr="00E001AB">
        <w:rPr>
          <w:rFonts w:ascii="仿宋" w:eastAsia="仿宋" w:hAnsi="仿宋" w:hint="eastAsia"/>
          <w:sz w:val="28"/>
        </w:rPr>
        <w:t>硒氧化物项目的总投资额为</w:t>
      </w:r>
      <w:r w:rsidRPr="00E001AB">
        <w:rPr>
          <w:rFonts w:ascii="仿宋" w:eastAsia="仿宋" w:hAnsi="仿宋"/>
          <w:sz w:val="28"/>
        </w:rPr>
        <w:t>XXX万元。</w:t>
      </w:r>
    </w:p>
    <w:p w:rsidR="00E001AB" w:rsidP="00E001AB" w14:paraId="669C0B78" w14:textId="0B70E3B9">
      <w:pPr>
        <w:pStyle w:val="Heading2"/>
      </w:pPr>
      <w:bookmarkStart w:id="8" w:name="_Toc153580780"/>
      <w:r w:rsidRPr="00E001AB">
        <w:t>(三)、资金使用计划</w:t>
      </w:r>
      <w:bookmarkEnd w:id="8"/>
    </w:p>
    <w:p w:rsidR="00E001AB" w:rsidP="00E001AB" w14:paraId="282EACB9" w14:textId="52760598">
      <w:pPr>
        <w:ind w:firstLine="560" w:firstLineChars="200"/>
        <w:rPr>
          <w:rFonts w:ascii="仿宋" w:eastAsia="仿宋" w:hAnsi="仿宋"/>
          <w:sz w:val="28"/>
        </w:rPr>
      </w:pPr>
      <w:r w:rsidRPr="00E001AB">
        <w:rPr>
          <w:rFonts w:ascii="仿宋" w:eastAsia="仿宋" w:hAnsi="仿宋" w:hint="eastAsia"/>
          <w:sz w:val="28"/>
        </w:rPr>
        <w:t>本硒氧化物项目计划投入固定资产的金额达</w:t>
      </w:r>
      <w:r w:rsidRPr="00E001AB">
        <w:rPr>
          <w:rFonts w:ascii="仿宋" w:eastAsia="仿宋" w:hAnsi="仿宋"/>
          <w:sz w:val="28"/>
        </w:rPr>
        <w:t>XXXX万元。</w:t>
      </w:r>
    </w:p>
    <w:p w:rsidR="00E001AB" w:rsidP="00E001AB" w14:paraId="5CA61698" w14:textId="6ABDA7D2">
      <w:pPr>
        <w:pStyle w:val="Heading2"/>
      </w:pPr>
      <w:bookmarkStart w:id="9" w:name="_Toc153580781"/>
      <w:r w:rsidRPr="00E001AB">
        <w:t>(四)、硒氧化物项目经济评价</w:t>
      </w:r>
      <w:bookmarkEnd w:id="9"/>
    </w:p>
    <w:p w:rsidR="00E001AB" w:rsidRPr="00E001AB" w:rsidP="00E001AB" w14:paraId="71A5D968" w14:textId="77777777">
      <w:pPr>
        <w:ind w:firstLine="560" w:firstLineChars="200"/>
        <w:rPr>
          <w:rFonts w:ascii="仿宋" w:eastAsia="仿宋" w:hAnsi="仿宋"/>
          <w:sz w:val="28"/>
        </w:rPr>
      </w:pPr>
      <w:r w:rsidRPr="00E001AB">
        <w:rPr>
          <w:rFonts w:ascii="仿宋" w:eastAsia="仿宋" w:hAnsi="仿宋" w:hint="eastAsia"/>
          <w:sz w:val="28"/>
        </w:rPr>
        <w:t>硒氧化物项目经济评价是一项基于投入、产出相一致的原则的重要工作。它以国家现行财税制度和市场价格体系为依据，旨在从企业财务角度分析、测算硒氧化物项目的各项费用和经济效益。为此，硒氧化物需要计算财务评价预期指标，以便评估拟建硒氧化物项目的盈利能力、清偿能力，并最终判断硒氧化物项目的经济可行性。</w:t>
      </w:r>
    </w:p>
    <w:p w:rsidR="00E001AB" w:rsidRPr="00E001AB" w:rsidP="00E001AB" w14:paraId="22E692F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001AB">
        <w:rPr>
          <w:rFonts w:ascii="仿宋" w:eastAsia="仿宋" w:hAnsi="仿宋" w:hint="eastAsia"/>
          <w:sz w:val="28"/>
        </w:rPr>
        <w:t>硒氧化物项目经济评价采用了严谨的逻辑推理和精确的测算方法。它不仅能理解自然语言，还能生成回复，回复思路清晰，逻辑严</w:t>
      </w: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密。硒氧化物能够利用先进的人工智能技术，对硒氧化物项目进行全面的财务分析，包括对各项费用的详细测算和经济效益的精确计算</w:t>
      </w:r>
    </w:p>
    <w:p w:rsidR="00E001AB" w:rsidRPr="00E001AB" w:rsidP="00E001AB" w14:paraId="17EA934D" w14:textId="77777777">
      <w:pPr>
        <w:ind w:firstLine="560" w:firstLineChars="200"/>
        <w:rPr>
          <w:rFonts w:ascii="仿宋" w:eastAsia="仿宋" w:hAnsi="仿宋"/>
          <w:sz w:val="28"/>
        </w:rPr>
      </w:pPr>
      <w:r w:rsidRPr="00E001AB">
        <w:rPr>
          <w:rFonts w:ascii="仿宋" w:eastAsia="仿宋" w:hAnsi="仿宋" w:hint="eastAsia"/>
          <w:sz w:val="28"/>
        </w:rPr>
        <w:t>在评估硒氧化物项目的盈利能力方面，硒氧化物会根据市场价格体系进行测算，以真实反映硒氧化物项目的盈利水平。同时，它还会考虑财税制度对硒氧化物项目的影响，以确保评价结果的准确性。</w:t>
      </w:r>
    </w:p>
    <w:p w:rsidR="00E001AB" w:rsidP="00E001AB" w14:paraId="0083E7DD" w14:textId="1D21C1D3">
      <w:pPr>
        <w:ind w:firstLine="560" w:firstLineChars="200"/>
        <w:rPr>
          <w:rFonts w:ascii="仿宋" w:eastAsia="仿宋" w:hAnsi="仿宋" w:hint="eastAsia"/>
          <w:sz w:val="28"/>
        </w:rPr>
      </w:pPr>
      <w:r w:rsidRPr="00E001AB">
        <w:rPr>
          <w:rFonts w:ascii="仿宋" w:eastAsia="仿宋" w:hAnsi="仿宋" w:hint="eastAsia"/>
          <w:sz w:val="28"/>
        </w:rPr>
        <w:t>在判断硒氧化物项目的清偿能力方面，会根据硒氧化物项目的投资计划和资金筹措情况，进行细致的现金流分析。通过计算硒氧化物项目的净现金流量和投资回收期等指标，硒氧化物能够评估硒氧化物项目的长期偿债能力。</w:t>
      </w:r>
    </w:p>
    <w:p w:rsidR="00E001AB" w:rsidP="00E001AB" w14:paraId="5846B74E" w14:textId="2BF31955">
      <w:pPr>
        <w:pStyle w:val="Heading1"/>
        <w:rPr>
          <w:rFonts w:hint="eastAsia"/>
        </w:rPr>
      </w:pPr>
      <w:bookmarkStart w:id="10" w:name="_Toc153580782"/>
      <w:r w:rsidRPr="00E001AB">
        <w:rPr>
          <w:rFonts w:hint="eastAsia"/>
        </w:rPr>
        <w:t>三、灵活性和可持续性平衡</w:t>
      </w:r>
      <w:bookmarkEnd w:id="10"/>
    </w:p>
    <w:p w:rsidR="00E001AB" w:rsidP="00E001AB" w14:paraId="60061ACB" w14:textId="653EC405">
      <w:pPr>
        <w:pStyle w:val="Heading2"/>
      </w:pPr>
      <w:bookmarkStart w:id="11" w:name="_Toc153580783"/>
      <w:r w:rsidRPr="00E001AB">
        <w:t>(一)、灵活生产与资源效率的平衡</w:t>
      </w:r>
      <w:bookmarkEnd w:id="11"/>
    </w:p>
    <w:p w:rsidR="00E001AB" w:rsidRPr="00E001AB" w:rsidP="00E001AB" w14:paraId="77817557" w14:textId="77777777">
      <w:pPr>
        <w:ind w:firstLine="560" w:firstLineChars="200"/>
        <w:rPr>
          <w:rFonts w:ascii="仿宋" w:eastAsia="仿宋" w:hAnsi="仿宋"/>
          <w:sz w:val="28"/>
        </w:rPr>
      </w:pPr>
      <w:r w:rsidRPr="00E001AB">
        <w:rPr>
          <w:rFonts w:ascii="仿宋" w:eastAsia="仿宋" w:hAnsi="仿宋" w:hint="eastAsia"/>
          <w:sz w:val="28"/>
        </w:rPr>
        <w:t>灵活生产的优势：</w:t>
      </w:r>
    </w:p>
    <w:p w:rsidR="00E001AB" w:rsidRPr="00E001AB" w:rsidP="00E001AB" w14:paraId="4EC8AC12" w14:textId="77777777">
      <w:pPr>
        <w:ind w:firstLine="560" w:firstLineChars="200"/>
        <w:rPr>
          <w:rFonts w:ascii="仿宋" w:eastAsia="仿宋" w:hAnsi="仿宋"/>
          <w:sz w:val="28"/>
        </w:rPr>
      </w:pPr>
      <w:r w:rsidRPr="00E001AB">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E001AB" w:rsidRPr="00E001AB" w:rsidP="00E001AB" w14:paraId="62D803D8" w14:textId="77777777">
      <w:pPr>
        <w:ind w:firstLine="560" w:firstLineChars="200"/>
        <w:rPr>
          <w:rFonts w:ascii="仿宋" w:eastAsia="仿宋" w:hAnsi="仿宋"/>
          <w:sz w:val="28"/>
        </w:rPr>
      </w:pPr>
      <w:r w:rsidRPr="00E001AB">
        <w:rPr>
          <w:rFonts w:ascii="仿宋" w:eastAsia="仿宋" w:hAnsi="仿宋" w:hint="eastAsia"/>
          <w:sz w:val="28"/>
        </w:rPr>
        <w:t>资源效率的重要性：</w:t>
      </w:r>
    </w:p>
    <w:p w:rsidR="00E001AB" w:rsidRPr="00E001AB" w:rsidP="00E001AB" w14:paraId="221C2CF0" w14:textId="77777777">
      <w:pPr>
        <w:ind w:firstLine="560" w:firstLineChars="200"/>
        <w:rPr>
          <w:rFonts w:ascii="仿宋" w:eastAsia="仿宋" w:hAnsi="仿宋"/>
          <w:sz w:val="28"/>
        </w:rPr>
      </w:pPr>
      <w:r w:rsidRPr="00E001AB">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E001AB" w:rsidRPr="00E001AB" w:rsidP="00E001AB" w14:paraId="075AD56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001AB">
        <w:rPr>
          <w:rFonts w:ascii="仿宋" w:eastAsia="仿宋" w:hAnsi="仿宋" w:hint="eastAsia"/>
          <w:sz w:val="28"/>
        </w:rPr>
        <w:t>平衡灵活生产与资源效率：</w:t>
      </w:r>
    </w:p>
    <w:p w:rsidR="00E001AB" w:rsidRPr="00E001AB" w:rsidP="00E001AB" w14:paraId="6B18FB83" w14:textId="77777777">
      <w:pPr>
        <w:ind w:firstLine="560" w:firstLineChars="200"/>
        <w:rPr>
          <w:rFonts w:ascii="仿宋" w:eastAsia="仿宋" w:hAnsi="仿宋"/>
          <w:sz w:val="28"/>
        </w:rPr>
      </w:pPr>
      <w:r w:rsidRPr="00E001AB">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E001AB" w:rsidRPr="00E001AB" w:rsidP="00E001AB" w14:paraId="60C3E468" w14:textId="77777777">
      <w:pPr>
        <w:ind w:firstLine="560" w:firstLineChars="200"/>
        <w:rPr>
          <w:rFonts w:ascii="仿宋" w:eastAsia="仿宋" w:hAnsi="仿宋"/>
          <w:sz w:val="28"/>
        </w:rPr>
      </w:pPr>
      <w:r w:rsidRPr="00E001AB">
        <w:rPr>
          <w:rFonts w:ascii="仿宋" w:eastAsia="仿宋" w:hAnsi="仿宋" w:hint="eastAsia"/>
          <w:sz w:val="28"/>
        </w:rPr>
        <w:t>技术创新的作用：</w:t>
      </w:r>
    </w:p>
    <w:p w:rsidR="00E001AB" w:rsidP="00E001AB" w14:paraId="0A2F1980" w14:textId="561E5AD9">
      <w:pPr>
        <w:ind w:firstLine="560" w:firstLineChars="200"/>
        <w:rPr>
          <w:rFonts w:ascii="仿宋" w:eastAsia="仿宋" w:hAnsi="仿宋" w:hint="eastAsia"/>
          <w:sz w:val="28"/>
        </w:rPr>
      </w:pPr>
      <w:r w:rsidRPr="00E001AB">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E001AB" w:rsidP="00E001AB" w14:paraId="636941D1" w14:textId="580EE490">
      <w:pPr>
        <w:pStyle w:val="Heading2"/>
      </w:pPr>
      <w:bookmarkStart w:id="12" w:name="_Toc153580784"/>
      <w:r w:rsidRPr="00E001AB">
        <w:t>(二)、可持续生产和市场变化的平衡</w:t>
      </w:r>
      <w:bookmarkEnd w:id="12"/>
    </w:p>
    <w:p w:rsidR="00E001AB" w:rsidRPr="00E001AB" w:rsidP="00E001AB" w14:paraId="63E6B8BF" w14:textId="77777777">
      <w:pPr>
        <w:ind w:firstLine="560" w:firstLineChars="200"/>
        <w:rPr>
          <w:rFonts w:ascii="仿宋" w:eastAsia="仿宋" w:hAnsi="仿宋"/>
          <w:sz w:val="28"/>
        </w:rPr>
      </w:pPr>
      <w:r w:rsidRPr="00E001AB">
        <w:rPr>
          <w:rFonts w:ascii="仿宋" w:eastAsia="仿宋" w:hAnsi="仿宋" w:hint="eastAsia"/>
          <w:sz w:val="28"/>
        </w:rPr>
        <w:t>可持续生产的重要性：</w:t>
      </w:r>
    </w:p>
    <w:p w:rsidR="00E001AB" w:rsidRPr="00E001AB" w:rsidP="00E001AB" w14:paraId="0DC7D894" w14:textId="77777777">
      <w:pPr>
        <w:ind w:firstLine="560" w:firstLineChars="200"/>
        <w:rPr>
          <w:rFonts w:ascii="仿宋" w:eastAsia="仿宋" w:hAnsi="仿宋"/>
          <w:sz w:val="28"/>
        </w:rPr>
      </w:pPr>
      <w:r w:rsidRPr="00E001AB">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E001AB" w:rsidRPr="00E001AB" w:rsidP="00E001AB" w14:paraId="73BFFF4A" w14:textId="77777777">
      <w:pPr>
        <w:ind w:firstLine="560" w:firstLineChars="200"/>
        <w:rPr>
          <w:rFonts w:ascii="仿宋" w:eastAsia="仿宋" w:hAnsi="仿宋"/>
          <w:sz w:val="28"/>
        </w:rPr>
      </w:pPr>
      <w:r w:rsidRPr="00E001AB">
        <w:rPr>
          <w:rFonts w:ascii="仿宋" w:eastAsia="仿宋" w:hAnsi="仿宋" w:hint="eastAsia"/>
          <w:sz w:val="28"/>
        </w:rPr>
        <w:t>市场变化的影响：</w:t>
      </w:r>
    </w:p>
    <w:p w:rsidR="00E001AB" w:rsidRPr="00E001AB" w:rsidP="00E001AB" w14:paraId="015FE6A4" w14:textId="77777777">
      <w:pPr>
        <w:ind w:firstLine="560" w:firstLineChars="200"/>
        <w:rPr>
          <w:rFonts w:ascii="仿宋" w:eastAsia="仿宋" w:hAnsi="仿宋"/>
          <w:sz w:val="28"/>
        </w:rPr>
      </w:pPr>
      <w:r w:rsidRPr="00E001AB">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E001AB" w:rsidRPr="00E001AB" w:rsidP="00E001AB" w14:paraId="3C6A8C6D" w14:textId="77777777">
      <w:pPr>
        <w:ind w:firstLine="560" w:firstLineChars="200"/>
        <w:rPr>
          <w:rFonts w:ascii="仿宋" w:eastAsia="仿宋" w:hAnsi="仿宋"/>
          <w:sz w:val="28"/>
        </w:rPr>
      </w:pPr>
      <w:r w:rsidRPr="00E001AB">
        <w:rPr>
          <w:rFonts w:ascii="仿宋" w:eastAsia="仿宋" w:hAnsi="仿宋" w:hint="eastAsia"/>
          <w:sz w:val="28"/>
        </w:rPr>
        <w:t>平衡可持续生产与市场变化：</w:t>
      </w:r>
    </w:p>
    <w:p w:rsidR="00E001AB" w:rsidRPr="00E001AB" w:rsidP="00E001AB" w14:paraId="4FD1766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001AB">
        <w:rPr>
          <w:rFonts w:ascii="仿宋" w:eastAsia="仿宋" w:hAnsi="仿宋" w:hint="eastAsia"/>
          <w:sz w:val="28"/>
        </w:rPr>
        <w:t>在可行性研究中，需要平衡可持续生产和市场变化，以实现可持续发展和市场竞争力的双重目标。这可以通过建立灵活的生产系统和</w:t>
      </w: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供应链，加强市场调研和预测，以及持续改进和创新的方式实现。</w:t>
      </w:r>
    </w:p>
    <w:p w:rsidR="00E001AB" w:rsidRPr="00E001AB" w:rsidP="00E001AB" w14:paraId="1F719FB8" w14:textId="77777777">
      <w:pPr>
        <w:ind w:firstLine="560" w:firstLineChars="200"/>
        <w:rPr>
          <w:rFonts w:ascii="仿宋" w:eastAsia="仿宋" w:hAnsi="仿宋"/>
          <w:sz w:val="28"/>
        </w:rPr>
      </w:pPr>
      <w:r w:rsidRPr="00E001AB">
        <w:rPr>
          <w:rFonts w:ascii="仿宋" w:eastAsia="仿宋" w:hAnsi="仿宋" w:hint="eastAsia"/>
          <w:sz w:val="28"/>
        </w:rPr>
        <w:t>创新和合作的重要性：</w:t>
      </w:r>
    </w:p>
    <w:p w:rsidR="00E001AB" w:rsidP="00E001AB" w14:paraId="51F05833" w14:textId="65091169">
      <w:pPr>
        <w:ind w:firstLine="560" w:firstLineChars="200"/>
        <w:rPr>
          <w:rFonts w:ascii="仿宋" w:eastAsia="仿宋" w:hAnsi="仿宋" w:hint="eastAsia"/>
          <w:sz w:val="28"/>
        </w:rPr>
      </w:pPr>
      <w:r w:rsidRPr="00E001AB">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E001AB" w:rsidP="00E001AB" w14:paraId="69B11472" w14:textId="496A501A">
      <w:pPr>
        <w:pStyle w:val="Heading2"/>
      </w:pPr>
      <w:bookmarkStart w:id="13" w:name="_Toc153580785"/>
      <w:r w:rsidRPr="00E001AB">
        <w:t>(三)、灵活可行性策略的实施</w:t>
      </w:r>
      <w:bookmarkEnd w:id="13"/>
    </w:p>
    <w:p w:rsidR="00E001AB" w:rsidRPr="00E001AB" w:rsidP="00E001AB" w14:paraId="0B49C32A" w14:textId="77777777">
      <w:pPr>
        <w:ind w:firstLine="560" w:firstLineChars="200"/>
        <w:rPr>
          <w:rFonts w:ascii="仿宋" w:eastAsia="仿宋" w:hAnsi="仿宋"/>
          <w:sz w:val="28"/>
        </w:rPr>
      </w:pPr>
      <w:r w:rsidRPr="00E001AB">
        <w:rPr>
          <w:rFonts w:ascii="仿宋" w:eastAsia="仿宋" w:hAnsi="仿宋" w:hint="eastAsia"/>
          <w:sz w:val="28"/>
        </w:rPr>
        <w:t>弹性硒氧化物项目规划：</w:t>
      </w:r>
    </w:p>
    <w:p w:rsidR="00E001AB" w:rsidRPr="00E001AB" w:rsidP="00E001AB" w14:paraId="09627079" w14:textId="77777777">
      <w:pPr>
        <w:ind w:firstLine="560" w:firstLineChars="200"/>
        <w:rPr>
          <w:rFonts w:ascii="仿宋" w:eastAsia="仿宋" w:hAnsi="仿宋"/>
          <w:sz w:val="28"/>
        </w:rPr>
      </w:pPr>
      <w:r w:rsidRPr="00E001AB">
        <w:rPr>
          <w:rFonts w:ascii="仿宋" w:eastAsia="仿宋" w:hAnsi="仿宋" w:hint="eastAsia"/>
          <w:sz w:val="28"/>
        </w:rPr>
        <w:t>在实施灵活可行性策略时，硒氧化物项目规划需要具备一定的弹性。这意味着硒氧化物项目计划和里程碑应该灵活可调整，以适应变化的需求和风险。弹性硒氧化物项目规划需要考虑到不确定性因素，并制定备选方案和应急计划，以应对可能出现的风险和变化。</w:t>
      </w:r>
    </w:p>
    <w:p w:rsidR="00E001AB" w:rsidRPr="00E001AB" w:rsidP="00E001AB" w14:paraId="0CD789E6" w14:textId="77777777">
      <w:pPr>
        <w:ind w:firstLine="560" w:firstLineChars="200"/>
        <w:rPr>
          <w:rFonts w:ascii="仿宋" w:eastAsia="仿宋" w:hAnsi="仿宋"/>
          <w:sz w:val="28"/>
        </w:rPr>
      </w:pPr>
      <w:r w:rsidRPr="00E001AB">
        <w:rPr>
          <w:rFonts w:ascii="仿宋" w:eastAsia="仿宋" w:hAnsi="仿宋" w:hint="eastAsia"/>
          <w:sz w:val="28"/>
        </w:rPr>
        <w:t>敏捷开发方法：</w:t>
      </w:r>
    </w:p>
    <w:p w:rsidR="00E001AB" w:rsidRPr="00E001AB" w:rsidP="00E001AB" w14:paraId="63CFBB7A" w14:textId="77777777">
      <w:pPr>
        <w:ind w:firstLine="560" w:firstLineChars="200"/>
        <w:rPr>
          <w:rFonts w:ascii="仿宋" w:eastAsia="仿宋" w:hAnsi="仿宋"/>
          <w:sz w:val="28"/>
        </w:rPr>
      </w:pPr>
      <w:r w:rsidRPr="00E001AB">
        <w:rPr>
          <w:rFonts w:ascii="仿宋" w:eastAsia="仿宋" w:hAnsi="仿宋" w:hint="eastAsia"/>
          <w:sz w:val="28"/>
        </w:rPr>
        <w:t>敏捷开发方法是一种灵活的硒氧化物项目管理方法，适用于快速变化的环境和需求。通过采用敏捷开发方法，硒氧化物项目团队可以更快地响应变化，进行迭代开发和持续交付，以确保硒氧化物项目的灵活性和可行性。</w:t>
      </w:r>
    </w:p>
    <w:p w:rsidR="00E001AB" w:rsidRPr="00E001AB" w:rsidP="00E001AB" w14:paraId="7418CFAA" w14:textId="77777777">
      <w:pPr>
        <w:ind w:firstLine="560" w:firstLineChars="200"/>
        <w:rPr>
          <w:rFonts w:ascii="仿宋" w:eastAsia="仿宋" w:hAnsi="仿宋"/>
          <w:sz w:val="28"/>
        </w:rPr>
      </w:pPr>
      <w:r w:rsidRPr="00E001AB">
        <w:rPr>
          <w:rFonts w:ascii="仿宋" w:eastAsia="仿宋" w:hAnsi="仿宋" w:hint="eastAsia"/>
          <w:sz w:val="28"/>
        </w:rPr>
        <w:t>风险管理与评估：</w:t>
      </w:r>
    </w:p>
    <w:p w:rsidR="00E001AB" w:rsidRPr="00E001AB" w:rsidP="00E001AB" w14:paraId="139359F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001AB">
        <w:rPr>
          <w:rFonts w:ascii="仿宋" w:eastAsia="仿宋" w:hAnsi="仿宋" w:hint="eastAsia"/>
          <w:sz w:val="28"/>
        </w:rPr>
        <w:t>实施灵活可行性策略需要有效的风险管理和评估机制。硒氧化物项目团队应该识别和评估潜在的风险，并制定相应的应对措施。定期的风险评估和监控可以帮助硒氧化物项目团队及时应对风险，并确保</w:t>
      </w:r>
    </w:p>
    <w:p w:rsidR="00E001AB" w:rsidRPr="00E001AB" w:rsidP="00E001AB" w14:textId="77777777">
      <w:pPr>
        <w:ind w:firstLine="560" w:firstLineChars="200"/>
        <w:rPr>
          <w:rFonts w:ascii="仿宋" w:eastAsia="仿宋" w:hAnsi="仿宋"/>
          <w:sz w:val="28"/>
        </w:rPr>
      </w:pPr>
      <w:r w:rsidRPr="00E001AB">
        <w:rPr>
          <w:rFonts w:ascii="仿宋" w:eastAsia="仿宋" w:hAnsi="仿宋" w:hint="eastAsia"/>
          <w:sz w:val="28"/>
        </w:rPr>
        <w:t>硒氧化物项目的可行性和成功。</w:t>
      </w:r>
    </w:p>
    <w:p w:rsidR="00E001AB" w:rsidRPr="00E001AB" w:rsidP="00E001AB" w14:paraId="57FC589D" w14:textId="77777777">
      <w:pPr>
        <w:ind w:firstLine="560" w:firstLineChars="200"/>
        <w:rPr>
          <w:rFonts w:ascii="仿宋" w:eastAsia="仿宋" w:hAnsi="仿宋"/>
          <w:sz w:val="28"/>
        </w:rPr>
      </w:pPr>
      <w:r w:rsidRPr="00E001AB">
        <w:rPr>
          <w:rFonts w:ascii="仿宋" w:eastAsia="仿宋" w:hAnsi="仿宋" w:hint="eastAsia"/>
          <w:sz w:val="28"/>
        </w:rPr>
        <w:t>持续学习与改进：</w:t>
      </w:r>
    </w:p>
    <w:p w:rsidR="00E001AB" w:rsidP="00E001AB" w14:paraId="3C7207D1" w14:textId="06E06A30">
      <w:pPr>
        <w:ind w:firstLine="560" w:firstLineChars="200"/>
        <w:rPr>
          <w:rFonts w:ascii="仿宋" w:eastAsia="仿宋" w:hAnsi="仿宋" w:hint="eastAsia"/>
          <w:sz w:val="28"/>
        </w:rPr>
      </w:pPr>
      <w:r w:rsidRPr="00E001AB">
        <w:rPr>
          <w:rFonts w:ascii="仿宋" w:eastAsia="仿宋" w:hAnsi="仿宋" w:hint="eastAsia"/>
          <w:sz w:val="28"/>
        </w:rPr>
        <w:t>在实施灵活可行性策略的过程中，持续学习和改进是至关重要的。硒氧化物项目团队应该保持开放的心态，接受反馈和经验教训，并及时调整硒氧化物项目策略和实施计划。通过持续学习和改进，硒氧化物项目团队可以提高硒氧化物项目的灵活性和可行性。</w:t>
      </w:r>
    </w:p>
    <w:p w:rsidR="00E001AB" w:rsidP="00E001AB" w14:paraId="0E41417F" w14:textId="787A56D0">
      <w:pPr>
        <w:pStyle w:val="Heading1"/>
        <w:rPr>
          <w:rFonts w:hint="eastAsia"/>
        </w:rPr>
      </w:pPr>
      <w:bookmarkStart w:id="14" w:name="_Toc153580786"/>
      <w:r w:rsidRPr="00E001AB">
        <w:rPr>
          <w:rFonts w:hint="eastAsia"/>
        </w:rPr>
        <w:t>四、文化内涵和艺术价值</w:t>
      </w:r>
      <w:bookmarkEnd w:id="14"/>
    </w:p>
    <w:p w:rsidR="00E001AB" w:rsidP="00E001AB" w14:paraId="18D91BEC" w14:textId="5C10D98A">
      <w:pPr>
        <w:pStyle w:val="Heading2"/>
      </w:pPr>
      <w:bookmarkStart w:id="15" w:name="_Toc153580787"/>
      <w:r w:rsidRPr="00E001AB">
        <w:t>(一)、硒氧化物项目与文化内涵的结合方式</w:t>
      </w:r>
      <w:bookmarkEnd w:id="15"/>
    </w:p>
    <w:p w:rsidR="00E001AB" w:rsidRPr="00E001AB" w:rsidP="00E001AB" w14:paraId="6CC9EC53" w14:textId="77777777">
      <w:pPr>
        <w:ind w:firstLine="560" w:firstLineChars="200"/>
        <w:rPr>
          <w:rFonts w:ascii="仿宋" w:eastAsia="仿宋" w:hAnsi="仿宋"/>
          <w:sz w:val="28"/>
        </w:rPr>
      </w:pPr>
      <w:r w:rsidRPr="00E001AB">
        <w:rPr>
          <w:rFonts w:ascii="仿宋" w:eastAsia="仿宋" w:hAnsi="仿宋" w:hint="eastAsia"/>
          <w:sz w:val="28"/>
        </w:rPr>
        <w:t>将硒氧化物项目与文化内涵结合起来，既可以丰富硒氧化物项目的内涵，又可以促进文化传承和发展。我们考虑了硒氧化物项目与文化内涵的关系，包括硒氧化物项目的主题、文化背景和文化价值等方面。我们还考虑了文化内涵与硒氧化物项目的市场竞争力之间的关系，以确保硒氧化物项目在文化内涵的框架内合法运营。</w:t>
      </w:r>
    </w:p>
    <w:p w:rsidR="00E001AB" w:rsidP="00E001AB" w14:paraId="146BA502" w14:textId="46CDA9B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001AB">
        <w:rPr>
          <w:rFonts w:ascii="仿宋" w:eastAsia="仿宋" w:hAnsi="仿宋" w:hint="eastAsia"/>
          <w:sz w:val="28"/>
        </w:rPr>
        <w:t>在硒氧化物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硒氧化物项目的文化内涵和文化价值。同时，我们强调了文化内涵与市场需求之间的平衡，建议在硒氧化物项目的设计和开发过程中，充分考虑市场需求和文化内涵，以确保硒氧化物项目在市场上的竞争</w:t>
      </w:r>
    </w:p>
    <w:p w:rsidR="00E001AB" w:rsidP="00E001AB" w14:textId="46CDA9B5">
      <w:pPr>
        <w:ind w:firstLine="560" w:firstLineChars="200"/>
        <w:rPr>
          <w:rFonts w:ascii="仿宋" w:eastAsia="仿宋" w:hAnsi="仿宋" w:hint="eastAsia"/>
          <w:sz w:val="28"/>
        </w:rPr>
      </w:pPr>
      <w:r w:rsidRPr="00E001AB">
        <w:rPr>
          <w:rFonts w:ascii="仿宋" w:eastAsia="仿宋" w:hAnsi="仿宋" w:hint="eastAsia"/>
          <w:sz w:val="28"/>
        </w:rPr>
        <w:t>力和可持续发展。</w:t>
      </w:r>
    </w:p>
    <w:p w:rsidR="00E001AB" w:rsidP="00E001AB" w14:paraId="6E5EC20C" w14:textId="444747D6">
      <w:pPr>
        <w:pStyle w:val="Heading2"/>
      </w:pPr>
      <w:bookmarkStart w:id="16" w:name="_Toc153580788"/>
      <w:r w:rsidRPr="00E001AB">
        <w:t>(二)、硒氧化物项目产品的艺术价值分析</w:t>
      </w:r>
      <w:bookmarkEnd w:id="16"/>
    </w:p>
    <w:p w:rsidR="00E001AB" w:rsidRPr="00E001AB" w:rsidP="00E001AB" w14:paraId="1C614DA9" w14:textId="77777777">
      <w:pPr>
        <w:ind w:firstLine="560" w:firstLineChars="200"/>
        <w:rPr>
          <w:rFonts w:ascii="仿宋" w:eastAsia="仿宋" w:hAnsi="仿宋"/>
          <w:sz w:val="28"/>
        </w:rPr>
      </w:pPr>
      <w:r w:rsidRPr="00E001AB">
        <w:rPr>
          <w:rFonts w:ascii="仿宋" w:eastAsia="仿宋" w:hAnsi="仿宋" w:hint="eastAsia"/>
          <w:sz w:val="28"/>
        </w:rPr>
        <w:t>作为一个艺术类项目，硒氧化物项目的产品应该具有一定的艺术价值，以吸引目标受众并提升硒氧化物项目的市场竞争力。我们考虑了硒氧化物项目产品的艺术特征和艺术价值，包括创意性、审美价值和文化内涵等方面。我们还考虑了艺术价值与硒氧化物项目的商业价值之间的关系，以确保硒氧化物项目产品在艺术价值的框架内合法运营。</w:t>
      </w:r>
    </w:p>
    <w:p w:rsidR="00E001AB" w:rsidP="00E001AB" w14:paraId="59004C14" w14:textId="3068656F">
      <w:pPr>
        <w:ind w:firstLine="560" w:firstLineChars="200"/>
        <w:rPr>
          <w:rFonts w:ascii="仿宋" w:eastAsia="仿宋" w:hAnsi="仿宋" w:hint="eastAsia"/>
          <w:sz w:val="28"/>
        </w:rPr>
      </w:pPr>
      <w:r w:rsidRPr="00E001AB">
        <w:rPr>
          <w:rFonts w:ascii="仿宋" w:eastAsia="仿宋" w:hAnsi="仿宋" w:hint="eastAsia"/>
          <w:sz w:val="28"/>
        </w:rPr>
        <w:t>在硒氧化物项目产品的艺术价值分析总结中，我们提出了相应的建议和措施。我们建议加强对硒氧化物项目产品的艺术设计和创意性，以提升产品的艺术价值和审美价值。我们还建议加强与艺术领域的合作和交流，以吸收优秀的艺术资源和创意灵感，提升硒氧化物项目产品的艺术内涵和艺术价值。同时，我们强调了艺术价值与商业价值的平衡，建议在硒氧化物项目产品的设计和开发过程中，充分考虑商业价值和市场需求，以确保硒氧化物项目产品在市场上的竞争力和可持续发展。</w:t>
      </w:r>
    </w:p>
    <w:p w:rsidR="00E001AB" w:rsidP="00E001AB" w14:paraId="40050C1E" w14:textId="1CAEB4AA">
      <w:pPr>
        <w:pStyle w:val="Heading2"/>
      </w:pPr>
      <w:bookmarkStart w:id="17" w:name="_Toc153580789"/>
      <w:r w:rsidRPr="00E001AB">
        <w:t>(三)、文化传承和艺术创新的策略探讨</w:t>
      </w:r>
      <w:bookmarkEnd w:id="17"/>
    </w:p>
    <w:p w:rsidR="00E001AB" w:rsidRPr="00E001AB" w:rsidP="00E001AB" w14:paraId="44E6B0F1" w14:textId="77777777">
      <w:pPr>
        <w:ind w:firstLine="560" w:firstLineChars="200"/>
        <w:rPr>
          <w:rFonts w:ascii="仿宋" w:eastAsia="仿宋" w:hAnsi="仿宋"/>
          <w:sz w:val="28"/>
        </w:rPr>
      </w:pPr>
      <w:r w:rsidRPr="00E001AB">
        <w:rPr>
          <w:rFonts w:ascii="仿宋" w:eastAsia="仿宋" w:hAnsi="仿宋" w:hint="eastAsia"/>
          <w:sz w:val="28"/>
        </w:rPr>
        <w:t>为了实现硒氧化物项目的成功，我们认为需要同时注重文化传承和艺术创新。在文化传承方面，我们建议加强对传统文化的研究和挖掘，发掘传统文化中蕴含的艺术元素，并将其融入到硒氧化物项目的</w:t>
      </w:r>
      <w:r w:rsidRPr="00E001AB">
        <w:rPr>
          <w:rFonts w:ascii="仿宋" w:eastAsia="仿宋" w:hAnsi="仿宋"/>
          <w:sz w:val="28"/>
        </w:rPr>
        <w:br/>
      </w:r>
      <w:r w:rsidRPr="00E001A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https://d.book118.com/188072111042006026</w:t>
        </w:r>
      </w:hyperlink>
    </w:p>
    <w:p w:rsidR="00E001AB" w:rsidRPr="00E001AB" w:rsidP="00E001A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paraId="265CDF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paraId="29CB5A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paraId="53F7EA06"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01AB" w14:paraId="086358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paraId="7148FA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01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01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001A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001A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001A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001A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001A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001A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001A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001A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001A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001A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001A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01A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P="00F80A9A" w14:textId="088A02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001A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paraId="47E4EA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paraId="5E1FF265"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paraId="56F6E2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rsidRPr="00E001AB" w:rsidP="00E001AB" w14:textId="7D0A30A4">
    <w:pPr>
      <w:pStyle w:val="Header"/>
      <w:rPr>
        <w:rFonts w:ascii="仿宋" w:eastAsia="仿宋" w:hAnsi="仿宋"/>
      </w:rPr>
    </w:pPr>
    <w:r w:rsidRPr="00E001AB">
      <w:rPr>
        <w:rFonts w:ascii="仿宋" w:eastAsia="仿宋" w:hAnsi="仿宋" w:hint="eastAsia"/>
      </w:rPr>
      <w:t>硒氧化物可行性报告</w:t>
    </w:r>
    <w:r w:rsidRPr="00E001AB">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01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1AB"/>
    <w:rsid w:val="005E474F"/>
    <w:rsid w:val="00E001AB"/>
    <w:rsid w:val="00F80A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0A6039"/>
  <w15:chartTrackingRefBased/>
  <w15:docId w15:val="{22DC3A18-564A-4C74-8111-C4DDEEC82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001A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001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001AB"/>
    <w:rPr>
      <w:b/>
      <w:bCs/>
      <w:kern w:val="44"/>
      <w:sz w:val="44"/>
      <w:szCs w:val="44"/>
    </w:rPr>
  </w:style>
  <w:style w:type="character" w:customStyle="1" w:styleId="2">
    <w:name w:val="标题 2 字符"/>
    <w:basedOn w:val="DefaultParagraphFont"/>
    <w:link w:val="Heading2"/>
    <w:uiPriority w:val="9"/>
    <w:rsid w:val="00E001A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001A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001AB"/>
    <w:rPr>
      <w:sz w:val="18"/>
      <w:szCs w:val="18"/>
    </w:rPr>
  </w:style>
  <w:style w:type="paragraph" w:styleId="Footer">
    <w:name w:val="footer"/>
    <w:basedOn w:val="Normal"/>
    <w:link w:val="a0"/>
    <w:uiPriority w:val="99"/>
    <w:unhideWhenUsed/>
    <w:rsid w:val="00E001A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001AB"/>
    <w:rPr>
      <w:sz w:val="18"/>
      <w:szCs w:val="18"/>
    </w:rPr>
  </w:style>
  <w:style w:type="character" w:styleId="PageNumber">
    <w:name w:val="page number"/>
    <w:basedOn w:val="DefaultParagraphFont"/>
    <w:uiPriority w:val="99"/>
    <w:semiHidden/>
    <w:unhideWhenUsed/>
    <w:rsid w:val="00E001AB"/>
  </w:style>
  <w:style w:type="paragraph" w:styleId="TOC1">
    <w:name w:val="toc 1"/>
    <w:basedOn w:val="Normal"/>
    <w:next w:val="Normal"/>
    <w:autoRedefine/>
    <w:uiPriority w:val="39"/>
    <w:unhideWhenUsed/>
    <w:rsid w:val="00E001AB"/>
  </w:style>
  <w:style w:type="paragraph" w:styleId="TOC2">
    <w:name w:val="toc 2"/>
    <w:basedOn w:val="Normal"/>
    <w:next w:val="Normal"/>
    <w:autoRedefine/>
    <w:uiPriority w:val="39"/>
    <w:unhideWhenUsed/>
    <w:rsid w:val="00E001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88072111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4244</Words>
  <Characters>24196</Characters>
  <Application>Microsoft Office Word</Application>
  <DocSecurity>0</DocSecurity>
  <Lines>201</Lines>
  <Paragraphs>56</Paragraphs>
  <ScaleCrop>false</ScaleCrop>
  <Company/>
  <LinksUpToDate>false</LinksUpToDate>
  <CharactersWithSpaces>28384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2023-12-15T16:58:00Z</dcterms:created>
  <dcterms:modified xsi:type="dcterms:W3CDTF">2023-12-15T16:59:00Z</dcterms:modified>
</cp:coreProperties>
</file>