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电晕笔项目规划设计纲要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4" w:history="1">
        <w:r>
          <w:rPr>
            <w:rFonts w:ascii="仿宋" w:eastAsia="仿宋" w:hAnsi="仿宋" w:cs="仿宋" w:hint="eastAsia"/>
            <w:lang w:eastAsia="zh-CN"/>
          </w:rPr>
          <w:t>概论</w:t>
        </w:r>
        <w:r>
          <w:tab/>
        </w:r>
        <w:r>
          <w:fldChar w:fldCharType="begin"/>
        </w:r>
        <w:r>
          <w:instrText xml:space="preserve"> PAGEREF _Toc21914 \h </w:instrText>
        </w:r>
        <w:r>
          <w:fldChar w:fldCharType="separate"/>
        </w:r>
        <w:r>
          <w:t>3</w:t>
        </w:r>
        <w:r>
          <w:fldChar w:fldCharType="end"/>
        </w:r>
      </w:hyperlink>
    </w:p>
    <w:p>
      <w:pPr>
        <w:pStyle w:val="TOC1"/>
        <w:tabs>
          <w:tab w:val="right" w:leader="dot" w:pos="8306"/>
        </w:tabs>
      </w:pPr>
      <w:hyperlink w:anchor="_Toc27235" w:history="1">
        <w:r>
          <w:rPr>
            <w:rFonts w:ascii="仿宋" w:eastAsia="仿宋" w:hAnsi="仿宋" w:cs="仿宋" w:hint="eastAsia"/>
            <w:lang w:eastAsia="zh-CN"/>
          </w:rPr>
          <w:t>一、电晕笔项目文档管理</w:t>
        </w:r>
        <w:r>
          <w:tab/>
        </w:r>
        <w:r>
          <w:fldChar w:fldCharType="begin"/>
        </w:r>
        <w:r>
          <w:instrText xml:space="preserve"> PAGEREF _Toc27235 \h </w:instrText>
        </w:r>
        <w:r>
          <w:fldChar w:fldCharType="separate"/>
        </w:r>
        <w:r>
          <w:t>3</w:t>
        </w:r>
        <w:r>
          <w:fldChar w:fldCharType="end"/>
        </w:r>
      </w:hyperlink>
    </w:p>
    <w:p>
      <w:pPr>
        <w:pStyle w:val="TOC2"/>
        <w:tabs>
          <w:tab w:val="right" w:leader="dot" w:pos="8306"/>
        </w:tabs>
      </w:pPr>
      <w:hyperlink w:anchor="_Toc10697" w:history="1">
        <w:r>
          <w:rPr>
            <w:rFonts w:ascii="仿宋" w:eastAsia="仿宋" w:hAnsi="仿宋" w:cs="仿宋" w:hint="eastAsia"/>
            <w:lang w:eastAsia="zh-CN"/>
          </w:rPr>
          <w:t>(一)、文档编制与审查</w:t>
        </w:r>
        <w:r>
          <w:tab/>
        </w:r>
        <w:r>
          <w:fldChar w:fldCharType="begin"/>
        </w:r>
        <w:r>
          <w:instrText xml:space="preserve"> PAGEREF _Toc10697 \h </w:instrText>
        </w:r>
        <w:r>
          <w:fldChar w:fldCharType="separate"/>
        </w:r>
        <w:r>
          <w:t>3</w:t>
        </w:r>
        <w:r>
          <w:fldChar w:fldCharType="end"/>
        </w:r>
      </w:hyperlink>
    </w:p>
    <w:p>
      <w:pPr>
        <w:pStyle w:val="TOC2"/>
        <w:tabs>
          <w:tab w:val="right" w:leader="dot" w:pos="8306"/>
        </w:tabs>
      </w:pPr>
      <w:hyperlink w:anchor="_Toc11907" w:history="1">
        <w:r>
          <w:rPr>
            <w:rFonts w:ascii="仿宋" w:eastAsia="仿宋" w:hAnsi="仿宋" w:cs="仿宋" w:hint="eastAsia"/>
            <w:lang w:eastAsia="zh-CN"/>
          </w:rPr>
          <w:t>(二)、文档发布与分发</w:t>
        </w:r>
        <w:r>
          <w:tab/>
        </w:r>
        <w:r>
          <w:fldChar w:fldCharType="begin"/>
        </w:r>
        <w:r>
          <w:instrText xml:space="preserve"> PAGEREF _Toc11907 \h </w:instrText>
        </w:r>
        <w:r>
          <w:fldChar w:fldCharType="separate"/>
        </w:r>
        <w:r>
          <w:t>4</w:t>
        </w:r>
        <w:r>
          <w:fldChar w:fldCharType="end"/>
        </w:r>
      </w:hyperlink>
    </w:p>
    <w:p>
      <w:pPr>
        <w:pStyle w:val="TOC2"/>
        <w:tabs>
          <w:tab w:val="right" w:leader="dot" w:pos="8306"/>
        </w:tabs>
      </w:pPr>
      <w:hyperlink w:anchor="_Toc25346" w:history="1">
        <w:r>
          <w:rPr>
            <w:rFonts w:ascii="仿宋" w:eastAsia="仿宋" w:hAnsi="仿宋" w:cs="仿宋" w:hint="eastAsia"/>
            <w:lang w:eastAsia="zh-CN"/>
          </w:rPr>
          <w:t>(三)、文档存档与归档</w:t>
        </w:r>
        <w:r>
          <w:tab/>
        </w:r>
        <w:r>
          <w:fldChar w:fldCharType="begin"/>
        </w:r>
        <w:r>
          <w:instrText xml:space="preserve"> PAGEREF _Toc25346 \h </w:instrText>
        </w:r>
        <w:r>
          <w:fldChar w:fldCharType="separate"/>
        </w:r>
        <w:r>
          <w:t>5</w:t>
        </w:r>
        <w:r>
          <w:fldChar w:fldCharType="end"/>
        </w:r>
      </w:hyperlink>
    </w:p>
    <w:p>
      <w:pPr>
        <w:pStyle w:val="TOC1"/>
        <w:tabs>
          <w:tab w:val="right" w:leader="dot" w:pos="8306"/>
        </w:tabs>
      </w:pPr>
      <w:hyperlink w:anchor="_Toc6961" w:history="1">
        <w:r>
          <w:rPr>
            <w:rFonts w:ascii="仿宋" w:eastAsia="仿宋" w:hAnsi="仿宋" w:cs="仿宋" w:hint="eastAsia"/>
            <w:lang w:eastAsia="zh-CN"/>
          </w:rPr>
          <w:t>二、电晕笔项目建设背景及必要性分析</w:t>
        </w:r>
        <w:r>
          <w:tab/>
        </w:r>
        <w:r>
          <w:fldChar w:fldCharType="begin"/>
        </w:r>
        <w:r>
          <w:instrText xml:space="preserve"> PAGEREF _Toc6961 \h </w:instrText>
        </w:r>
        <w:r>
          <w:fldChar w:fldCharType="separate"/>
        </w:r>
        <w:r>
          <w:t>6</w:t>
        </w:r>
        <w:r>
          <w:fldChar w:fldCharType="end"/>
        </w:r>
      </w:hyperlink>
    </w:p>
    <w:p>
      <w:pPr>
        <w:pStyle w:val="TOC2"/>
        <w:tabs>
          <w:tab w:val="right" w:leader="dot" w:pos="8306"/>
        </w:tabs>
      </w:pPr>
      <w:hyperlink w:anchor="_Toc22668" w:history="1">
        <w:r>
          <w:rPr>
            <w:rFonts w:ascii="仿宋" w:eastAsia="仿宋" w:hAnsi="仿宋" w:cs="仿宋" w:hint="eastAsia"/>
            <w:lang w:eastAsia="zh-CN"/>
          </w:rPr>
          <w:t>(一)、电晕笔项目背景分析</w:t>
        </w:r>
        <w:r>
          <w:tab/>
        </w:r>
        <w:r>
          <w:fldChar w:fldCharType="begin"/>
        </w:r>
        <w:r>
          <w:instrText xml:space="preserve"> PAGEREF _Toc22668 \h </w:instrText>
        </w:r>
        <w:r>
          <w:fldChar w:fldCharType="separate"/>
        </w:r>
        <w:r>
          <w:t>6</w:t>
        </w:r>
        <w:r>
          <w:fldChar w:fldCharType="end"/>
        </w:r>
      </w:hyperlink>
    </w:p>
    <w:p>
      <w:pPr>
        <w:pStyle w:val="TOC2"/>
        <w:tabs>
          <w:tab w:val="right" w:leader="dot" w:pos="8306"/>
        </w:tabs>
      </w:pPr>
      <w:hyperlink w:anchor="_Toc31217" w:history="1">
        <w:r>
          <w:rPr>
            <w:rFonts w:ascii="仿宋" w:eastAsia="仿宋" w:hAnsi="仿宋" w:cs="仿宋" w:hint="eastAsia"/>
            <w:lang w:eastAsia="zh-CN"/>
          </w:rPr>
          <w:t>(二)、电晕笔项目建设必要性分析</w:t>
        </w:r>
        <w:r>
          <w:tab/>
        </w:r>
        <w:r>
          <w:fldChar w:fldCharType="begin"/>
        </w:r>
        <w:r>
          <w:instrText xml:space="preserve"> PAGEREF _Toc31217 \h </w:instrText>
        </w:r>
        <w:r>
          <w:fldChar w:fldCharType="separate"/>
        </w:r>
        <w:r>
          <w:t>8</w:t>
        </w:r>
        <w:r>
          <w:fldChar w:fldCharType="end"/>
        </w:r>
      </w:hyperlink>
    </w:p>
    <w:p>
      <w:pPr>
        <w:pStyle w:val="TOC1"/>
        <w:tabs>
          <w:tab w:val="right" w:leader="dot" w:pos="8306"/>
        </w:tabs>
      </w:pPr>
      <w:hyperlink w:anchor="_Toc10196" w:history="1">
        <w:r>
          <w:rPr>
            <w:rFonts w:ascii="仿宋" w:eastAsia="仿宋" w:hAnsi="仿宋" w:cs="仿宋" w:hint="eastAsia"/>
            <w:lang w:eastAsia="zh-CN"/>
          </w:rPr>
          <w:t>三、电晕笔项目建设单位说明</w:t>
        </w:r>
        <w:r>
          <w:tab/>
        </w:r>
        <w:r>
          <w:fldChar w:fldCharType="begin"/>
        </w:r>
        <w:r>
          <w:instrText xml:space="preserve"> PAGEREF _Toc10196 \h </w:instrText>
        </w:r>
        <w:r>
          <w:fldChar w:fldCharType="separate"/>
        </w:r>
        <w:r>
          <w:t>9</w:t>
        </w:r>
        <w:r>
          <w:fldChar w:fldCharType="end"/>
        </w:r>
      </w:hyperlink>
    </w:p>
    <w:p>
      <w:pPr>
        <w:pStyle w:val="TOC2"/>
        <w:tabs>
          <w:tab w:val="right" w:leader="dot" w:pos="8306"/>
        </w:tabs>
      </w:pPr>
      <w:hyperlink w:anchor="_Toc19621" w:history="1">
        <w:r>
          <w:rPr>
            <w:rFonts w:ascii="仿宋" w:eastAsia="仿宋" w:hAnsi="仿宋" w:cs="仿宋" w:hint="eastAsia"/>
            <w:lang w:eastAsia="zh-CN"/>
          </w:rPr>
          <w:t>(一)、电晕笔项目承办单位基本情况</w:t>
        </w:r>
        <w:r>
          <w:tab/>
        </w:r>
        <w:r>
          <w:fldChar w:fldCharType="begin"/>
        </w:r>
        <w:r>
          <w:instrText xml:space="preserve"> PAGEREF _Toc19621 \h </w:instrText>
        </w:r>
        <w:r>
          <w:fldChar w:fldCharType="separate"/>
        </w:r>
        <w:r>
          <w:t>9</w:t>
        </w:r>
        <w:r>
          <w:fldChar w:fldCharType="end"/>
        </w:r>
      </w:hyperlink>
    </w:p>
    <w:p>
      <w:pPr>
        <w:pStyle w:val="TOC2"/>
        <w:tabs>
          <w:tab w:val="right" w:leader="dot" w:pos="8306"/>
        </w:tabs>
      </w:pPr>
      <w:hyperlink w:anchor="_Toc25775" w:history="1">
        <w:r>
          <w:rPr>
            <w:rFonts w:ascii="仿宋" w:eastAsia="仿宋" w:hAnsi="仿宋" w:cs="仿宋" w:hint="eastAsia"/>
            <w:lang w:eastAsia="zh-CN"/>
          </w:rPr>
          <w:t>(二)、公司经济效益分析</w:t>
        </w:r>
        <w:r>
          <w:tab/>
        </w:r>
        <w:r>
          <w:fldChar w:fldCharType="begin"/>
        </w:r>
        <w:r>
          <w:instrText xml:space="preserve"> PAGEREF _Toc25775 \h </w:instrText>
        </w:r>
        <w:r>
          <w:fldChar w:fldCharType="separate"/>
        </w:r>
        <w:r>
          <w:t>10</w:t>
        </w:r>
        <w:r>
          <w:fldChar w:fldCharType="end"/>
        </w:r>
      </w:hyperlink>
    </w:p>
    <w:p>
      <w:pPr>
        <w:pStyle w:val="TOC1"/>
        <w:tabs>
          <w:tab w:val="right" w:leader="dot" w:pos="8306"/>
        </w:tabs>
      </w:pPr>
      <w:hyperlink w:anchor="_Toc4939" w:history="1">
        <w:r>
          <w:rPr>
            <w:rFonts w:ascii="仿宋" w:eastAsia="仿宋" w:hAnsi="仿宋" w:cs="仿宋" w:hint="eastAsia"/>
            <w:lang w:eastAsia="zh-CN"/>
          </w:rPr>
          <w:t>四、产品规划分析</w:t>
        </w:r>
        <w:r>
          <w:tab/>
        </w:r>
        <w:r>
          <w:fldChar w:fldCharType="begin"/>
        </w:r>
        <w:r>
          <w:instrText xml:space="preserve"> PAGEREF _Toc4939 \h </w:instrText>
        </w:r>
        <w:r>
          <w:fldChar w:fldCharType="separate"/>
        </w:r>
        <w:r>
          <w:t>11</w:t>
        </w:r>
        <w:r>
          <w:fldChar w:fldCharType="end"/>
        </w:r>
      </w:hyperlink>
    </w:p>
    <w:p>
      <w:pPr>
        <w:pStyle w:val="TOC2"/>
        <w:tabs>
          <w:tab w:val="right" w:leader="dot" w:pos="8306"/>
        </w:tabs>
      </w:pPr>
      <w:hyperlink w:anchor="_Toc17594" w:history="1">
        <w:r>
          <w:rPr>
            <w:rFonts w:ascii="仿宋" w:eastAsia="仿宋" w:hAnsi="仿宋" w:cs="仿宋" w:hint="eastAsia"/>
            <w:lang w:eastAsia="zh-CN"/>
          </w:rPr>
          <w:t>(一)、产品规划</w:t>
        </w:r>
        <w:r>
          <w:tab/>
        </w:r>
        <w:r>
          <w:fldChar w:fldCharType="begin"/>
        </w:r>
        <w:r>
          <w:instrText xml:space="preserve"> PAGEREF _Toc17594 \h </w:instrText>
        </w:r>
        <w:r>
          <w:fldChar w:fldCharType="separate"/>
        </w:r>
        <w:r>
          <w:t>11</w:t>
        </w:r>
        <w:r>
          <w:fldChar w:fldCharType="end"/>
        </w:r>
      </w:hyperlink>
    </w:p>
    <w:p>
      <w:pPr>
        <w:pStyle w:val="TOC2"/>
        <w:tabs>
          <w:tab w:val="right" w:leader="dot" w:pos="8306"/>
        </w:tabs>
      </w:pPr>
      <w:hyperlink w:anchor="_Toc21589" w:history="1">
        <w:r>
          <w:rPr>
            <w:rFonts w:ascii="仿宋" w:eastAsia="仿宋" w:hAnsi="仿宋" w:cs="仿宋" w:hint="eastAsia"/>
            <w:lang w:eastAsia="zh-CN"/>
          </w:rPr>
          <w:t>(二)、建设规模</w:t>
        </w:r>
        <w:r>
          <w:tab/>
        </w:r>
        <w:r>
          <w:fldChar w:fldCharType="begin"/>
        </w:r>
        <w:r>
          <w:instrText xml:space="preserve"> PAGEREF _Toc21589 \h </w:instrText>
        </w:r>
        <w:r>
          <w:fldChar w:fldCharType="separate"/>
        </w:r>
        <w:r>
          <w:t>12</w:t>
        </w:r>
        <w:r>
          <w:fldChar w:fldCharType="end"/>
        </w:r>
      </w:hyperlink>
    </w:p>
    <w:p>
      <w:pPr>
        <w:pStyle w:val="TOC1"/>
        <w:tabs>
          <w:tab w:val="right" w:leader="dot" w:pos="8306"/>
        </w:tabs>
      </w:pPr>
      <w:hyperlink w:anchor="_Toc26304" w:history="1">
        <w:r>
          <w:rPr>
            <w:rFonts w:ascii="仿宋" w:eastAsia="仿宋" w:hAnsi="仿宋" w:cs="仿宋" w:hint="eastAsia"/>
            <w:lang w:eastAsia="zh-CN"/>
          </w:rPr>
          <w:t>五、市场分析、调研</w:t>
        </w:r>
        <w:r>
          <w:tab/>
        </w:r>
        <w:r>
          <w:fldChar w:fldCharType="begin"/>
        </w:r>
        <w:r>
          <w:instrText xml:space="preserve"> PAGEREF _Toc26304 \h </w:instrText>
        </w:r>
        <w:r>
          <w:fldChar w:fldCharType="separate"/>
        </w:r>
        <w:r>
          <w:t>13</w:t>
        </w:r>
        <w:r>
          <w:fldChar w:fldCharType="end"/>
        </w:r>
      </w:hyperlink>
    </w:p>
    <w:p>
      <w:pPr>
        <w:pStyle w:val="TOC2"/>
        <w:tabs>
          <w:tab w:val="right" w:leader="dot" w:pos="8306"/>
        </w:tabs>
      </w:pPr>
      <w:hyperlink w:anchor="_Toc9465" w:history="1">
        <w:r>
          <w:rPr>
            <w:rFonts w:ascii="仿宋" w:eastAsia="仿宋" w:hAnsi="仿宋" w:cs="仿宋" w:hint="eastAsia"/>
            <w:lang w:eastAsia="zh-CN"/>
          </w:rPr>
          <w:t>(一)、电晕笔行业分析</w:t>
        </w:r>
        <w:r>
          <w:tab/>
        </w:r>
        <w:r>
          <w:fldChar w:fldCharType="begin"/>
        </w:r>
        <w:r>
          <w:instrText xml:space="preserve"> PAGEREF _Toc9465 \h </w:instrText>
        </w:r>
        <w:r>
          <w:fldChar w:fldCharType="separate"/>
        </w:r>
        <w:r>
          <w:t>13</w:t>
        </w:r>
        <w:r>
          <w:fldChar w:fldCharType="end"/>
        </w:r>
      </w:hyperlink>
    </w:p>
    <w:p>
      <w:pPr>
        <w:pStyle w:val="TOC2"/>
        <w:tabs>
          <w:tab w:val="right" w:leader="dot" w:pos="8306"/>
        </w:tabs>
      </w:pPr>
      <w:hyperlink w:anchor="_Toc7758" w:history="1">
        <w:r>
          <w:rPr>
            <w:rFonts w:ascii="仿宋" w:eastAsia="仿宋" w:hAnsi="仿宋" w:cs="仿宋" w:hint="eastAsia"/>
            <w:lang w:eastAsia="zh-CN"/>
          </w:rPr>
          <w:t>(二)、电晕笔市场分析预测</w:t>
        </w:r>
        <w:r>
          <w:tab/>
        </w:r>
        <w:r>
          <w:fldChar w:fldCharType="begin"/>
        </w:r>
        <w:r>
          <w:instrText xml:space="preserve"> PAGEREF _Toc7758 \h </w:instrText>
        </w:r>
        <w:r>
          <w:fldChar w:fldCharType="separate"/>
        </w:r>
        <w:r>
          <w:t>13</w:t>
        </w:r>
        <w:r>
          <w:fldChar w:fldCharType="end"/>
        </w:r>
      </w:hyperlink>
    </w:p>
    <w:p>
      <w:pPr>
        <w:pStyle w:val="TOC1"/>
        <w:tabs>
          <w:tab w:val="right" w:leader="dot" w:pos="8306"/>
        </w:tabs>
      </w:pPr>
      <w:hyperlink w:anchor="_Toc6397" w:history="1">
        <w:r>
          <w:rPr>
            <w:rFonts w:ascii="仿宋" w:eastAsia="仿宋" w:hAnsi="仿宋" w:cs="仿宋" w:hint="eastAsia"/>
            <w:lang w:eastAsia="zh-CN"/>
          </w:rPr>
          <w:t>六、电晕笔项目绩效评估</w:t>
        </w:r>
        <w:r>
          <w:tab/>
        </w:r>
        <w:r>
          <w:fldChar w:fldCharType="begin"/>
        </w:r>
        <w:r>
          <w:instrText xml:space="preserve"> PAGEREF _Toc6397 \h </w:instrText>
        </w:r>
        <w:r>
          <w:fldChar w:fldCharType="separate"/>
        </w:r>
        <w:r>
          <w:t>14</w:t>
        </w:r>
        <w:r>
          <w:fldChar w:fldCharType="end"/>
        </w:r>
      </w:hyperlink>
    </w:p>
    <w:p>
      <w:pPr>
        <w:pStyle w:val="TOC2"/>
        <w:tabs>
          <w:tab w:val="right" w:leader="dot" w:pos="8306"/>
        </w:tabs>
      </w:pPr>
      <w:hyperlink w:anchor="_Toc11482" w:history="1">
        <w:r>
          <w:rPr>
            <w:rFonts w:ascii="仿宋" w:eastAsia="仿宋" w:hAnsi="仿宋" w:cs="仿宋" w:hint="eastAsia"/>
            <w:lang w:eastAsia="zh-CN"/>
          </w:rPr>
          <w:t>(一)、绩效评估指标</w:t>
        </w:r>
        <w:r>
          <w:tab/>
        </w:r>
        <w:r>
          <w:fldChar w:fldCharType="begin"/>
        </w:r>
        <w:r>
          <w:instrText xml:space="preserve"> PAGEREF _Toc11482 \h </w:instrText>
        </w:r>
        <w:r>
          <w:fldChar w:fldCharType="separate"/>
        </w:r>
        <w:r>
          <w:t>14</w:t>
        </w:r>
        <w:r>
          <w:fldChar w:fldCharType="end"/>
        </w:r>
      </w:hyperlink>
    </w:p>
    <w:p>
      <w:pPr>
        <w:pStyle w:val="TOC2"/>
        <w:tabs>
          <w:tab w:val="right" w:leader="dot" w:pos="8306"/>
        </w:tabs>
      </w:pPr>
      <w:hyperlink w:anchor="_Toc32186" w:history="1">
        <w:r>
          <w:rPr>
            <w:rFonts w:ascii="仿宋" w:eastAsia="仿宋" w:hAnsi="仿宋" w:cs="仿宋" w:hint="eastAsia"/>
            <w:lang w:eastAsia="zh-CN"/>
          </w:rPr>
          <w:t>(二)、绩效评估方法</w:t>
        </w:r>
        <w:r>
          <w:tab/>
        </w:r>
        <w:r>
          <w:fldChar w:fldCharType="begin"/>
        </w:r>
        <w:r>
          <w:instrText xml:space="preserve"> PAGEREF _Toc32186 \h </w:instrText>
        </w:r>
        <w:r>
          <w:fldChar w:fldCharType="separate"/>
        </w:r>
        <w:r>
          <w:t>15</w:t>
        </w:r>
        <w:r>
          <w:fldChar w:fldCharType="end"/>
        </w:r>
      </w:hyperlink>
    </w:p>
    <w:p>
      <w:pPr>
        <w:pStyle w:val="TOC2"/>
        <w:tabs>
          <w:tab w:val="right" w:leader="dot" w:pos="8306"/>
        </w:tabs>
      </w:pPr>
      <w:hyperlink w:anchor="_Toc23845" w:history="1">
        <w:r>
          <w:rPr>
            <w:rFonts w:ascii="仿宋" w:eastAsia="仿宋" w:hAnsi="仿宋" w:cs="仿宋" w:hint="eastAsia"/>
            <w:lang w:eastAsia="zh-CN"/>
          </w:rPr>
          <w:t>(三)、绩效评估周期</w:t>
        </w:r>
        <w:r>
          <w:tab/>
        </w:r>
        <w:r>
          <w:fldChar w:fldCharType="begin"/>
        </w:r>
        <w:r>
          <w:instrText xml:space="preserve"> PAGEREF _Toc23845 \h </w:instrText>
        </w:r>
        <w:r>
          <w:fldChar w:fldCharType="separate"/>
        </w:r>
        <w:r>
          <w:t>16</w:t>
        </w:r>
        <w:r>
          <w:fldChar w:fldCharType="end"/>
        </w:r>
      </w:hyperlink>
    </w:p>
    <w:p>
      <w:pPr>
        <w:pStyle w:val="TOC1"/>
        <w:tabs>
          <w:tab w:val="right" w:leader="dot" w:pos="8306"/>
        </w:tabs>
      </w:pPr>
      <w:hyperlink w:anchor="_Toc8819" w:history="1">
        <w:r>
          <w:rPr>
            <w:rFonts w:ascii="仿宋" w:eastAsia="仿宋" w:hAnsi="仿宋" w:cs="仿宋" w:hint="eastAsia"/>
            <w:lang w:eastAsia="zh-CN"/>
          </w:rPr>
          <w:t>七、电晕笔项目环境影响分析</w:t>
        </w:r>
        <w:r>
          <w:tab/>
        </w:r>
        <w:r>
          <w:fldChar w:fldCharType="begin"/>
        </w:r>
        <w:r>
          <w:instrText xml:space="preserve"> PAGEREF _Toc8819 \h </w:instrText>
        </w:r>
        <w:r>
          <w:fldChar w:fldCharType="separate"/>
        </w:r>
        <w:r>
          <w:t>17</w:t>
        </w:r>
        <w:r>
          <w:fldChar w:fldCharType="end"/>
        </w:r>
      </w:hyperlink>
    </w:p>
    <w:p>
      <w:pPr>
        <w:pStyle w:val="TOC2"/>
        <w:tabs>
          <w:tab w:val="right" w:leader="dot" w:pos="8306"/>
        </w:tabs>
      </w:pPr>
      <w:hyperlink w:anchor="_Toc23241" w:history="1">
        <w:r>
          <w:rPr>
            <w:rFonts w:ascii="仿宋" w:eastAsia="仿宋" w:hAnsi="仿宋" w:cs="仿宋" w:hint="eastAsia"/>
            <w:lang w:eastAsia="zh-CN"/>
          </w:rPr>
          <w:t>(一)、建设区域环境质量现状</w:t>
        </w:r>
        <w:r>
          <w:tab/>
        </w:r>
        <w:r>
          <w:fldChar w:fldCharType="begin"/>
        </w:r>
        <w:r>
          <w:instrText xml:space="preserve"> PAGEREF _Toc23241 \h </w:instrText>
        </w:r>
        <w:r>
          <w:fldChar w:fldCharType="separate"/>
        </w:r>
        <w:r>
          <w:t>17</w:t>
        </w:r>
        <w:r>
          <w:fldChar w:fldCharType="end"/>
        </w:r>
      </w:hyperlink>
    </w:p>
    <w:p>
      <w:pPr>
        <w:pStyle w:val="TOC2"/>
        <w:tabs>
          <w:tab w:val="right" w:leader="dot" w:pos="8306"/>
        </w:tabs>
      </w:pPr>
      <w:hyperlink w:anchor="_Toc16439" w:history="1">
        <w:r>
          <w:rPr>
            <w:rFonts w:ascii="仿宋" w:eastAsia="仿宋" w:hAnsi="仿宋" w:cs="仿宋" w:hint="eastAsia"/>
            <w:lang w:eastAsia="zh-CN"/>
          </w:rPr>
          <w:t>(二)、建设期环境保护</w:t>
        </w:r>
        <w:r>
          <w:tab/>
        </w:r>
        <w:r>
          <w:fldChar w:fldCharType="begin"/>
        </w:r>
        <w:r>
          <w:instrText xml:space="preserve"> PAGEREF _Toc16439 \h </w:instrText>
        </w:r>
        <w:r>
          <w:fldChar w:fldCharType="separate"/>
        </w:r>
        <w:r>
          <w:t>19</w:t>
        </w:r>
        <w:r>
          <w:fldChar w:fldCharType="end"/>
        </w:r>
      </w:hyperlink>
    </w:p>
    <w:p>
      <w:pPr>
        <w:pStyle w:val="TOC2"/>
        <w:tabs>
          <w:tab w:val="right" w:leader="dot" w:pos="8306"/>
        </w:tabs>
      </w:pPr>
      <w:hyperlink w:anchor="_Toc12044" w:history="1">
        <w:r>
          <w:rPr>
            <w:rFonts w:ascii="仿宋" w:eastAsia="仿宋" w:hAnsi="仿宋" w:cs="仿宋" w:hint="eastAsia"/>
            <w:lang w:eastAsia="zh-CN"/>
          </w:rPr>
          <w:t>(三)、运营期环境保护</w:t>
        </w:r>
        <w:r>
          <w:tab/>
        </w:r>
        <w:r>
          <w:fldChar w:fldCharType="begin"/>
        </w:r>
        <w:r>
          <w:instrText xml:space="preserve"> PAGEREF _Toc12044 \h </w:instrText>
        </w:r>
        <w:r>
          <w:fldChar w:fldCharType="separate"/>
        </w:r>
        <w:r>
          <w:t>20</w:t>
        </w:r>
        <w:r>
          <w:fldChar w:fldCharType="end"/>
        </w:r>
      </w:hyperlink>
    </w:p>
    <w:p>
      <w:pPr>
        <w:pStyle w:val="TOC2"/>
        <w:tabs>
          <w:tab w:val="right" w:leader="dot" w:pos="8306"/>
        </w:tabs>
      </w:pPr>
      <w:hyperlink w:anchor="_Toc26077" w:history="1">
        <w:r>
          <w:rPr>
            <w:rFonts w:ascii="仿宋" w:eastAsia="仿宋" w:hAnsi="仿宋" w:cs="仿宋" w:hint="eastAsia"/>
            <w:lang w:eastAsia="zh-CN"/>
          </w:rPr>
          <w:t>(四)、电晕笔项目建设对区域经济的影响</w:t>
        </w:r>
        <w:r>
          <w:tab/>
        </w:r>
        <w:r>
          <w:fldChar w:fldCharType="begin"/>
        </w:r>
        <w:r>
          <w:instrText xml:space="preserve"> PAGEREF _Toc26077 \h </w:instrText>
        </w:r>
        <w:r>
          <w:fldChar w:fldCharType="separate"/>
        </w:r>
        <w:r>
          <w:t>21</w:t>
        </w:r>
        <w:r>
          <w:fldChar w:fldCharType="end"/>
        </w:r>
      </w:hyperlink>
    </w:p>
    <w:p>
      <w:pPr>
        <w:pStyle w:val="TOC2"/>
        <w:tabs>
          <w:tab w:val="right" w:leader="dot" w:pos="8306"/>
        </w:tabs>
      </w:pPr>
      <w:hyperlink w:anchor="_Toc21870" w:history="1">
        <w:r>
          <w:rPr>
            <w:rFonts w:ascii="仿宋" w:eastAsia="仿宋" w:hAnsi="仿宋" w:cs="仿宋" w:hint="eastAsia"/>
            <w:lang w:eastAsia="zh-CN"/>
          </w:rPr>
          <w:t>(五)、废弃物处理</w:t>
        </w:r>
        <w:r>
          <w:tab/>
        </w:r>
        <w:r>
          <w:fldChar w:fldCharType="begin"/>
        </w:r>
        <w:r>
          <w:instrText xml:space="preserve"> PAGEREF _Toc21870 \h </w:instrText>
        </w:r>
        <w:r>
          <w:fldChar w:fldCharType="separate"/>
        </w:r>
        <w:r>
          <w:t>23</w:t>
        </w:r>
        <w:r>
          <w:fldChar w:fldCharType="end"/>
        </w:r>
      </w:hyperlink>
    </w:p>
    <w:p>
      <w:pPr>
        <w:pStyle w:val="TOC2"/>
        <w:tabs>
          <w:tab w:val="right" w:leader="dot" w:pos="8306"/>
        </w:tabs>
      </w:pPr>
      <w:hyperlink w:anchor="_Toc12510" w:history="1">
        <w:r>
          <w:rPr>
            <w:rFonts w:ascii="仿宋" w:eastAsia="仿宋" w:hAnsi="仿宋" w:cs="仿宋" w:hint="eastAsia"/>
            <w:lang w:eastAsia="zh-CN"/>
          </w:rPr>
          <w:t>(六)、特殊环境影响分析</w:t>
        </w:r>
        <w:r>
          <w:tab/>
        </w:r>
        <w:r>
          <w:fldChar w:fldCharType="begin"/>
        </w:r>
        <w:r>
          <w:instrText xml:space="preserve"> PAGEREF _Toc12510 \h </w:instrText>
        </w:r>
        <w:r>
          <w:fldChar w:fldCharType="separate"/>
        </w:r>
        <w:r>
          <w:t>24</w:t>
        </w:r>
        <w:r>
          <w:fldChar w:fldCharType="end"/>
        </w:r>
      </w:hyperlink>
    </w:p>
    <w:p>
      <w:pPr>
        <w:pStyle w:val="TOC2"/>
        <w:tabs>
          <w:tab w:val="right" w:leader="dot" w:pos="8306"/>
        </w:tabs>
      </w:pPr>
      <w:hyperlink w:anchor="_Toc11665" w:history="1">
        <w:r>
          <w:rPr>
            <w:rFonts w:ascii="仿宋" w:eastAsia="仿宋" w:hAnsi="仿宋" w:cs="仿宋" w:hint="eastAsia"/>
            <w:lang w:eastAsia="zh-CN"/>
          </w:rPr>
          <w:t>(七)、清洁生产</w:t>
        </w:r>
        <w:r>
          <w:tab/>
        </w:r>
        <w:r>
          <w:fldChar w:fldCharType="begin"/>
        </w:r>
        <w:r>
          <w:instrText xml:space="preserve"> PAGEREF _Toc11665 \h </w:instrText>
        </w:r>
        <w:r>
          <w:fldChar w:fldCharType="separate"/>
        </w:r>
        <w:r>
          <w:t>26</w:t>
        </w:r>
        <w:r>
          <w:fldChar w:fldCharType="end"/>
        </w:r>
      </w:hyperlink>
    </w:p>
    <w:p>
      <w:pPr>
        <w:pStyle w:val="TOC2"/>
        <w:tabs>
          <w:tab w:val="right" w:leader="dot" w:pos="8306"/>
        </w:tabs>
      </w:pPr>
      <w:hyperlink w:anchor="_Toc8737" w:history="1">
        <w:r>
          <w:rPr>
            <w:rFonts w:ascii="仿宋" w:eastAsia="仿宋" w:hAnsi="仿宋" w:cs="仿宋" w:hint="eastAsia"/>
            <w:lang w:eastAsia="zh-CN"/>
          </w:rPr>
          <w:t>(八)、环境保护综合评价</w:t>
        </w:r>
        <w:r>
          <w:tab/>
        </w:r>
        <w:r>
          <w:fldChar w:fldCharType="begin"/>
        </w:r>
        <w:r>
          <w:instrText xml:space="preserve"> PAGEREF _Toc8737 \h </w:instrText>
        </w:r>
        <w:r>
          <w:fldChar w:fldCharType="separate"/>
        </w:r>
        <w:r>
          <w:t>27</w:t>
        </w:r>
        <w:r>
          <w:fldChar w:fldCharType="end"/>
        </w:r>
      </w:hyperlink>
    </w:p>
    <w:p>
      <w:pPr>
        <w:pStyle w:val="TOC1"/>
        <w:tabs>
          <w:tab w:val="right" w:leader="dot" w:pos="8306"/>
        </w:tabs>
      </w:pPr>
      <w:hyperlink w:anchor="_Toc32101" w:history="1">
        <w:r>
          <w:rPr>
            <w:rFonts w:ascii="仿宋" w:eastAsia="仿宋" w:hAnsi="仿宋" w:cs="仿宋" w:hint="eastAsia"/>
            <w:lang w:eastAsia="zh-CN"/>
          </w:rPr>
          <w:t>八、电晕笔项目经营效益</w:t>
        </w:r>
        <w:r>
          <w:tab/>
        </w:r>
        <w:r>
          <w:fldChar w:fldCharType="begin"/>
        </w:r>
        <w:r>
          <w:instrText xml:space="preserve"> PAGEREF _Toc32101 \h </w:instrText>
        </w:r>
        <w:r>
          <w:fldChar w:fldCharType="separate"/>
        </w:r>
        <w:r>
          <w:t>28</w:t>
        </w:r>
        <w:r>
          <w:fldChar w:fldCharType="end"/>
        </w:r>
      </w:hyperlink>
    </w:p>
    <w:p>
      <w:pPr>
        <w:pStyle w:val="TOC2"/>
        <w:tabs>
          <w:tab w:val="right" w:leader="dot" w:pos="8306"/>
        </w:tabs>
      </w:pPr>
      <w:hyperlink w:anchor="_Toc5613" w:history="1">
        <w:r>
          <w:rPr>
            <w:rFonts w:ascii="仿宋" w:eastAsia="仿宋" w:hAnsi="仿宋" w:cs="仿宋" w:hint="eastAsia"/>
            <w:lang w:eastAsia="zh-CN"/>
          </w:rPr>
          <w:t>(一)、经济评价财务测算</w:t>
        </w:r>
        <w:r>
          <w:tab/>
        </w:r>
        <w:r>
          <w:fldChar w:fldCharType="begin"/>
        </w:r>
        <w:r>
          <w:instrText xml:space="preserve"> PAGEREF _Toc5613 \h </w:instrText>
        </w:r>
        <w:r>
          <w:fldChar w:fldCharType="separate"/>
        </w:r>
        <w:r>
          <w:t>28</w:t>
        </w:r>
        <w:r>
          <w:fldChar w:fldCharType="end"/>
        </w:r>
      </w:hyperlink>
    </w:p>
    <w:p>
      <w:pPr>
        <w:pStyle w:val="TOC2"/>
        <w:tabs>
          <w:tab w:val="right" w:leader="dot" w:pos="8306"/>
        </w:tabs>
      </w:pPr>
      <w:hyperlink w:anchor="_Toc3526" w:history="1">
        <w:r>
          <w:rPr>
            <w:rFonts w:ascii="仿宋" w:eastAsia="仿宋" w:hAnsi="仿宋" w:cs="仿宋" w:hint="eastAsia"/>
            <w:lang w:eastAsia="zh-CN"/>
          </w:rPr>
          <w:t>(二)、电晕笔项目盈利能力分析</w:t>
        </w:r>
        <w:r>
          <w:tab/>
        </w:r>
        <w:r>
          <w:fldChar w:fldCharType="begin"/>
        </w:r>
        <w:r>
          <w:instrText xml:space="preserve"> PAGEREF _Toc3526 \h </w:instrText>
        </w:r>
        <w:r>
          <w:fldChar w:fldCharType="separate"/>
        </w:r>
        <w:r>
          <w:t>29</w:t>
        </w:r>
        <w:r>
          <w:fldChar w:fldCharType="end"/>
        </w:r>
      </w:hyperlink>
    </w:p>
    <w:p>
      <w:pPr>
        <w:pStyle w:val="TOC1"/>
        <w:tabs>
          <w:tab w:val="right" w:leader="dot" w:pos="8306"/>
        </w:tabs>
      </w:pPr>
      <w:hyperlink w:anchor="_Toc24733" w:history="1">
        <w:r>
          <w:rPr>
            <w:rFonts w:ascii="仿宋" w:eastAsia="仿宋" w:hAnsi="仿宋" w:cs="仿宋" w:hint="eastAsia"/>
            <w:lang w:eastAsia="zh-CN"/>
          </w:rPr>
          <w:t>九、电晕笔项目风险管理</w:t>
        </w:r>
        <w:r>
          <w:tab/>
        </w:r>
        <w:r>
          <w:fldChar w:fldCharType="begin"/>
        </w:r>
        <w:r>
          <w:instrText xml:space="preserve"> PAGEREF _Toc24733 \h </w:instrText>
        </w:r>
        <w:r>
          <w:fldChar w:fldCharType="separate"/>
        </w:r>
        <w:r>
          <w:t>30</w:t>
        </w:r>
        <w:r>
          <w:fldChar w:fldCharType="end"/>
        </w:r>
      </w:hyperlink>
    </w:p>
    <w:p>
      <w:pPr>
        <w:pStyle w:val="TOC2"/>
        <w:tabs>
          <w:tab w:val="right" w:leader="dot" w:pos="8306"/>
        </w:tabs>
      </w:pPr>
      <w:hyperlink w:anchor="_Toc31974" w:history="1">
        <w:r>
          <w:rPr>
            <w:rFonts w:ascii="仿宋" w:eastAsia="仿宋" w:hAnsi="仿宋" w:cs="仿宋" w:hint="eastAsia"/>
            <w:lang w:eastAsia="zh-CN"/>
          </w:rPr>
          <w:t>(一)、风险识别与评估</w:t>
        </w:r>
        <w:r>
          <w:tab/>
        </w:r>
        <w:r>
          <w:fldChar w:fldCharType="begin"/>
        </w:r>
        <w:r>
          <w:instrText xml:space="preserve"> PAGEREF _Toc31974 \h </w:instrText>
        </w:r>
        <w:r>
          <w:fldChar w:fldCharType="separate"/>
        </w:r>
        <w:r>
          <w:t>30</w:t>
        </w:r>
        <w:r>
          <w:fldChar w:fldCharType="end"/>
        </w:r>
      </w:hyperlink>
    </w:p>
    <w:p>
      <w:pPr>
        <w:pStyle w:val="TOC2"/>
        <w:tabs>
          <w:tab w:val="right" w:leader="dot" w:pos="8306"/>
        </w:tabs>
      </w:pPr>
      <w:hyperlink w:anchor="_Toc24013" w:history="1">
        <w:r>
          <w:rPr>
            <w:rFonts w:ascii="仿宋" w:eastAsia="仿宋" w:hAnsi="仿宋" w:cs="仿宋" w:hint="eastAsia"/>
            <w:lang w:eastAsia="zh-CN"/>
          </w:rPr>
          <w:t>(二)、风险应对策略</w:t>
        </w:r>
        <w:r>
          <w:tab/>
        </w:r>
        <w:r>
          <w:fldChar w:fldCharType="begin"/>
        </w:r>
        <w:r>
          <w:instrText xml:space="preserve"> PAGEREF _Toc24013 \h </w:instrText>
        </w:r>
        <w:r>
          <w:fldChar w:fldCharType="separate"/>
        </w:r>
        <w:r>
          <w:t>31</w:t>
        </w:r>
        <w:r>
          <w:fldChar w:fldCharType="end"/>
        </w:r>
      </w:hyperlink>
    </w:p>
    <w:p>
      <w:pPr>
        <w:pStyle w:val="TOC2"/>
        <w:tabs>
          <w:tab w:val="right" w:leader="dot" w:pos="8306"/>
        </w:tabs>
      </w:pPr>
      <w:hyperlink w:anchor="_Toc32065" w:history="1">
        <w:r>
          <w:rPr>
            <w:rFonts w:ascii="仿宋" w:eastAsia="仿宋" w:hAnsi="仿宋" w:cs="仿宋" w:hint="eastAsia"/>
            <w:lang w:eastAsia="zh-CN"/>
          </w:rPr>
          <w:t>(三)、风险监控与控制</w:t>
        </w:r>
        <w:r>
          <w:tab/>
        </w:r>
        <w:r>
          <w:fldChar w:fldCharType="begin"/>
        </w:r>
        <w:r>
          <w:instrText xml:space="preserve"> PAGEREF _Toc32065 \h </w:instrText>
        </w:r>
        <w:r>
          <w:fldChar w:fldCharType="separate"/>
        </w:r>
        <w:r>
          <w:t>33</w:t>
        </w:r>
        <w:r>
          <w:fldChar w:fldCharType="end"/>
        </w:r>
      </w:hyperlink>
    </w:p>
    <w:p>
      <w:pPr>
        <w:pStyle w:val="TOC1"/>
        <w:tabs>
          <w:tab w:val="right" w:leader="dot" w:pos="8306"/>
        </w:tabs>
      </w:pPr>
      <w:hyperlink w:anchor="_Toc28185" w:history="1">
        <w:r>
          <w:rPr>
            <w:rFonts w:ascii="仿宋" w:eastAsia="仿宋" w:hAnsi="仿宋" w:cs="仿宋" w:hint="eastAsia"/>
            <w:lang w:eastAsia="zh-CN"/>
          </w:rPr>
          <w:t>十、电晕笔项目创新与研发</w:t>
        </w:r>
        <w:r>
          <w:tab/>
        </w:r>
        <w:r>
          <w:fldChar w:fldCharType="begin"/>
        </w:r>
        <w:r>
          <w:instrText xml:space="preserve"> PAGEREF _Toc28185 \h </w:instrText>
        </w:r>
        <w:r>
          <w:fldChar w:fldCharType="separate"/>
        </w:r>
        <w:r>
          <w:t>34</w:t>
        </w:r>
        <w:r>
          <w:fldChar w:fldCharType="end"/>
        </w:r>
      </w:hyperlink>
    </w:p>
    <w:p>
      <w:pPr>
        <w:pStyle w:val="TOC2"/>
        <w:tabs>
          <w:tab w:val="right" w:leader="dot" w:pos="8306"/>
        </w:tabs>
      </w:pPr>
      <w:hyperlink w:anchor="_Toc11497" w:history="1">
        <w:r>
          <w:rPr>
            <w:rFonts w:ascii="仿宋" w:eastAsia="仿宋" w:hAnsi="仿宋" w:cs="仿宋" w:hint="eastAsia"/>
            <w:lang w:eastAsia="zh-CN"/>
          </w:rPr>
          <w:t>(一)、创新策略与方向</w:t>
        </w:r>
        <w:r>
          <w:tab/>
        </w:r>
        <w:r>
          <w:fldChar w:fldCharType="begin"/>
        </w:r>
        <w:r>
          <w:instrText xml:space="preserve"> PAGEREF _Toc11497 \h </w:instrText>
        </w:r>
        <w:r>
          <w:fldChar w:fldCharType="separate"/>
        </w:r>
        <w:r>
          <w:t>34</w:t>
        </w:r>
        <w:r>
          <w:fldChar w:fldCharType="end"/>
        </w:r>
      </w:hyperlink>
    </w:p>
    <w:p>
      <w:pPr>
        <w:pStyle w:val="TOC2"/>
        <w:tabs>
          <w:tab w:val="right" w:leader="dot" w:pos="8306"/>
        </w:tabs>
      </w:pPr>
      <w:hyperlink w:anchor="_Toc32674" w:history="1">
        <w:r>
          <w:rPr>
            <w:rFonts w:ascii="仿宋" w:eastAsia="仿宋" w:hAnsi="仿宋" w:cs="仿宋" w:hint="eastAsia"/>
            <w:lang w:eastAsia="zh-CN"/>
          </w:rPr>
          <w:t>(二)、研发规划与投入</w:t>
        </w:r>
        <w:r>
          <w:tab/>
        </w:r>
        <w:r>
          <w:fldChar w:fldCharType="begin"/>
        </w:r>
        <w:r>
          <w:instrText xml:space="preserve"> PAGEREF _Toc32674 \h </w:instrText>
        </w:r>
        <w:r>
          <w:fldChar w:fldCharType="separate"/>
        </w:r>
        <w:r>
          <w:t>35</w:t>
        </w:r>
        <w:r>
          <w:fldChar w:fldCharType="end"/>
        </w:r>
      </w:hyperlink>
    </w:p>
    <w:p>
      <w:pPr>
        <w:pStyle w:val="TOC1"/>
        <w:tabs>
          <w:tab w:val="right" w:leader="dot" w:pos="8306"/>
        </w:tabs>
      </w:pPr>
      <w:hyperlink w:anchor="_Toc20583" w:history="1">
        <w:r>
          <w:rPr>
            <w:rFonts w:ascii="仿宋" w:eastAsia="仿宋" w:hAnsi="仿宋" w:cs="仿宋" w:hint="eastAsia"/>
            <w:lang w:eastAsia="zh-CN"/>
          </w:rPr>
          <w:t>十一、生产安全保护</w:t>
        </w:r>
        <w:r>
          <w:tab/>
        </w:r>
        <w:r>
          <w:fldChar w:fldCharType="begin"/>
        </w:r>
        <w:r>
          <w:instrText xml:space="preserve"> PAGEREF _Toc20583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9" w:history="1">
        <w:r>
          <w:rPr>
            <w:rFonts w:ascii="仿宋" w:eastAsia="仿宋" w:hAnsi="仿宋" w:cs="仿宋" w:hint="eastAsia"/>
            <w:lang w:eastAsia="zh-CN"/>
          </w:rPr>
          <w:t>(一)、消防安全</w:t>
        </w:r>
        <w:r>
          <w:tab/>
        </w:r>
        <w:r>
          <w:fldChar w:fldCharType="begin"/>
        </w:r>
        <w:r>
          <w:instrText xml:space="preserve"> PAGEREF _Toc24569 \h </w:instrText>
        </w:r>
        <w:r>
          <w:fldChar w:fldCharType="separate"/>
        </w:r>
        <w:r>
          <w:t>37</w:t>
        </w:r>
        <w:r>
          <w:fldChar w:fldCharType="end"/>
        </w:r>
      </w:hyperlink>
    </w:p>
    <w:p>
      <w:pPr>
        <w:pStyle w:val="TOC2"/>
        <w:tabs>
          <w:tab w:val="right" w:leader="dot" w:pos="8306"/>
        </w:tabs>
      </w:pPr>
      <w:hyperlink w:anchor="_Toc21902" w:history="1">
        <w:r>
          <w:rPr>
            <w:rFonts w:ascii="仿宋" w:eastAsia="仿宋" w:hAnsi="仿宋" w:cs="仿宋" w:hint="eastAsia"/>
            <w:lang w:eastAsia="zh-CN"/>
          </w:rPr>
          <w:t>(二)、防火防爆总图布置措施</w:t>
        </w:r>
        <w:r>
          <w:tab/>
        </w:r>
        <w:r>
          <w:fldChar w:fldCharType="begin"/>
        </w:r>
        <w:r>
          <w:instrText xml:space="preserve"> PAGEREF _Toc21902 \h </w:instrText>
        </w:r>
        <w:r>
          <w:fldChar w:fldCharType="separate"/>
        </w:r>
        <w:r>
          <w:t>38</w:t>
        </w:r>
        <w:r>
          <w:fldChar w:fldCharType="end"/>
        </w:r>
      </w:hyperlink>
    </w:p>
    <w:p>
      <w:pPr>
        <w:pStyle w:val="TOC2"/>
        <w:tabs>
          <w:tab w:val="right" w:leader="dot" w:pos="8306"/>
        </w:tabs>
      </w:pPr>
      <w:hyperlink w:anchor="_Toc18976" w:history="1">
        <w:r>
          <w:rPr>
            <w:rFonts w:ascii="仿宋" w:eastAsia="仿宋" w:hAnsi="仿宋" w:cs="仿宋" w:hint="eastAsia"/>
            <w:lang w:eastAsia="zh-CN"/>
          </w:rPr>
          <w:t>(三)、自然灾害防范措施</w:t>
        </w:r>
        <w:r>
          <w:tab/>
        </w:r>
        <w:r>
          <w:fldChar w:fldCharType="begin"/>
        </w:r>
        <w:r>
          <w:instrText xml:space="preserve"> PAGEREF _Toc18976 \h </w:instrText>
        </w:r>
        <w:r>
          <w:fldChar w:fldCharType="separate"/>
        </w:r>
        <w:r>
          <w:t>39</w:t>
        </w:r>
        <w:r>
          <w:fldChar w:fldCharType="end"/>
        </w:r>
      </w:hyperlink>
    </w:p>
    <w:p>
      <w:pPr>
        <w:pStyle w:val="TOC2"/>
        <w:tabs>
          <w:tab w:val="right" w:leader="dot" w:pos="8306"/>
        </w:tabs>
      </w:pPr>
      <w:hyperlink w:anchor="_Toc26091" w:history="1">
        <w:r>
          <w:rPr>
            <w:rFonts w:ascii="仿宋" w:eastAsia="仿宋" w:hAnsi="仿宋" w:cs="仿宋" w:hint="eastAsia"/>
            <w:lang w:eastAsia="zh-CN"/>
          </w:rPr>
          <w:t>(四)、安全色及安全标志使用要求</w:t>
        </w:r>
        <w:r>
          <w:tab/>
        </w:r>
        <w:r>
          <w:fldChar w:fldCharType="begin"/>
        </w:r>
        <w:r>
          <w:instrText xml:space="preserve"> PAGEREF _Toc26091 \h </w:instrText>
        </w:r>
        <w:r>
          <w:fldChar w:fldCharType="separate"/>
        </w:r>
        <w:r>
          <w:t>40</w:t>
        </w:r>
        <w:r>
          <w:fldChar w:fldCharType="end"/>
        </w:r>
      </w:hyperlink>
    </w:p>
    <w:p>
      <w:pPr>
        <w:pStyle w:val="TOC2"/>
        <w:tabs>
          <w:tab w:val="right" w:leader="dot" w:pos="8306"/>
        </w:tabs>
      </w:pPr>
      <w:hyperlink w:anchor="_Toc31159" w:history="1">
        <w:r>
          <w:rPr>
            <w:rFonts w:ascii="仿宋" w:eastAsia="仿宋" w:hAnsi="仿宋" w:cs="仿宋" w:hint="eastAsia"/>
            <w:lang w:eastAsia="zh-CN"/>
          </w:rPr>
          <w:t>(五)、防尘防毒措施</w:t>
        </w:r>
        <w:r>
          <w:tab/>
        </w:r>
        <w:r>
          <w:fldChar w:fldCharType="begin"/>
        </w:r>
        <w:r>
          <w:instrText xml:space="preserve"> PAGEREF _Toc31159 \h </w:instrText>
        </w:r>
        <w:r>
          <w:fldChar w:fldCharType="separate"/>
        </w:r>
        <w:r>
          <w:t>41</w:t>
        </w:r>
        <w:r>
          <w:fldChar w:fldCharType="end"/>
        </w:r>
      </w:hyperlink>
    </w:p>
    <w:p>
      <w:pPr>
        <w:pStyle w:val="TOC2"/>
        <w:tabs>
          <w:tab w:val="right" w:leader="dot" w:pos="8306"/>
        </w:tabs>
      </w:pPr>
      <w:hyperlink w:anchor="_Toc19899" w:history="1">
        <w:r>
          <w:rPr>
            <w:rFonts w:ascii="仿宋" w:eastAsia="仿宋" w:hAnsi="仿宋" w:cs="仿宋" w:hint="eastAsia"/>
            <w:lang w:eastAsia="zh-CN"/>
          </w:rPr>
          <w:t>(六)、防静电、触电防护及防雷措施</w:t>
        </w:r>
        <w:r>
          <w:tab/>
        </w:r>
        <w:r>
          <w:fldChar w:fldCharType="begin"/>
        </w:r>
        <w:r>
          <w:instrText xml:space="preserve"> PAGEREF _Toc19899 \h </w:instrText>
        </w:r>
        <w:r>
          <w:fldChar w:fldCharType="separate"/>
        </w:r>
        <w:r>
          <w:t>42</w:t>
        </w:r>
        <w:r>
          <w:fldChar w:fldCharType="end"/>
        </w:r>
      </w:hyperlink>
    </w:p>
    <w:p>
      <w:pPr>
        <w:pStyle w:val="TOC2"/>
        <w:tabs>
          <w:tab w:val="right" w:leader="dot" w:pos="8306"/>
        </w:tabs>
      </w:pPr>
      <w:hyperlink w:anchor="_Toc5280" w:history="1">
        <w:r>
          <w:rPr>
            <w:rFonts w:ascii="仿宋" w:eastAsia="仿宋" w:hAnsi="仿宋" w:cs="仿宋" w:hint="eastAsia"/>
            <w:lang w:eastAsia="zh-CN"/>
          </w:rPr>
          <w:t>(七)、机械设备安全保障措施</w:t>
        </w:r>
        <w:r>
          <w:tab/>
        </w:r>
        <w:r>
          <w:fldChar w:fldCharType="begin"/>
        </w:r>
        <w:r>
          <w:instrText xml:space="preserve"> PAGEREF _Toc5280 \h </w:instrText>
        </w:r>
        <w:r>
          <w:fldChar w:fldCharType="separate"/>
        </w:r>
        <w:r>
          <w:t>43</w:t>
        </w:r>
        <w:r>
          <w:fldChar w:fldCharType="end"/>
        </w:r>
      </w:hyperlink>
    </w:p>
    <w:p>
      <w:pPr>
        <w:pStyle w:val="TOC1"/>
        <w:tabs>
          <w:tab w:val="right" w:leader="dot" w:pos="8306"/>
        </w:tabs>
      </w:pPr>
      <w:hyperlink w:anchor="_Toc25489" w:history="1">
        <w:r>
          <w:rPr>
            <w:rFonts w:ascii="仿宋" w:eastAsia="仿宋" w:hAnsi="仿宋" w:cs="仿宋" w:hint="eastAsia"/>
            <w:lang w:eastAsia="zh-CN"/>
          </w:rPr>
          <w:t>十二、电晕笔项目人力资源管理</w:t>
        </w:r>
        <w:r>
          <w:tab/>
        </w:r>
        <w:r>
          <w:fldChar w:fldCharType="begin"/>
        </w:r>
        <w:r>
          <w:instrText xml:space="preserve"> PAGEREF _Toc25489 \h </w:instrText>
        </w:r>
        <w:r>
          <w:fldChar w:fldCharType="separate"/>
        </w:r>
        <w:r>
          <w:t>45</w:t>
        </w:r>
        <w:r>
          <w:fldChar w:fldCharType="end"/>
        </w:r>
      </w:hyperlink>
    </w:p>
    <w:p>
      <w:pPr>
        <w:pStyle w:val="TOC2"/>
        <w:tabs>
          <w:tab w:val="right" w:leader="dot" w:pos="8306"/>
        </w:tabs>
      </w:pPr>
      <w:hyperlink w:anchor="_Toc1681" w:history="1">
        <w:r>
          <w:rPr>
            <w:rFonts w:ascii="仿宋" w:eastAsia="仿宋" w:hAnsi="仿宋" w:cs="仿宋" w:hint="eastAsia"/>
            <w:lang w:eastAsia="zh-CN"/>
          </w:rPr>
          <w:t>(一)、建立健全的预算管理制度</w:t>
        </w:r>
        <w:r>
          <w:tab/>
        </w:r>
        <w:r>
          <w:fldChar w:fldCharType="begin"/>
        </w:r>
        <w:r>
          <w:instrText xml:space="preserve"> PAGEREF _Toc1681 \h </w:instrText>
        </w:r>
        <w:r>
          <w:fldChar w:fldCharType="separate"/>
        </w:r>
        <w:r>
          <w:t>45</w:t>
        </w:r>
        <w:r>
          <w:fldChar w:fldCharType="end"/>
        </w:r>
      </w:hyperlink>
    </w:p>
    <w:p>
      <w:pPr>
        <w:pStyle w:val="TOC2"/>
        <w:tabs>
          <w:tab w:val="right" w:leader="dot" w:pos="8306"/>
        </w:tabs>
      </w:pPr>
      <w:hyperlink w:anchor="_Toc15879" w:history="1">
        <w:r>
          <w:rPr>
            <w:rFonts w:ascii="仿宋" w:eastAsia="仿宋" w:hAnsi="仿宋" w:cs="仿宋" w:hint="eastAsia"/>
            <w:lang w:eastAsia="zh-CN"/>
          </w:rPr>
          <w:t>(二)、加强资金流动监控</w:t>
        </w:r>
        <w:r>
          <w:tab/>
        </w:r>
        <w:r>
          <w:fldChar w:fldCharType="begin"/>
        </w:r>
        <w:r>
          <w:instrText xml:space="preserve"> PAGEREF _Toc15879 \h </w:instrText>
        </w:r>
        <w:r>
          <w:fldChar w:fldCharType="separate"/>
        </w:r>
        <w:r>
          <w:t>46</w:t>
        </w:r>
        <w:r>
          <w:fldChar w:fldCharType="end"/>
        </w:r>
      </w:hyperlink>
    </w:p>
    <w:p>
      <w:pPr>
        <w:pStyle w:val="TOC2"/>
        <w:tabs>
          <w:tab w:val="right" w:leader="dot" w:pos="8306"/>
        </w:tabs>
      </w:pPr>
      <w:hyperlink w:anchor="_Toc1651" w:history="1">
        <w:r>
          <w:rPr>
            <w:rFonts w:ascii="仿宋" w:eastAsia="仿宋" w:hAnsi="仿宋" w:cs="仿宋" w:hint="eastAsia"/>
            <w:lang w:eastAsia="zh-CN"/>
          </w:rPr>
          <w:t>(三)、制定完善的风险控制机制</w:t>
        </w:r>
        <w:r>
          <w:tab/>
        </w:r>
        <w:r>
          <w:fldChar w:fldCharType="begin"/>
        </w:r>
        <w:r>
          <w:instrText xml:space="preserve"> PAGEREF _Toc1651 \h </w:instrText>
        </w:r>
        <w:r>
          <w:fldChar w:fldCharType="separate"/>
        </w:r>
        <w:r>
          <w:t>47</w:t>
        </w:r>
        <w:r>
          <w:fldChar w:fldCharType="end"/>
        </w:r>
      </w:hyperlink>
    </w:p>
    <w:p>
      <w:pPr>
        <w:pStyle w:val="TOC2"/>
        <w:tabs>
          <w:tab w:val="right" w:leader="dot" w:pos="8306"/>
        </w:tabs>
      </w:pPr>
      <w:hyperlink w:anchor="_Toc12344" w:history="1">
        <w:r>
          <w:rPr>
            <w:rFonts w:ascii="仿宋" w:eastAsia="仿宋" w:hAnsi="仿宋" w:cs="仿宋" w:hint="eastAsia"/>
            <w:lang w:eastAsia="zh-CN"/>
          </w:rPr>
          <w:t>(四)、优化成本管理</w:t>
        </w:r>
        <w:r>
          <w:tab/>
        </w:r>
        <w:r>
          <w:fldChar w:fldCharType="begin"/>
        </w:r>
        <w:r>
          <w:instrText xml:space="preserve"> PAGEREF _Toc12344 \h </w:instrText>
        </w:r>
        <w:r>
          <w:fldChar w:fldCharType="separate"/>
        </w:r>
        <w:r>
          <w:t>49</w:t>
        </w:r>
        <w:r>
          <w:fldChar w:fldCharType="end"/>
        </w:r>
      </w:hyperlink>
    </w:p>
    <w:p>
      <w:pPr>
        <w:pStyle w:val="TOC1"/>
        <w:tabs>
          <w:tab w:val="right" w:leader="dot" w:pos="8306"/>
        </w:tabs>
      </w:pPr>
      <w:hyperlink w:anchor="_Toc31615" w:history="1">
        <w:r>
          <w:rPr>
            <w:rFonts w:ascii="仿宋" w:eastAsia="仿宋" w:hAnsi="仿宋" w:cs="仿宋" w:hint="eastAsia"/>
            <w:lang w:eastAsia="zh-CN"/>
          </w:rPr>
          <w:t>十三、利益相关者分析与沟通计划</w:t>
        </w:r>
        <w:r>
          <w:tab/>
        </w:r>
        <w:r>
          <w:fldChar w:fldCharType="begin"/>
        </w:r>
        <w:r>
          <w:instrText xml:space="preserve"> PAGEREF _Toc31615 \h </w:instrText>
        </w:r>
        <w:r>
          <w:fldChar w:fldCharType="separate"/>
        </w:r>
        <w:r>
          <w:t>50</w:t>
        </w:r>
        <w:r>
          <w:fldChar w:fldCharType="end"/>
        </w:r>
      </w:hyperlink>
    </w:p>
    <w:p>
      <w:pPr>
        <w:pStyle w:val="TOC2"/>
        <w:tabs>
          <w:tab w:val="right" w:leader="dot" w:pos="8306"/>
        </w:tabs>
      </w:pPr>
      <w:hyperlink w:anchor="_Toc2775" w:history="1">
        <w:r>
          <w:rPr>
            <w:rFonts w:ascii="仿宋" w:eastAsia="仿宋" w:hAnsi="仿宋" w:cs="仿宋" w:hint="eastAsia"/>
            <w:lang w:eastAsia="zh-CN"/>
          </w:rPr>
          <w:t>(一)、利益相关者分析</w:t>
        </w:r>
        <w:r>
          <w:tab/>
        </w:r>
        <w:r>
          <w:fldChar w:fldCharType="begin"/>
        </w:r>
        <w:r>
          <w:instrText xml:space="preserve"> PAGEREF _Toc2775 \h </w:instrText>
        </w:r>
        <w:r>
          <w:fldChar w:fldCharType="separate"/>
        </w:r>
        <w:r>
          <w:t>50</w:t>
        </w:r>
        <w:r>
          <w:fldChar w:fldCharType="end"/>
        </w:r>
      </w:hyperlink>
    </w:p>
    <w:p>
      <w:pPr>
        <w:pStyle w:val="TOC2"/>
        <w:tabs>
          <w:tab w:val="right" w:leader="dot" w:pos="8306"/>
        </w:tabs>
      </w:pPr>
      <w:hyperlink w:anchor="_Toc26742" w:history="1">
        <w:r>
          <w:rPr>
            <w:rFonts w:ascii="仿宋" w:eastAsia="仿宋" w:hAnsi="仿宋" w:cs="仿宋" w:hint="eastAsia"/>
            <w:lang w:eastAsia="zh-CN"/>
          </w:rPr>
          <w:t>(二)、沟通计划</w:t>
        </w:r>
        <w:r>
          <w:tab/>
        </w:r>
        <w:r>
          <w:fldChar w:fldCharType="begin"/>
        </w:r>
        <w:r>
          <w:instrText xml:space="preserve"> PAGEREF _Toc26742 \h </w:instrText>
        </w:r>
        <w:r>
          <w:fldChar w:fldCharType="separate"/>
        </w:r>
        <w:r>
          <w:t>51</w:t>
        </w:r>
        <w:r>
          <w:fldChar w:fldCharType="end"/>
        </w:r>
      </w:hyperlink>
    </w:p>
    <w:p>
      <w:pPr>
        <w:pStyle w:val="TOC1"/>
        <w:tabs>
          <w:tab w:val="right" w:leader="dot" w:pos="8306"/>
        </w:tabs>
      </w:pPr>
      <w:hyperlink w:anchor="_Toc20247" w:history="1">
        <w:r>
          <w:rPr>
            <w:rFonts w:ascii="仿宋" w:eastAsia="仿宋" w:hAnsi="仿宋" w:cs="仿宋" w:hint="eastAsia"/>
            <w:lang w:eastAsia="zh-CN"/>
          </w:rPr>
          <w:t>十四、电晕笔项目实施保障措施</w:t>
        </w:r>
        <w:r>
          <w:tab/>
        </w:r>
        <w:r>
          <w:fldChar w:fldCharType="begin"/>
        </w:r>
        <w:r>
          <w:instrText xml:space="preserve"> PAGEREF _Toc20247 \h </w:instrText>
        </w:r>
        <w:r>
          <w:fldChar w:fldCharType="separate"/>
        </w:r>
        <w:r>
          <w:t>52</w:t>
        </w:r>
        <w:r>
          <w:fldChar w:fldCharType="end"/>
        </w:r>
      </w:hyperlink>
    </w:p>
    <w:p>
      <w:pPr>
        <w:pStyle w:val="TOC2"/>
        <w:tabs>
          <w:tab w:val="right" w:leader="dot" w:pos="8306"/>
        </w:tabs>
      </w:pPr>
      <w:hyperlink w:anchor="_Toc30056" w:history="1">
        <w:r>
          <w:rPr>
            <w:rFonts w:ascii="仿宋" w:eastAsia="仿宋" w:hAnsi="仿宋" w:cs="仿宋" w:hint="eastAsia"/>
            <w:lang w:eastAsia="zh-CN"/>
          </w:rPr>
          <w:t>(一)、电晕笔项目实施保障机制</w:t>
        </w:r>
        <w:r>
          <w:tab/>
        </w:r>
        <w:r>
          <w:fldChar w:fldCharType="begin"/>
        </w:r>
        <w:r>
          <w:instrText xml:space="preserve"> PAGEREF _Toc30056 \h </w:instrText>
        </w:r>
        <w:r>
          <w:fldChar w:fldCharType="separate"/>
        </w:r>
        <w:r>
          <w:t>52</w:t>
        </w:r>
        <w:r>
          <w:fldChar w:fldCharType="end"/>
        </w:r>
      </w:hyperlink>
    </w:p>
    <w:p>
      <w:pPr>
        <w:pStyle w:val="TOC2"/>
        <w:tabs>
          <w:tab w:val="right" w:leader="dot" w:pos="8306"/>
        </w:tabs>
      </w:pPr>
      <w:hyperlink w:anchor="_Toc10694" w:history="1">
        <w:r>
          <w:rPr>
            <w:rFonts w:ascii="仿宋" w:eastAsia="仿宋" w:hAnsi="仿宋" w:cs="仿宋" w:hint="eastAsia"/>
            <w:lang w:eastAsia="zh-CN"/>
          </w:rPr>
          <w:t>(二)、电晕笔项目法律合规要求</w:t>
        </w:r>
        <w:r>
          <w:tab/>
        </w:r>
        <w:r>
          <w:fldChar w:fldCharType="begin"/>
        </w:r>
        <w:r>
          <w:instrText xml:space="preserve"> PAGEREF _Toc10694 \h </w:instrText>
        </w:r>
        <w:r>
          <w:fldChar w:fldCharType="separate"/>
        </w:r>
        <w:r>
          <w:t>56</w:t>
        </w:r>
        <w:r>
          <w:fldChar w:fldCharType="end"/>
        </w:r>
      </w:hyperlink>
    </w:p>
    <w:p>
      <w:pPr>
        <w:pStyle w:val="TOC2"/>
        <w:tabs>
          <w:tab w:val="right" w:leader="dot" w:pos="8306"/>
        </w:tabs>
      </w:pPr>
      <w:hyperlink w:anchor="_Toc13542" w:history="1">
        <w:r>
          <w:rPr>
            <w:rFonts w:ascii="仿宋" w:eastAsia="仿宋" w:hAnsi="仿宋" w:cs="仿宋" w:hint="eastAsia"/>
            <w:lang w:eastAsia="zh-CN"/>
          </w:rPr>
          <w:t>(三)、电晕笔项目合同管理与法律事务</w:t>
        </w:r>
        <w:r>
          <w:tab/>
        </w:r>
        <w:r>
          <w:fldChar w:fldCharType="begin"/>
        </w:r>
        <w:r>
          <w:instrText xml:space="preserve"> PAGEREF _Toc13542 \h </w:instrText>
        </w:r>
        <w:r>
          <w:fldChar w:fldCharType="separate"/>
        </w:r>
        <w:r>
          <w:t>60</w:t>
        </w:r>
        <w:r>
          <w:fldChar w:fldCharType="end"/>
        </w:r>
      </w:hyperlink>
    </w:p>
    <w:p>
      <w:pPr>
        <w:pStyle w:val="TOC2"/>
        <w:tabs>
          <w:tab w:val="right" w:leader="dot" w:pos="8306"/>
        </w:tabs>
      </w:pPr>
      <w:hyperlink w:anchor="_Toc71" w:history="1">
        <w:r>
          <w:rPr>
            <w:rFonts w:ascii="仿宋" w:eastAsia="仿宋" w:hAnsi="仿宋" w:cs="仿宋" w:hint="eastAsia"/>
            <w:lang w:eastAsia="zh-CN"/>
          </w:rPr>
          <w:t>(四)、电晕笔项目知识产权保护策略</w:t>
        </w:r>
        <w:r>
          <w:tab/>
        </w:r>
        <w:r>
          <w:fldChar w:fldCharType="begin"/>
        </w:r>
        <w:r>
          <w:instrText xml:space="preserve"> PAGEREF _Toc71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35"/>
      <w:r>
        <w:rPr>
          <w:rFonts w:ascii="仿宋" w:eastAsia="仿宋" w:hAnsi="仿宋" w:cs="仿宋" w:hint="eastAsia"/>
          <w:sz w:val="28"/>
          <w:lang w:eastAsia="zh-CN"/>
        </w:rPr>
        <w:t>一、电晕笔项目文档管理</w:t>
      </w:r>
      <w:bookmarkEnd w:id="2"/>
    </w:p>
    <w:p>
      <w:pPr>
        <w:pStyle w:val="Heading2"/>
        <w:rPr>
          <w:rFonts w:ascii="仿宋" w:eastAsia="仿宋" w:hAnsi="仿宋" w:cs="仿宋" w:hint="eastAsia"/>
          <w:lang w:eastAsia="zh-CN"/>
        </w:rPr>
      </w:pPr>
      <w:bookmarkStart w:id="3" w:name="_Toc106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电晕笔项目高度重视文档的质量和准确性，以支持电晕笔项目的各项活动和决策。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文档的编制始于电晕笔项目计划的初期，我们制定了详细的文档编制计划，明确了每个文档的内容、格式和编写责任人。在电晕笔项目启动阶段，我们首先编制了电晕笔项目章程，明确定义了电晕笔项目的目标、范围、风险等关键要素。随后，电晕笔项目团队根据计划陆续编制了需求文档、设计文档、测试文档等各类文档，确保电晕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晕笔项目管理中的重要环节，旨在确保电晕笔项目文档符合质量标准和电晕笔项目需求。在电晕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除了内部审查，我们还进行了外部审查，邀请电晕笔项目相关利益方和专业领域的专家对文档进行独立审查。这有助于获取更全面、客观的反馈，确保电晕笔项目文档不仅符合内部标准，也满足外部需求。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电晕笔项目在文档编制与审查方面建立了严格的管理机制，通过规范的流程和多维度的审查，确保电晕笔项目文档的质量、准确性和可靠性，为电晕笔项目的顺利推进提供了有力支持。</w:t>
      </w:r>
    </w:p>
    <w:p>
      <w:pPr>
        <w:pStyle w:val="Heading2"/>
        <w:ind w:firstLine="560" w:firstLineChars="200"/>
        <w:rPr>
          <w:rFonts w:ascii="仿宋" w:eastAsia="仿宋" w:hAnsi="仿宋" w:cs="仿宋" w:hint="eastAsia"/>
          <w:sz w:val="28"/>
          <w:lang w:eastAsia="zh-CN"/>
        </w:rPr>
      </w:pPr>
      <w:bookmarkStart w:id="4" w:name="_Toc119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我们通过多渠道发布文档，包括电子邮件、电晕笔项目管理平台、内部网站等，以满足不同团队成员的偏好和需求。多渠道发布确保了信息的全面覆盖。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我们采用了精细的权限控制，确保只有授权人员可以访问敏感信息。这种安全措施保护了电晕笔项目文档的机密性，防止了未经授权的信息泄露。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3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文档存档与归档是电晕笔项目生命周期中一个至关重要的环节，直接关系到电晕笔项目信息的长期保存和历史记录的完整性。在电晕笔项目中，我们实施了一系列有效的文档存档与归档管理策略：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61"/>
      <w:r>
        <w:rPr>
          <w:rFonts w:ascii="仿宋" w:eastAsia="仿宋" w:hAnsi="仿宋" w:cs="仿宋" w:hint="eastAsia"/>
          <w:sz w:val="28"/>
          <w:lang w:eastAsia="zh-CN"/>
        </w:rPr>
        <w:t>二、电晕笔项目建设背景及必要性分析</w:t>
      </w:r>
      <w:bookmarkEnd w:id="6"/>
    </w:p>
    <w:p>
      <w:pPr>
        <w:pStyle w:val="Heading2"/>
        <w:rPr>
          <w:rFonts w:ascii="仿宋" w:eastAsia="仿宋" w:hAnsi="仿宋" w:cs="仿宋" w:hint="eastAsia"/>
          <w:lang w:eastAsia="zh-CN"/>
        </w:rPr>
      </w:pPr>
      <w:bookmarkStart w:id="7" w:name="_Toc22668"/>
      <w:r>
        <w:rPr>
          <w:rFonts w:ascii="仿宋" w:eastAsia="仿宋" w:hAnsi="仿宋" w:cs="仿宋" w:hint="eastAsia"/>
          <w:lang w:eastAsia="zh-CN"/>
        </w:rPr>
        <w:t>(一)、电晕笔项目背景分析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晕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我们的背景分析将深入挖掘当前行业的发展趋势，通过对竞争态势的全面审视，找到电晕笔项目在这个潮流中的定位。同时，我们将关注行业内涌现的新兴机遇，以便电晕笔项目更好地融入行业发展的潮流中。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晕笔项目提供了强大的发展动力。我们将聚焦于行业内最新的技术发展趋势，包括但不限于人工智能、大数据分析、物联网等领域。通过深度的技术研究，我们将确保电晕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晕笔项目发展的源泉。我们将投入更多的精力对市场需求进行深入剖析，超越表面的需求，深入挖掘潜在的市场痛点和机遇。通过对市场需求的细致了解，电晕笔项目将更有针对性地设计解决方案，满足市场的多样化需求，从而更好地促进电晕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晕笔项目战略至关重要。我们将对竞争态势进行更为深入的分析，包括但不限于市场份额、产品特点、客户满意度等多个维度。通过深度的竞争分析，电晕笔项目将能够更准确地把握市场脉搏，制定具有竞争力的电晕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晕笔项目的发展具有直接的影响。我们将进行更为全面的法规和政策分析，了解行业发展中的潜在法律风险和合规挑战。通过充分了解和遵守相关法规，电晕笔项目将确保在法律框架内合法合规运营，为电晕笔项目的稳健发展提供有力支持。</w:t>
      </w:r>
    </w:p>
    <w:p>
      <w:pPr>
        <w:pStyle w:val="Heading2"/>
        <w:ind w:firstLine="560" w:firstLineChars="200"/>
        <w:rPr>
          <w:rFonts w:ascii="仿宋" w:eastAsia="仿宋" w:hAnsi="仿宋" w:cs="仿宋" w:hint="eastAsia"/>
          <w:sz w:val="28"/>
          <w:lang w:eastAsia="zh-CN"/>
        </w:rPr>
      </w:pPr>
      <w:bookmarkStart w:id="8" w:name="_Toc31217"/>
      <w:r>
        <w:rPr>
          <w:rFonts w:ascii="仿宋" w:eastAsia="仿宋" w:hAnsi="仿宋" w:cs="仿宋" w:hint="eastAsia"/>
          <w:sz w:val="28"/>
          <w:lang w:eastAsia="zh-CN"/>
        </w:rPr>
        <w:t>(二)、电晕笔项目建设必要性分析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迫切性源于对行业发展趋势的深刻洞察。我们正处于一个行业变革的时代，科技创新、数字化转型成为企业发展的关键动力。电晕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不仅仅是为了跟上潮流，更是为了通过技术创新推动企业的持续发展。通过引入先进的技术和解决方案，电晕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晕笔项目的建设成为必然选择，通过提高产品质量、拓展服务领域，从而在竞争中获得更多的机会。电晕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晕笔项目建设的必要性体现在对客户需求更精准的满足。通过电晕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背后是对企业持续创新的追求。只有通过不断创新，企业才能在竞争中立于不败之地。电晕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196"/>
      <w:r>
        <w:rPr>
          <w:rFonts w:ascii="仿宋" w:eastAsia="仿宋" w:hAnsi="仿宋" w:cs="仿宋" w:hint="eastAsia"/>
          <w:sz w:val="28"/>
          <w:lang w:eastAsia="zh-CN"/>
        </w:rPr>
        <w:t>三、电晕笔项目建设单位说明</w:t>
      </w:r>
      <w:bookmarkEnd w:id="9"/>
    </w:p>
    <w:p>
      <w:pPr>
        <w:pStyle w:val="Heading2"/>
        <w:rPr>
          <w:rFonts w:ascii="仿宋" w:eastAsia="仿宋" w:hAnsi="仿宋" w:cs="仿宋" w:hint="eastAsia"/>
          <w:lang w:eastAsia="zh-CN"/>
        </w:rPr>
      </w:pPr>
      <w:bookmarkStart w:id="10" w:name="_Toc19621"/>
      <w:r>
        <w:rPr>
          <w:rFonts w:ascii="仿宋" w:eastAsia="仿宋" w:hAnsi="仿宋" w:cs="仿宋" w:hint="eastAsia"/>
          <w:lang w:eastAsia="zh-CN"/>
        </w:rPr>
        <w:t>(一)、电晕笔项目承办单位基本情况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7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晕笔项目承办单位的XXXX，我们着眼于实现可持续的经济效益。通过技术创新和解决方案的提供，公司预计在电晕笔项目执行期间将获得可观的收入增长。这一收入来源主要包括电晕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同时，我们注重成本控制和效率提升，以确保电晕笔项目的可持续盈利。透过精细的管理和资源优化，公司期望实现电晕笔项目利润最大化。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晕笔项目实施进行全面的投资评估，包括电晕笔项目启动阶段的资金投入和后续运营成本。通过对电晕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晕笔项目实施过程中具备足够的资金流动性，公司将进行详尽的现金流分析。这包括资金需求的合理预测、电晕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93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5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电晕笔项目的主要产品是XXXX，预计年产值为XXX万元。这一产品在市场中占据着重要的地位，其广泛的应用范围使得该电晕笔项目的市场前景非常广阔。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电晕笔项目的xxx产品作为重要的原材料之一，将在多个领域发挥关键作用。其在建筑、交通、能源等方面的广泛应用将为整个产业链提供强大的支持，形成产业协同效应。电晕笔项目的年产值XXX万XXX万XXX万万元不仅反映了其在市场上的巨大潜力，更预示着它对国民经济的积极贡献。这种关联度高、涉及面广的产业关系，使得该电晕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58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总征地面积为XXXX平方米，相当于约XX.XX亩，其中净用地面积为XXXX平方米，红线范围内相当于约XX.XX亩。这一用地规模充分考虑了电晕笔项目的建设需求，保障了电晕笔项目在合适的空间内得以充分发展。电晕笔项目规划的总建筑面积为XXXX平方米，其中主体工程建设占XXXX平方米，计容建筑面积达XXXX平方米。预计建筑工程的投资将达到XXXX万元，为电晕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计划购置的设备共计XXXX台（套），设备购置费用为XXXX万元。这一设备购置计划充分考虑到电晕笔项目的生产需求和技术要求，确保了电晕笔项目在生产运营中具备先进的技术装备和高效的生产能力。设备的合理配置将为电晕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晕笔项目计划总投资为XXXX万元，预计年实现营业收入为XXXX万元。这一产能规模的设定旨在确保电晕笔项目能够在投资与回报之间取得平衡，实现长期可持续的发展。电晕笔项目的总投资充分考虑到各个方面的需求，包括用地建设、设备购置等多个环节，以确保电晕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30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9465"/>
      <w:r>
        <w:rPr>
          <w:rFonts w:ascii="仿宋" w:eastAsia="仿宋" w:hAnsi="仿宋" w:cs="仿宋" w:hint="eastAsia"/>
          <w:lang w:eastAsia="zh-CN"/>
        </w:rPr>
        <w:t>(一)、电晕笔行业分析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晕笔行业一直以来都是市场的关注焦点。行业内的发展趋势、竞争态势以及潜在机会都对电晕笔项目的推进产生深远的影响。通过深入研究行业的整体概貌，我们将更好地理解行业的核心特征，为电晕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行业，技术一直是推动创新和发展的关键因素。我们将对当前技术趋势进行详尽分析，包括但不限于人工智能、大数据应用、先进制造技术等。这有助于电晕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晕笔项目成功的基础。我们将对主要竞争对手进行深入研究，包括其市场份额、产品特点、市场定位等。通过全面了解竞争对手的优势和劣势，电晕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758"/>
      <w:r>
        <w:rPr>
          <w:rFonts w:ascii="仿宋" w:eastAsia="仿宋" w:hAnsi="仿宋" w:cs="仿宋" w:hint="eastAsia"/>
          <w:sz w:val="28"/>
          <w:lang w:eastAsia="zh-CN"/>
        </w:rPr>
        <w:t>(二)、电晕笔市场分析预测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通过对市场规模的深入调研，我们将预测电晕笔市场未来的增长趋势。这包括市场的整体规模、各细分领域的发展趋势等。电晕笔项目可以根据市场的扩张速度和潜在机会，制定更符合市场需求的发展策略。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了解消费者的需求是市场分析的核心。我们将通过调查研究，深入挖掘目标消费者的需求特点、购买习惯以及对产品和服务的期望。这有助于电晕笔项目更好地定位目标市场，提供更符合消费者期待的解决方案。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晕笔项目实施过程中需要充分考虑的因素。我们将对市场风险进行全面评估，包括但不限于政策法规风险、市场竞争风险、技术变革风险等。通过对潜在风险的深入分析，电晕笔项目可以制定相应的风险缓解策略，降低不确定性对电晕笔项目的影响。</w:t>
      </w:r>
    </w:p>
    <w:p>
      <w:pPr>
        <w:pStyle w:val="Heading1"/>
        <w:ind w:firstLine="560" w:firstLineChars="200"/>
        <w:rPr>
          <w:rFonts w:ascii="仿宋" w:eastAsia="仿宋" w:hAnsi="仿宋" w:cs="仿宋" w:hint="eastAsia"/>
          <w:sz w:val="28"/>
          <w:lang w:eastAsia="zh-CN"/>
        </w:rPr>
      </w:pPr>
      <w:bookmarkStart w:id="18" w:name="_Toc6397"/>
      <w:r>
        <w:rPr>
          <w:rFonts w:ascii="仿宋" w:eastAsia="仿宋" w:hAnsi="仿宋" w:cs="仿宋" w:hint="eastAsia"/>
          <w:sz w:val="28"/>
          <w:lang w:eastAsia="zh-CN"/>
        </w:rPr>
        <w:t>六、电晕笔项目绩效评估</w:t>
      </w:r>
      <w:bookmarkEnd w:id="18"/>
    </w:p>
    <w:p>
      <w:pPr>
        <w:pStyle w:val="Heading2"/>
        <w:rPr>
          <w:rFonts w:ascii="仿宋" w:eastAsia="仿宋" w:hAnsi="仿宋" w:cs="仿宋" w:hint="eastAsia"/>
          <w:lang w:eastAsia="zh-CN"/>
        </w:rPr>
      </w:pPr>
      <w:bookmarkStart w:id="19" w:name="_Toc1148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在电晕笔项目中，我们设计了一套全面的绩效评估指标，以确保电晕笔项目的可控和成功交付。这些指标跨足电晕笔项目目标、成本、进度和质量等多个维度，为我们提供了全面洞察电晕笔项目的健康状况。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目标达成率是我们关注的首要指标。我们设定了明确的目标，并通过定期监测和评估，迅速发现并应对潜在的目标偏差。这为电晕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成本绩效是另一个核心关注点。通过实际成本与预算成本的对比分析，我们深入了解成本差异的原因，及时调整资源分配，保持电晕笔项目在经济效益方面的合理水平。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进度作为关键的绩效指标之一，得到了精心的关注。我们制定了详细的电晕笔项目进度计划，并设立了进度符合度指标，确保实际进度与计划进度保持一致。这使我们能够快速发现和解决潜在的进度问题，保持电晕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晕笔项目绩效的不可或缺的一环。我们引入了一系列的质量标准和客户满意度指标，以确保电晕笔项目交付的成果在质量上达到或超越预期水平。通过持续监测这些指标，我们努力提升电晕笔项目整体质量水平，为电晕笔项目的成功交付提供有力保障。通过这些科学且全面的绩效评估，我们能够更好地引导电晕笔项目的持续改进，确保电晕笔项目目标的顺利达成。</w:t>
      </w:r>
    </w:p>
    <w:p>
      <w:pPr>
        <w:pStyle w:val="Heading2"/>
        <w:ind w:firstLine="560" w:firstLineChars="200"/>
        <w:rPr>
          <w:rFonts w:ascii="仿宋" w:eastAsia="仿宋" w:hAnsi="仿宋" w:cs="仿宋" w:hint="eastAsia"/>
          <w:sz w:val="28"/>
          <w:lang w:eastAsia="zh-CN"/>
        </w:rPr>
      </w:pPr>
      <w:bookmarkStart w:id="20" w:name="_Toc3218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绩效评估是电晕笔项目中的关键环节，为确保电晕笔项目达到预期目标，我们采用了多层次、多维度的绩效评估方法。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晕笔项目的战略目标对齐，确保每个决策和行动都与电晕笔项目整体目标保持一致。团队会定期召开战略对齐会议，审视当前工作与电晕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晕笔项目进度、质量、成本和风险等方面。这些指标通过数据收集和分析，为电晕笔项目管理团队提供了客观的评估依据。例如，我们通过电晕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绩效评估不仅仅停留在电晕笔项目内部，还考虑了电晕笔项目对外部环境的影响。我们定期进行干系人满意度调查，以了解各利益相关方对电晕笔项目的期望和满意度，并及时做出调整。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这种多层次、多角度的绩效评估方法，使得我们能够全面了解电晕笔项目的运行状态，及时做出调整，确保电晕笔项目在不断变化的环境中保持稳健前行。</w:t>
      </w:r>
    </w:p>
    <w:p>
      <w:pPr>
        <w:pStyle w:val="Heading2"/>
        <w:ind w:firstLine="560" w:firstLineChars="200"/>
        <w:rPr>
          <w:rFonts w:ascii="仿宋" w:eastAsia="仿宋" w:hAnsi="仿宋" w:cs="仿宋" w:hint="eastAsia"/>
          <w:sz w:val="28"/>
          <w:lang w:eastAsia="zh-CN"/>
        </w:rPr>
      </w:pPr>
      <w:bookmarkStart w:id="21" w:name="_Toc23845"/>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为了确保电晕笔项目的有效管理和不断优化，我们采用了精心设计的绩效评估周期。这个周期旨在实现灵活、实时和全面的评估，以适应电晕笔项目执行中的各种挑战。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https://d.book118.com/188074103137006025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B2380"/>
    <w:rsid w:val="6AEB2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4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2024-01-11T06:36:00Z</dcterms:created>
  <dcterms:modified xsi:type="dcterms:W3CDTF">2024-01-11T06:36:24Z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13E98621C6BC40C7BEC5BB51E9C7241B_11</vt:lpwstr>
  </property>
  <property fmtid="{D5CDD505-2E9C-101B-9397-08002B2CF9AE}" pid="3" name="KSOProductBuildVer">
    <vt:lpwstr>2052-12.1.0.16120</vt:lpwstr>
  </property>
</Properties>
</file>