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生鲜电商项目分析评价报告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一、生鲜电商项目绪论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(一)、生鲜电商项目名称及建设性质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(二)、生鲜电商项目承办单位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(三)、生鲜电商项目定位及建设理由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(五)、生鲜电商项目建设选址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(六)、生鲜电商项目生产规模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3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(九)、生鲜电商项目总投资及资金构成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(十一)、生鲜电商项目预期经济效益规划目标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5" w:history="1">
        <w:r>
          <w:rPr>
            <w:rFonts w:ascii="仿宋" w:eastAsia="仿宋" w:hAnsi="仿宋" w:cs="仿宋" w:hint="eastAsia"/>
            <w:lang w:eastAsia="zh-CN"/>
          </w:rPr>
          <w:t>(十二)、生鲜电商项目建设进度规划</w:t>
        </w:r>
        <w:r>
          <w:tab/>
        </w:r>
        <w:r>
          <w:fldChar w:fldCharType="begin"/>
        </w:r>
        <w:r>
          <w:instrText xml:space="preserve"> PAGEREF _Toc8645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(十三)、生鲜电商项目综合评价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二、生鲜电商运营管理及商业模式分析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(一)、生鲜电商数字化发展方案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(二)、生鲜电商新型运营方式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(三)、生鲜电商风险管理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_Toc8680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(七)、生鲜电商项目建设必要性分析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eastAsia="zh-CN"/>
          </w:rPr>
          <w:t>四、生鲜电商行业行业发展现状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9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_Toc28829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7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_Toc21727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_Toc20378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五、生鲜电商项目投资背景分析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六、生鲜电商项目文档管理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_Toc16827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七、生鲜电商危机管理与应对策略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6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_Toc8456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八、发展规划、产业政策和行业准入分析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九、生鲜电商项目可行性研究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十、生鲜电商项目选址可行性分析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(一)、生鲜电商项目选址原则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(二)、生鲜电商项目选址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十一、投资方案计划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(一)、生鲜电商项目估算说明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7" w:history="1">
        <w:r>
          <w:rPr>
            <w:rFonts w:ascii="仿宋" w:eastAsia="仿宋" w:hAnsi="仿宋" w:cs="仿宋" w:hint="eastAsia"/>
            <w:lang w:eastAsia="zh-CN"/>
          </w:rPr>
          <w:t>(二)、生鲜电商项目总投资估算</w:t>
        </w:r>
        <w:r>
          <w:tab/>
        </w:r>
        <w:r>
          <w:fldChar w:fldCharType="begin"/>
        </w:r>
        <w:r>
          <w:instrText xml:space="preserve"> PAGEREF _Toc11057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(二)、生鲜电商项目工程建设标准规范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(三)、生鲜电商项目总平面设计要求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十三、生鲜电商项目人力资源培养与发展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_Toc26613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十六、公司治理与法律合规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十七、生鲜电商行业企业过去战略的影响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(一)、生鲜电商行业企业过去战略的影响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十八、战略钟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十九、品质与服务体验优化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4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5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4" w:history="1">
        <w:r>
          <w:rPr>
            <w:rFonts w:ascii="仿宋" w:eastAsia="仿宋" w:hAnsi="仿宋" w:cs="仿宋" w:hint="eastAsia"/>
            <w:lang w:eastAsia="zh-CN"/>
          </w:rPr>
          <w:t>二十一、环保方案分析</w:t>
        </w:r>
        <w:r>
          <w:tab/>
        </w:r>
        <w:r>
          <w:fldChar w:fldCharType="begin"/>
        </w:r>
        <w:r>
          <w:instrText xml:space="preserve"> PAGEREF _Toc15564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_Toc6824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42"/>
      <w:r>
        <w:rPr>
          <w:rFonts w:ascii="仿宋" w:eastAsia="仿宋" w:hAnsi="仿宋" w:cs="仿宋" w:hint="eastAsia"/>
          <w:sz w:val="28"/>
          <w:lang w:eastAsia="zh-CN"/>
        </w:rPr>
        <w:t>一、生鲜电商项目绪论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96"/>
      <w:r>
        <w:rPr>
          <w:rFonts w:ascii="仿宋" w:eastAsia="仿宋" w:hAnsi="仿宋" w:cs="仿宋" w:hint="eastAsia"/>
          <w:lang w:eastAsia="zh-CN"/>
        </w:rPr>
        <w:t>(一)、生鲜电商项目名称及建设性质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(一) 项目的名字是生鲜电商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生鲜电商项目的本质是为了建设XXXX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30"/>
      <w:r>
        <w:rPr>
          <w:rFonts w:ascii="仿宋" w:eastAsia="仿宋" w:hAnsi="仿宋" w:cs="仿宋" w:hint="eastAsia"/>
          <w:sz w:val="28"/>
          <w:lang w:eastAsia="zh-CN"/>
        </w:rPr>
        <w:t>(二)、生鲜电商项目承办单位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(一)该项目的执行主体是生鲜电商。生鲜电商项目的实施任务由我们公司承担，我们拥有丰富的经验和专业的团队，致力于为客户提供高质量的服务。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(二)负责本生鲜电商项目的联络人是XX，他将提供详尽的关于该项目的信息给予客户。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https://d.book118.com/188076025002006045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生鲜电商项目分析评价报告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生鲜电商项目分析评价报告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生鲜电商项目分析评价报告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生鲜电商项目分析评价报告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生鲜电商项目分析评价报告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990C36"/>
    <w:rsid w:val="4593521B"/>
    <w:rsid w:val="6E990C3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07602500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2024-03-12T12:11:00Z</dcterms:created>
  <dcterms:modified xsi:type="dcterms:W3CDTF">2024-03-12T12:11:28Z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AD52025074C54374BE0B3394D38E2094_11</vt:lpwstr>
  </property>
  <property fmtid="{D5CDD505-2E9C-101B-9397-08002B2CF9AE}" pid="3" name="KSOProductBuildVer">
    <vt:lpwstr>2052-12.1.0.16399</vt:lpwstr>
  </property>
</Properties>
</file>