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B643C6">
        <w:rPr>
          <w:rFonts w:ascii="微软雅黑" w:eastAsia="微软雅黑" w:hAnsi="微软雅黑"/>
          <w:sz w:val="28"/>
          <w:szCs w:val="28"/>
        </w:rPr>
        <w:t>最新疫情期间送外卖文案(十一篇)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643C6">
        <w:rPr>
          <w:rFonts w:ascii="微软雅黑" w:eastAsia="微软雅黑" w:hAnsi="微软雅黑"/>
          <w:sz w:val="24"/>
          <w:szCs w:val="24"/>
        </w:rPr>
        <w:t xml:space="preserve"> 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最新疫情期间送外卖文案(十一篇)一</w:t>
        <w:br/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1、学校要安排专人对食堂工作人员及家庭成员的假期行程、身体健康状况、居住地、接触史等信息进行全面摸排,要建立台账;特别是从湖北或重点疫区返回西安的,做好登记。</w:t>
        <w:br/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2,做好相关食堂工作人员食品安全及防疫知识培训。</w:t>
        <w:br/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3.食堂工作人员要保持良好个人卫生,常洗手消毒,穿戴整洁的工作衣帽,不留长指甲、涂指甲油、佩带饰物。在进行操作时佩戴口罩、工作服、手套等个人防护用品。</w:t>
        <w:br/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4.强化配送人员健康监测、洗手消毒和配送设施的清洗消毒,配送人员配送时佩戴符合要求的口罩、手套。</w:t>
        <w:br/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餐厅属于人员密集区域,应加强空气流通,最大限度引入室外新鲜空气。</w:t>
        <w:br/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1.合理开启部分外窗,使餐厅具有良好的自然通风效果,加强室内外空气流通。</w:t>
        <w:br/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2.餐厅具体通风措施:</w:t>
        <w:br/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(1)就餐区窗户全部打开,每天下午收工后关闭。</w:t>
        <w:br/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(2)操作间及储藏室根据实际需求,实施开窗通风。</w:t>
        <w:br/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(3)通风时间:早上8:00,上午11:00,下午14:00三个阶段开启,每个阶段开启时间为30分钟。</w:t>
        <w:br/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1.新冠病毒消毒常用消毒剂:</w:t>
        <w:br/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氯化消毒类:84消毒液、双氧水等。</w:t>
        <w:br/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高浓度酒精:75%浓度的酒精(易燃,小规模使用)。</w:t>
        <w:br/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2.消毒方式: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喷雾式:用喷雾器喷洒消毒液进行表面消毒,适用大面积快速有效消毒。</w:t>
        <w:br/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擦拖式:用布或其它擦拭物浸以消毒剂溶液,擦拭物体表面进行消毒,适用小面积及物体表面消毒。</w:t>
        <w:br/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3.具体消毒工作实施表</w:t>
        <w:br/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位置消毒药剂消毒频率消毒方式</w:t>
        <w:br/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就餐区、出入口、过道84消毒液、75%酒精每日三次(早中晚各一次)喷雾及擦拖法</w:t>
        <w:br/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操作间、粗加工间84消毒液每日两次(午餐前收工后)擦拖法</w:t>
        <w:br/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储藏间84消毒液每日一次(收工后)擦拖法</w:t>
        <w:br/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餐厅门窗</w:t>
        <w:br/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84消毒液每日一次(早餐前)喷雾及擦拖法</w:t>
        <w:br/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垃圾桶</w:t>
        <w:br/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84消毒液每日两次(早晚各一次)喷雾</w:t>
        <w:br/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其它区域84消毒液每日不少于一次喷雾</w:t>
        <w:br/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4.餐厅设置专人实施消毒管理,并做好消毒记录。</w:t>
        <w:br/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1.对供货商加强监督,明确双方责任和义务。</w:t>
        <w:br/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2.制定原料采购控制清单,除禁止使用的原料外,不采购来源不明的家禽家畜或海鲜等,严禁采购食用野生动物。</w:t>
        <w:br/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3.健全原材料验收流程,严格食品及原料进货渠道,做好索证索票、收货查验、台账登记、按要求储存等工作。</w:t>
        <w:br/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</w:t>
      </w:r>
      <w:r w:rsidR="00B643C6">
        <w:rPr>
          <w:rFonts w:ascii="微软雅黑" w:eastAsia="微软雅黑" w:hAnsi="微软雅黑"/>
          <w:sz w:val="24"/>
          <w:szCs w:val="24"/>
        </w:rPr>
        <w:t xml:space="preserve"> 4.要求供货商的原料运输车辆应具备相关温度、湿度及分隔功能,车辆及运输容器定期清洗、消毒。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https://d.book118.com/188103134075006023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roman"/>
    <w:notTrueType/>
    <w:pitch w:val="default"/>
    <w:sig w:usb0="00000000" w:usb1="00000000" w:usb2="00000000" w:usb3="00000000" w:csb0="0000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B643C6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88103134075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3663</Words>
  <Characters>20883</Characters>
  <Application>Microsoft Office Word</Application>
  <DocSecurity>0</DocSecurity>
  <Lines>174</Lines>
  <Paragraphs>48</Paragraphs>
  <ScaleCrop>false</ScaleCrop>
  <Company/>
  <LinksUpToDate>false</LinksUpToDate>
  <CharactersWithSpaces>24498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