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文化艺术经纪代理服务项目规划设计方案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03" w:history="1">
        <w:r>
          <w:rPr>
            <w:rFonts w:ascii="仿宋" w:eastAsia="仿宋" w:hAnsi="仿宋" w:cs="仿宋" w:hint="eastAsia"/>
            <w:lang w:eastAsia="zh-CN"/>
          </w:rPr>
          <w:t>前言</w:t>
        </w:r>
        <w:r>
          <w:tab/>
        </w:r>
        <w:r>
          <w:fldChar w:fldCharType="begin"/>
        </w:r>
        <w:r>
          <w:instrText xml:space="preserve"> PAGEREF _Toc31503 \h </w:instrText>
        </w:r>
        <w:r>
          <w:fldChar w:fldCharType="separate"/>
        </w:r>
        <w:r>
          <w:t>3</w:t>
        </w:r>
        <w:r>
          <w:fldChar w:fldCharType="end"/>
        </w:r>
      </w:hyperlink>
    </w:p>
    <w:p>
      <w:pPr>
        <w:pStyle w:val="TOC1"/>
        <w:tabs>
          <w:tab w:val="right" w:leader="dot" w:pos="8306"/>
        </w:tabs>
      </w:pPr>
      <w:hyperlink w:anchor="_Toc7398" w:history="1">
        <w:r>
          <w:rPr>
            <w:rFonts w:ascii="仿宋" w:eastAsia="仿宋" w:hAnsi="仿宋" w:cs="仿宋" w:hint="eastAsia"/>
            <w:lang w:eastAsia="zh-CN"/>
          </w:rPr>
          <w:t>一、文化艺术经纪代理服务项目危机管理</w:t>
        </w:r>
        <w:r>
          <w:tab/>
        </w:r>
        <w:r>
          <w:fldChar w:fldCharType="begin"/>
        </w:r>
        <w:r>
          <w:instrText xml:space="preserve"> PAGEREF _Toc7398 \h </w:instrText>
        </w:r>
        <w:r>
          <w:fldChar w:fldCharType="separate"/>
        </w:r>
        <w:r>
          <w:t>3</w:t>
        </w:r>
        <w:r>
          <w:fldChar w:fldCharType="end"/>
        </w:r>
      </w:hyperlink>
    </w:p>
    <w:p>
      <w:pPr>
        <w:pStyle w:val="TOC2"/>
        <w:tabs>
          <w:tab w:val="right" w:leader="dot" w:pos="8306"/>
        </w:tabs>
      </w:pPr>
      <w:hyperlink w:anchor="_Toc28733" w:history="1">
        <w:r>
          <w:rPr>
            <w:rFonts w:ascii="仿宋" w:eastAsia="仿宋" w:hAnsi="仿宋" w:cs="仿宋" w:hint="eastAsia"/>
            <w:lang w:eastAsia="zh-CN"/>
          </w:rPr>
          <w:t>(一)、危机预警与识别</w:t>
        </w:r>
        <w:r>
          <w:tab/>
        </w:r>
        <w:r>
          <w:fldChar w:fldCharType="begin"/>
        </w:r>
        <w:r>
          <w:instrText xml:space="preserve"> PAGEREF _Toc28733 \h </w:instrText>
        </w:r>
        <w:r>
          <w:fldChar w:fldCharType="separate"/>
        </w:r>
        <w:r>
          <w:t>3</w:t>
        </w:r>
        <w:r>
          <w:fldChar w:fldCharType="end"/>
        </w:r>
      </w:hyperlink>
    </w:p>
    <w:p>
      <w:pPr>
        <w:pStyle w:val="TOC2"/>
        <w:tabs>
          <w:tab w:val="right" w:leader="dot" w:pos="8306"/>
        </w:tabs>
      </w:pPr>
      <w:hyperlink w:anchor="_Toc27987" w:history="1">
        <w:r>
          <w:rPr>
            <w:rFonts w:ascii="仿宋" w:eastAsia="仿宋" w:hAnsi="仿宋" w:cs="仿宋" w:hint="eastAsia"/>
            <w:lang w:eastAsia="zh-CN"/>
          </w:rPr>
          <w:t>(二)、危机应对与恢复</w:t>
        </w:r>
        <w:r>
          <w:tab/>
        </w:r>
        <w:r>
          <w:fldChar w:fldCharType="begin"/>
        </w:r>
        <w:r>
          <w:instrText xml:space="preserve"> PAGEREF _Toc27987 \h </w:instrText>
        </w:r>
        <w:r>
          <w:fldChar w:fldCharType="separate"/>
        </w:r>
        <w:r>
          <w:t>4</w:t>
        </w:r>
        <w:r>
          <w:fldChar w:fldCharType="end"/>
        </w:r>
      </w:hyperlink>
    </w:p>
    <w:p>
      <w:pPr>
        <w:pStyle w:val="TOC1"/>
        <w:tabs>
          <w:tab w:val="right" w:leader="dot" w:pos="8306"/>
        </w:tabs>
      </w:pPr>
      <w:hyperlink w:anchor="_Toc27571" w:history="1">
        <w:r>
          <w:rPr>
            <w:rFonts w:ascii="仿宋" w:eastAsia="仿宋" w:hAnsi="仿宋" w:cs="仿宋" w:hint="eastAsia"/>
            <w:lang w:eastAsia="zh-CN"/>
          </w:rPr>
          <w:t>二、工艺说明</w:t>
        </w:r>
        <w:r>
          <w:tab/>
        </w:r>
        <w:r>
          <w:fldChar w:fldCharType="begin"/>
        </w:r>
        <w:r>
          <w:instrText xml:space="preserve"> PAGEREF _Toc27571 \h </w:instrText>
        </w:r>
        <w:r>
          <w:fldChar w:fldCharType="separate"/>
        </w:r>
        <w:r>
          <w:t>6</w:t>
        </w:r>
        <w:r>
          <w:fldChar w:fldCharType="end"/>
        </w:r>
      </w:hyperlink>
    </w:p>
    <w:p>
      <w:pPr>
        <w:pStyle w:val="TOC2"/>
        <w:tabs>
          <w:tab w:val="right" w:leader="dot" w:pos="8306"/>
        </w:tabs>
      </w:pPr>
      <w:hyperlink w:anchor="_Toc16093" w:history="1">
        <w:r>
          <w:rPr>
            <w:rFonts w:ascii="仿宋" w:eastAsia="仿宋" w:hAnsi="仿宋" w:cs="仿宋" w:hint="eastAsia"/>
            <w:lang w:eastAsia="zh-CN"/>
          </w:rPr>
          <w:t>(一)、技术管理特点</w:t>
        </w:r>
        <w:r>
          <w:tab/>
        </w:r>
        <w:r>
          <w:fldChar w:fldCharType="begin"/>
        </w:r>
        <w:r>
          <w:instrText xml:space="preserve"> PAGEREF _Toc16093 \h </w:instrText>
        </w:r>
        <w:r>
          <w:fldChar w:fldCharType="separate"/>
        </w:r>
        <w:r>
          <w:t>6</w:t>
        </w:r>
        <w:r>
          <w:fldChar w:fldCharType="end"/>
        </w:r>
      </w:hyperlink>
    </w:p>
    <w:p>
      <w:pPr>
        <w:pStyle w:val="TOC2"/>
        <w:tabs>
          <w:tab w:val="right" w:leader="dot" w:pos="8306"/>
        </w:tabs>
      </w:pPr>
      <w:hyperlink w:anchor="_Toc3313" w:history="1">
        <w:r>
          <w:rPr>
            <w:rFonts w:ascii="仿宋" w:eastAsia="仿宋" w:hAnsi="仿宋" w:cs="仿宋" w:hint="eastAsia"/>
            <w:lang w:eastAsia="zh-CN"/>
          </w:rPr>
          <w:t>(二)、文化艺术经纪代理服务项目工艺技术设计方案</w:t>
        </w:r>
        <w:r>
          <w:tab/>
        </w:r>
        <w:r>
          <w:fldChar w:fldCharType="begin"/>
        </w:r>
        <w:r>
          <w:instrText xml:space="preserve"> PAGEREF _Toc3313 \h </w:instrText>
        </w:r>
        <w:r>
          <w:fldChar w:fldCharType="separate"/>
        </w:r>
        <w:r>
          <w:t>7</w:t>
        </w:r>
        <w:r>
          <w:fldChar w:fldCharType="end"/>
        </w:r>
      </w:hyperlink>
    </w:p>
    <w:p>
      <w:pPr>
        <w:pStyle w:val="TOC2"/>
        <w:tabs>
          <w:tab w:val="right" w:leader="dot" w:pos="8306"/>
        </w:tabs>
      </w:pPr>
      <w:hyperlink w:anchor="_Toc29869" w:history="1">
        <w:r>
          <w:rPr>
            <w:rFonts w:ascii="仿宋" w:eastAsia="仿宋" w:hAnsi="仿宋" w:cs="仿宋" w:hint="eastAsia"/>
            <w:lang w:eastAsia="zh-CN"/>
          </w:rPr>
          <w:t>(三)、设备选型方案</w:t>
        </w:r>
        <w:r>
          <w:tab/>
        </w:r>
        <w:r>
          <w:fldChar w:fldCharType="begin"/>
        </w:r>
        <w:r>
          <w:instrText xml:space="preserve"> PAGEREF _Toc29869 \h </w:instrText>
        </w:r>
        <w:r>
          <w:fldChar w:fldCharType="separate"/>
        </w:r>
        <w:r>
          <w:t>8</w:t>
        </w:r>
        <w:r>
          <w:fldChar w:fldCharType="end"/>
        </w:r>
      </w:hyperlink>
    </w:p>
    <w:p>
      <w:pPr>
        <w:pStyle w:val="TOC1"/>
        <w:tabs>
          <w:tab w:val="right" w:leader="dot" w:pos="8306"/>
        </w:tabs>
      </w:pPr>
      <w:hyperlink w:anchor="_Toc3455" w:history="1">
        <w:r>
          <w:rPr>
            <w:rFonts w:ascii="仿宋" w:eastAsia="仿宋" w:hAnsi="仿宋" w:cs="仿宋" w:hint="eastAsia"/>
            <w:lang w:eastAsia="zh-CN"/>
          </w:rPr>
          <w:t>三、产品规划分析</w:t>
        </w:r>
        <w:r>
          <w:tab/>
        </w:r>
        <w:r>
          <w:fldChar w:fldCharType="begin"/>
        </w:r>
        <w:r>
          <w:instrText xml:space="preserve"> PAGEREF _Toc3455 \h </w:instrText>
        </w:r>
        <w:r>
          <w:fldChar w:fldCharType="separate"/>
        </w:r>
        <w:r>
          <w:t>10</w:t>
        </w:r>
        <w:r>
          <w:fldChar w:fldCharType="end"/>
        </w:r>
      </w:hyperlink>
    </w:p>
    <w:p>
      <w:pPr>
        <w:pStyle w:val="TOC2"/>
        <w:tabs>
          <w:tab w:val="right" w:leader="dot" w:pos="8306"/>
        </w:tabs>
      </w:pPr>
      <w:hyperlink w:anchor="_Toc16679" w:history="1">
        <w:r>
          <w:rPr>
            <w:rFonts w:ascii="仿宋" w:eastAsia="仿宋" w:hAnsi="仿宋" w:cs="仿宋" w:hint="eastAsia"/>
            <w:lang w:eastAsia="zh-CN"/>
          </w:rPr>
          <w:t>(一)、产品规划</w:t>
        </w:r>
        <w:r>
          <w:tab/>
        </w:r>
        <w:r>
          <w:fldChar w:fldCharType="begin"/>
        </w:r>
        <w:r>
          <w:instrText xml:space="preserve"> PAGEREF _Toc16679 \h </w:instrText>
        </w:r>
        <w:r>
          <w:fldChar w:fldCharType="separate"/>
        </w:r>
        <w:r>
          <w:t>10</w:t>
        </w:r>
        <w:r>
          <w:fldChar w:fldCharType="end"/>
        </w:r>
      </w:hyperlink>
    </w:p>
    <w:p>
      <w:pPr>
        <w:pStyle w:val="TOC2"/>
        <w:tabs>
          <w:tab w:val="right" w:leader="dot" w:pos="8306"/>
        </w:tabs>
      </w:pPr>
      <w:hyperlink w:anchor="_Toc8516" w:history="1">
        <w:r>
          <w:rPr>
            <w:rFonts w:ascii="仿宋" w:eastAsia="仿宋" w:hAnsi="仿宋" w:cs="仿宋" w:hint="eastAsia"/>
            <w:lang w:eastAsia="zh-CN"/>
          </w:rPr>
          <w:t>(二)、建设规模</w:t>
        </w:r>
        <w:r>
          <w:tab/>
        </w:r>
        <w:r>
          <w:fldChar w:fldCharType="begin"/>
        </w:r>
        <w:r>
          <w:instrText xml:space="preserve"> PAGEREF _Toc8516 \h </w:instrText>
        </w:r>
        <w:r>
          <w:fldChar w:fldCharType="separate"/>
        </w:r>
        <w:r>
          <w:t>10</w:t>
        </w:r>
        <w:r>
          <w:fldChar w:fldCharType="end"/>
        </w:r>
      </w:hyperlink>
    </w:p>
    <w:p>
      <w:pPr>
        <w:pStyle w:val="TOC1"/>
        <w:tabs>
          <w:tab w:val="right" w:leader="dot" w:pos="8306"/>
        </w:tabs>
      </w:pPr>
      <w:hyperlink w:anchor="_Toc28511" w:history="1">
        <w:r>
          <w:rPr>
            <w:rFonts w:ascii="仿宋" w:eastAsia="仿宋" w:hAnsi="仿宋" w:cs="仿宋" w:hint="eastAsia"/>
            <w:lang w:eastAsia="zh-CN"/>
          </w:rPr>
          <w:t>四、文化艺术经纪代理服务项目土建工程</w:t>
        </w:r>
        <w:r>
          <w:tab/>
        </w:r>
        <w:r>
          <w:fldChar w:fldCharType="begin"/>
        </w:r>
        <w:r>
          <w:instrText xml:space="preserve"> PAGEREF _Toc28511 \h </w:instrText>
        </w:r>
        <w:r>
          <w:fldChar w:fldCharType="separate"/>
        </w:r>
        <w:r>
          <w:t>12</w:t>
        </w:r>
        <w:r>
          <w:fldChar w:fldCharType="end"/>
        </w:r>
      </w:hyperlink>
    </w:p>
    <w:p>
      <w:pPr>
        <w:pStyle w:val="TOC2"/>
        <w:tabs>
          <w:tab w:val="right" w:leader="dot" w:pos="8306"/>
        </w:tabs>
      </w:pPr>
      <w:hyperlink w:anchor="_Toc23205" w:history="1">
        <w:r>
          <w:rPr>
            <w:rFonts w:ascii="仿宋" w:eastAsia="仿宋" w:hAnsi="仿宋" w:cs="仿宋" w:hint="eastAsia"/>
            <w:lang w:eastAsia="zh-CN"/>
          </w:rPr>
          <w:t>(一)、建筑工程设计原则</w:t>
        </w:r>
        <w:r>
          <w:tab/>
        </w:r>
        <w:r>
          <w:fldChar w:fldCharType="begin"/>
        </w:r>
        <w:r>
          <w:instrText xml:space="preserve"> PAGEREF _Toc23205 \h </w:instrText>
        </w:r>
        <w:r>
          <w:fldChar w:fldCharType="separate"/>
        </w:r>
        <w:r>
          <w:t>12</w:t>
        </w:r>
        <w:r>
          <w:fldChar w:fldCharType="end"/>
        </w:r>
      </w:hyperlink>
    </w:p>
    <w:p>
      <w:pPr>
        <w:pStyle w:val="TOC2"/>
        <w:tabs>
          <w:tab w:val="right" w:leader="dot" w:pos="8306"/>
        </w:tabs>
      </w:pPr>
      <w:hyperlink w:anchor="_Toc30018" w:history="1">
        <w:r>
          <w:rPr>
            <w:rFonts w:ascii="仿宋" w:eastAsia="仿宋" w:hAnsi="仿宋" w:cs="仿宋" w:hint="eastAsia"/>
            <w:lang w:eastAsia="zh-CN"/>
          </w:rPr>
          <w:t>(二)、土建工程设计年限及安全等级</w:t>
        </w:r>
        <w:r>
          <w:tab/>
        </w:r>
        <w:r>
          <w:fldChar w:fldCharType="begin"/>
        </w:r>
        <w:r>
          <w:instrText xml:space="preserve"> PAGEREF _Toc30018 \h </w:instrText>
        </w:r>
        <w:r>
          <w:fldChar w:fldCharType="separate"/>
        </w:r>
        <w:r>
          <w:t>13</w:t>
        </w:r>
        <w:r>
          <w:fldChar w:fldCharType="end"/>
        </w:r>
      </w:hyperlink>
    </w:p>
    <w:p>
      <w:pPr>
        <w:pStyle w:val="TOC2"/>
        <w:tabs>
          <w:tab w:val="right" w:leader="dot" w:pos="8306"/>
        </w:tabs>
      </w:pPr>
      <w:hyperlink w:anchor="_Toc14478" w:history="1">
        <w:r>
          <w:rPr>
            <w:rFonts w:ascii="仿宋" w:eastAsia="仿宋" w:hAnsi="仿宋" w:cs="仿宋" w:hint="eastAsia"/>
            <w:lang w:eastAsia="zh-CN"/>
          </w:rPr>
          <w:t>(三)、建筑工程设计总体要求</w:t>
        </w:r>
        <w:r>
          <w:tab/>
        </w:r>
        <w:r>
          <w:fldChar w:fldCharType="begin"/>
        </w:r>
        <w:r>
          <w:instrText xml:space="preserve"> PAGEREF _Toc14478 \h </w:instrText>
        </w:r>
        <w:r>
          <w:fldChar w:fldCharType="separate"/>
        </w:r>
        <w:r>
          <w:t>14</w:t>
        </w:r>
        <w:r>
          <w:fldChar w:fldCharType="end"/>
        </w:r>
      </w:hyperlink>
    </w:p>
    <w:p>
      <w:pPr>
        <w:pStyle w:val="TOC2"/>
        <w:tabs>
          <w:tab w:val="right" w:leader="dot" w:pos="8306"/>
        </w:tabs>
      </w:pPr>
      <w:hyperlink w:anchor="_Toc31732" w:history="1">
        <w:r>
          <w:rPr>
            <w:rFonts w:ascii="仿宋" w:eastAsia="仿宋" w:hAnsi="仿宋" w:cs="仿宋" w:hint="eastAsia"/>
            <w:lang w:eastAsia="zh-CN"/>
          </w:rPr>
          <w:t>(四)、土建工程建设指标</w:t>
        </w:r>
        <w:r>
          <w:tab/>
        </w:r>
        <w:r>
          <w:fldChar w:fldCharType="begin"/>
        </w:r>
        <w:r>
          <w:instrText xml:space="preserve"> PAGEREF _Toc31732 \h </w:instrText>
        </w:r>
        <w:r>
          <w:fldChar w:fldCharType="separate"/>
        </w:r>
        <w:r>
          <w:t>15</w:t>
        </w:r>
        <w:r>
          <w:fldChar w:fldCharType="end"/>
        </w:r>
      </w:hyperlink>
    </w:p>
    <w:p>
      <w:pPr>
        <w:pStyle w:val="TOC1"/>
        <w:tabs>
          <w:tab w:val="right" w:leader="dot" w:pos="8306"/>
        </w:tabs>
      </w:pPr>
      <w:hyperlink w:anchor="_Toc30162" w:history="1">
        <w:r>
          <w:rPr>
            <w:rFonts w:ascii="仿宋" w:eastAsia="仿宋" w:hAnsi="仿宋" w:cs="仿宋" w:hint="eastAsia"/>
            <w:lang w:eastAsia="zh-CN"/>
          </w:rPr>
          <w:t>五、文化艺术经纪代理服务项目绩效评估</w:t>
        </w:r>
        <w:r>
          <w:tab/>
        </w:r>
        <w:r>
          <w:fldChar w:fldCharType="begin"/>
        </w:r>
        <w:r>
          <w:instrText xml:space="preserve"> PAGEREF _Toc30162 \h </w:instrText>
        </w:r>
        <w:r>
          <w:fldChar w:fldCharType="separate"/>
        </w:r>
        <w:r>
          <w:t>15</w:t>
        </w:r>
        <w:r>
          <w:fldChar w:fldCharType="end"/>
        </w:r>
      </w:hyperlink>
    </w:p>
    <w:p>
      <w:pPr>
        <w:pStyle w:val="TOC2"/>
        <w:tabs>
          <w:tab w:val="right" w:leader="dot" w:pos="8306"/>
        </w:tabs>
      </w:pPr>
      <w:hyperlink w:anchor="_Toc14388" w:history="1">
        <w:r>
          <w:rPr>
            <w:rFonts w:ascii="仿宋" w:eastAsia="仿宋" w:hAnsi="仿宋" w:cs="仿宋" w:hint="eastAsia"/>
            <w:lang w:eastAsia="zh-CN"/>
          </w:rPr>
          <w:t>(一)、绩效评估指标</w:t>
        </w:r>
        <w:r>
          <w:tab/>
        </w:r>
        <w:r>
          <w:fldChar w:fldCharType="begin"/>
        </w:r>
        <w:r>
          <w:instrText xml:space="preserve"> PAGEREF _Toc14388 \h </w:instrText>
        </w:r>
        <w:r>
          <w:fldChar w:fldCharType="separate"/>
        </w:r>
        <w:r>
          <w:t>15</w:t>
        </w:r>
        <w:r>
          <w:fldChar w:fldCharType="end"/>
        </w:r>
      </w:hyperlink>
    </w:p>
    <w:p>
      <w:pPr>
        <w:pStyle w:val="TOC2"/>
        <w:tabs>
          <w:tab w:val="right" w:leader="dot" w:pos="8306"/>
        </w:tabs>
      </w:pPr>
      <w:hyperlink w:anchor="_Toc11403" w:history="1">
        <w:r>
          <w:rPr>
            <w:rFonts w:ascii="仿宋" w:eastAsia="仿宋" w:hAnsi="仿宋" w:cs="仿宋" w:hint="eastAsia"/>
            <w:lang w:eastAsia="zh-CN"/>
          </w:rPr>
          <w:t>(二)、绩效评估方法</w:t>
        </w:r>
        <w:r>
          <w:tab/>
        </w:r>
        <w:r>
          <w:fldChar w:fldCharType="begin"/>
        </w:r>
        <w:r>
          <w:instrText xml:space="preserve"> PAGEREF _Toc11403 \h </w:instrText>
        </w:r>
        <w:r>
          <w:fldChar w:fldCharType="separate"/>
        </w:r>
        <w:r>
          <w:t>16</w:t>
        </w:r>
        <w:r>
          <w:fldChar w:fldCharType="end"/>
        </w:r>
      </w:hyperlink>
    </w:p>
    <w:p>
      <w:pPr>
        <w:pStyle w:val="TOC2"/>
        <w:tabs>
          <w:tab w:val="right" w:leader="dot" w:pos="8306"/>
        </w:tabs>
      </w:pPr>
      <w:hyperlink w:anchor="_Toc31426" w:history="1">
        <w:r>
          <w:rPr>
            <w:rFonts w:ascii="仿宋" w:eastAsia="仿宋" w:hAnsi="仿宋" w:cs="仿宋" w:hint="eastAsia"/>
            <w:lang w:eastAsia="zh-CN"/>
          </w:rPr>
          <w:t>(三)、绩效评估周期</w:t>
        </w:r>
        <w:r>
          <w:tab/>
        </w:r>
        <w:r>
          <w:fldChar w:fldCharType="begin"/>
        </w:r>
        <w:r>
          <w:instrText xml:space="preserve"> PAGEREF _Toc31426 \h </w:instrText>
        </w:r>
        <w:r>
          <w:fldChar w:fldCharType="separate"/>
        </w:r>
        <w:r>
          <w:t>17</w:t>
        </w:r>
        <w:r>
          <w:fldChar w:fldCharType="end"/>
        </w:r>
      </w:hyperlink>
    </w:p>
    <w:p>
      <w:pPr>
        <w:pStyle w:val="TOC1"/>
        <w:tabs>
          <w:tab w:val="right" w:leader="dot" w:pos="8306"/>
        </w:tabs>
      </w:pPr>
      <w:hyperlink w:anchor="_Toc13654" w:history="1">
        <w:r>
          <w:rPr>
            <w:rFonts w:ascii="仿宋" w:eastAsia="仿宋" w:hAnsi="仿宋" w:cs="仿宋" w:hint="eastAsia"/>
            <w:lang w:eastAsia="zh-CN"/>
          </w:rPr>
          <w:t>六、文化艺术经纪代理服务项目建设背景及必要性分析</w:t>
        </w:r>
        <w:r>
          <w:tab/>
        </w:r>
        <w:r>
          <w:fldChar w:fldCharType="begin"/>
        </w:r>
        <w:r>
          <w:instrText xml:space="preserve"> PAGEREF _Toc13654 \h </w:instrText>
        </w:r>
        <w:r>
          <w:fldChar w:fldCharType="separate"/>
        </w:r>
        <w:r>
          <w:t>18</w:t>
        </w:r>
        <w:r>
          <w:fldChar w:fldCharType="end"/>
        </w:r>
      </w:hyperlink>
    </w:p>
    <w:p>
      <w:pPr>
        <w:pStyle w:val="TOC2"/>
        <w:tabs>
          <w:tab w:val="right" w:leader="dot" w:pos="8306"/>
        </w:tabs>
      </w:pPr>
      <w:hyperlink w:anchor="_Toc24863" w:history="1">
        <w:r>
          <w:rPr>
            <w:rFonts w:ascii="仿宋" w:eastAsia="仿宋" w:hAnsi="仿宋" w:cs="仿宋" w:hint="eastAsia"/>
            <w:lang w:eastAsia="zh-CN"/>
          </w:rPr>
          <w:t>(一)、文化艺术经纪代理服务项目背景分析</w:t>
        </w:r>
        <w:r>
          <w:tab/>
        </w:r>
        <w:r>
          <w:fldChar w:fldCharType="begin"/>
        </w:r>
        <w:r>
          <w:instrText xml:space="preserve"> PAGEREF _Toc24863 \h </w:instrText>
        </w:r>
        <w:r>
          <w:fldChar w:fldCharType="separate"/>
        </w:r>
        <w:r>
          <w:t>18</w:t>
        </w:r>
        <w:r>
          <w:fldChar w:fldCharType="end"/>
        </w:r>
      </w:hyperlink>
    </w:p>
    <w:p>
      <w:pPr>
        <w:pStyle w:val="TOC2"/>
        <w:tabs>
          <w:tab w:val="right" w:leader="dot" w:pos="8306"/>
        </w:tabs>
      </w:pPr>
      <w:hyperlink w:anchor="_Toc10662" w:history="1">
        <w:r>
          <w:rPr>
            <w:rFonts w:ascii="仿宋" w:eastAsia="仿宋" w:hAnsi="仿宋" w:cs="仿宋" w:hint="eastAsia"/>
            <w:lang w:eastAsia="zh-CN"/>
          </w:rPr>
          <w:t>(二)、文化艺术经纪代理服务项目建设必要性分析</w:t>
        </w:r>
        <w:r>
          <w:tab/>
        </w:r>
        <w:r>
          <w:fldChar w:fldCharType="begin"/>
        </w:r>
        <w:r>
          <w:instrText xml:space="preserve"> PAGEREF _Toc10662 \h </w:instrText>
        </w:r>
        <w:r>
          <w:fldChar w:fldCharType="separate"/>
        </w:r>
        <w:r>
          <w:t>20</w:t>
        </w:r>
        <w:r>
          <w:fldChar w:fldCharType="end"/>
        </w:r>
      </w:hyperlink>
    </w:p>
    <w:p>
      <w:pPr>
        <w:pStyle w:val="TOC1"/>
        <w:tabs>
          <w:tab w:val="right" w:leader="dot" w:pos="8306"/>
        </w:tabs>
      </w:pPr>
      <w:hyperlink w:anchor="_Toc4381" w:history="1">
        <w:r>
          <w:rPr>
            <w:rFonts w:ascii="仿宋" w:eastAsia="仿宋" w:hAnsi="仿宋" w:cs="仿宋" w:hint="eastAsia"/>
            <w:lang w:eastAsia="zh-CN"/>
          </w:rPr>
          <w:t>七、文化艺术经纪代理服务项目风险管理</w:t>
        </w:r>
        <w:r>
          <w:tab/>
        </w:r>
        <w:r>
          <w:fldChar w:fldCharType="begin"/>
        </w:r>
        <w:r>
          <w:instrText xml:space="preserve"> PAGEREF _Toc4381 \h </w:instrText>
        </w:r>
        <w:r>
          <w:fldChar w:fldCharType="separate"/>
        </w:r>
        <w:r>
          <w:t>22</w:t>
        </w:r>
        <w:r>
          <w:fldChar w:fldCharType="end"/>
        </w:r>
      </w:hyperlink>
    </w:p>
    <w:p>
      <w:pPr>
        <w:pStyle w:val="TOC2"/>
        <w:tabs>
          <w:tab w:val="right" w:leader="dot" w:pos="8306"/>
        </w:tabs>
      </w:pPr>
      <w:hyperlink w:anchor="_Toc27013" w:history="1">
        <w:r>
          <w:rPr>
            <w:rFonts w:ascii="仿宋" w:eastAsia="仿宋" w:hAnsi="仿宋" w:cs="仿宋" w:hint="eastAsia"/>
            <w:lang w:eastAsia="zh-CN"/>
          </w:rPr>
          <w:t>(一)、风险识别与评估</w:t>
        </w:r>
        <w:r>
          <w:tab/>
        </w:r>
        <w:r>
          <w:fldChar w:fldCharType="begin"/>
        </w:r>
        <w:r>
          <w:instrText xml:space="preserve"> PAGEREF _Toc27013 \h </w:instrText>
        </w:r>
        <w:r>
          <w:fldChar w:fldCharType="separate"/>
        </w:r>
        <w:r>
          <w:t>22</w:t>
        </w:r>
        <w:r>
          <w:fldChar w:fldCharType="end"/>
        </w:r>
      </w:hyperlink>
    </w:p>
    <w:p>
      <w:pPr>
        <w:pStyle w:val="TOC2"/>
        <w:tabs>
          <w:tab w:val="right" w:leader="dot" w:pos="8306"/>
        </w:tabs>
      </w:pPr>
      <w:hyperlink w:anchor="_Toc32278" w:history="1">
        <w:r>
          <w:rPr>
            <w:rFonts w:ascii="仿宋" w:eastAsia="仿宋" w:hAnsi="仿宋" w:cs="仿宋" w:hint="eastAsia"/>
            <w:lang w:eastAsia="zh-CN"/>
          </w:rPr>
          <w:t>(二)、风险应对策略</w:t>
        </w:r>
        <w:r>
          <w:tab/>
        </w:r>
        <w:r>
          <w:fldChar w:fldCharType="begin"/>
        </w:r>
        <w:r>
          <w:instrText xml:space="preserve"> PAGEREF _Toc32278 \h </w:instrText>
        </w:r>
        <w:r>
          <w:fldChar w:fldCharType="separate"/>
        </w:r>
        <w:r>
          <w:t>23</w:t>
        </w:r>
        <w:r>
          <w:fldChar w:fldCharType="end"/>
        </w:r>
      </w:hyperlink>
    </w:p>
    <w:p>
      <w:pPr>
        <w:pStyle w:val="TOC2"/>
        <w:tabs>
          <w:tab w:val="right" w:leader="dot" w:pos="8306"/>
        </w:tabs>
      </w:pPr>
      <w:hyperlink w:anchor="_Toc18551" w:history="1">
        <w:r>
          <w:rPr>
            <w:rFonts w:ascii="仿宋" w:eastAsia="仿宋" w:hAnsi="仿宋" w:cs="仿宋" w:hint="eastAsia"/>
            <w:lang w:eastAsia="zh-CN"/>
          </w:rPr>
          <w:t>(三)、风险监控与控制</w:t>
        </w:r>
        <w:r>
          <w:tab/>
        </w:r>
        <w:r>
          <w:fldChar w:fldCharType="begin"/>
        </w:r>
        <w:r>
          <w:instrText xml:space="preserve"> PAGEREF _Toc18551 \h </w:instrText>
        </w:r>
        <w:r>
          <w:fldChar w:fldCharType="separate"/>
        </w:r>
        <w:r>
          <w:t>25</w:t>
        </w:r>
        <w:r>
          <w:fldChar w:fldCharType="end"/>
        </w:r>
      </w:hyperlink>
    </w:p>
    <w:p>
      <w:pPr>
        <w:pStyle w:val="TOC1"/>
        <w:tabs>
          <w:tab w:val="right" w:leader="dot" w:pos="8306"/>
        </w:tabs>
      </w:pPr>
      <w:hyperlink w:anchor="_Toc27850" w:history="1">
        <w:r>
          <w:rPr>
            <w:rFonts w:ascii="仿宋" w:eastAsia="仿宋" w:hAnsi="仿宋" w:cs="仿宋" w:hint="eastAsia"/>
            <w:lang w:eastAsia="zh-CN"/>
          </w:rPr>
          <w:t>八、文化艺术经纪代理服务项目社会影响</w:t>
        </w:r>
        <w:r>
          <w:tab/>
        </w:r>
        <w:r>
          <w:fldChar w:fldCharType="begin"/>
        </w:r>
        <w:r>
          <w:instrText xml:space="preserve"> PAGEREF _Toc27850 \h </w:instrText>
        </w:r>
        <w:r>
          <w:fldChar w:fldCharType="separate"/>
        </w:r>
        <w:r>
          <w:t>26</w:t>
        </w:r>
        <w:r>
          <w:fldChar w:fldCharType="end"/>
        </w:r>
      </w:hyperlink>
    </w:p>
    <w:p>
      <w:pPr>
        <w:pStyle w:val="TOC2"/>
        <w:tabs>
          <w:tab w:val="right" w:leader="dot" w:pos="8306"/>
        </w:tabs>
      </w:pPr>
      <w:hyperlink w:anchor="_Toc25181" w:history="1">
        <w:r>
          <w:rPr>
            <w:rFonts w:ascii="仿宋" w:eastAsia="仿宋" w:hAnsi="仿宋" w:cs="仿宋" w:hint="eastAsia"/>
            <w:lang w:eastAsia="zh-CN"/>
          </w:rPr>
          <w:t>(一)、社会责任与义务</w:t>
        </w:r>
        <w:r>
          <w:tab/>
        </w:r>
        <w:r>
          <w:fldChar w:fldCharType="begin"/>
        </w:r>
        <w:r>
          <w:instrText xml:space="preserve"> PAGEREF _Toc25181 \h </w:instrText>
        </w:r>
        <w:r>
          <w:fldChar w:fldCharType="separate"/>
        </w:r>
        <w:r>
          <w:t>26</w:t>
        </w:r>
        <w:r>
          <w:fldChar w:fldCharType="end"/>
        </w:r>
      </w:hyperlink>
    </w:p>
    <w:p>
      <w:pPr>
        <w:pStyle w:val="TOC2"/>
        <w:tabs>
          <w:tab w:val="right" w:leader="dot" w:pos="8306"/>
        </w:tabs>
      </w:pPr>
      <w:hyperlink w:anchor="_Toc21295" w:history="1">
        <w:r>
          <w:rPr>
            <w:rFonts w:ascii="仿宋" w:eastAsia="仿宋" w:hAnsi="仿宋" w:cs="仿宋" w:hint="eastAsia"/>
            <w:lang w:eastAsia="zh-CN"/>
          </w:rPr>
          <w:t>(二)、社会参与与沟通</w:t>
        </w:r>
        <w:r>
          <w:tab/>
        </w:r>
        <w:r>
          <w:fldChar w:fldCharType="begin"/>
        </w:r>
        <w:r>
          <w:instrText xml:space="preserve"> PAGEREF _Toc21295 \h </w:instrText>
        </w:r>
        <w:r>
          <w:fldChar w:fldCharType="separate"/>
        </w:r>
        <w:r>
          <w:t>27</w:t>
        </w:r>
        <w:r>
          <w:fldChar w:fldCharType="end"/>
        </w:r>
      </w:hyperlink>
    </w:p>
    <w:p>
      <w:pPr>
        <w:pStyle w:val="TOC1"/>
        <w:tabs>
          <w:tab w:val="right" w:leader="dot" w:pos="8306"/>
        </w:tabs>
      </w:pPr>
      <w:hyperlink w:anchor="_Toc24714" w:history="1">
        <w:r>
          <w:rPr>
            <w:rFonts w:ascii="仿宋" w:eastAsia="仿宋" w:hAnsi="仿宋" w:cs="仿宋" w:hint="eastAsia"/>
            <w:lang w:eastAsia="zh-CN"/>
          </w:rPr>
          <w:t>九、文化艺术经纪代理服务项目财务管理</w:t>
        </w:r>
        <w:r>
          <w:tab/>
        </w:r>
        <w:r>
          <w:fldChar w:fldCharType="begin"/>
        </w:r>
        <w:r>
          <w:instrText xml:space="preserve"> PAGEREF _Toc24714 \h </w:instrText>
        </w:r>
        <w:r>
          <w:fldChar w:fldCharType="separate"/>
        </w:r>
        <w:r>
          <w:t>28</w:t>
        </w:r>
        <w:r>
          <w:fldChar w:fldCharType="end"/>
        </w:r>
      </w:hyperlink>
    </w:p>
    <w:p>
      <w:pPr>
        <w:pStyle w:val="TOC2"/>
        <w:tabs>
          <w:tab w:val="right" w:leader="dot" w:pos="8306"/>
        </w:tabs>
      </w:pPr>
      <w:hyperlink w:anchor="_Toc23478" w:history="1">
        <w:r>
          <w:rPr>
            <w:rFonts w:ascii="仿宋" w:eastAsia="仿宋" w:hAnsi="仿宋" w:cs="仿宋" w:hint="eastAsia"/>
            <w:lang w:eastAsia="zh-CN"/>
          </w:rPr>
          <w:t>(一)、资金需求大</w:t>
        </w:r>
        <w:r>
          <w:tab/>
        </w:r>
        <w:r>
          <w:fldChar w:fldCharType="begin"/>
        </w:r>
        <w:r>
          <w:instrText xml:space="preserve"> PAGEREF _Toc23478 \h </w:instrText>
        </w:r>
        <w:r>
          <w:fldChar w:fldCharType="separate"/>
        </w:r>
        <w:r>
          <w:t>28</w:t>
        </w:r>
        <w:r>
          <w:fldChar w:fldCharType="end"/>
        </w:r>
      </w:hyperlink>
    </w:p>
    <w:p>
      <w:pPr>
        <w:pStyle w:val="TOC2"/>
        <w:tabs>
          <w:tab w:val="right" w:leader="dot" w:pos="8306"/>
        </w:tabs>
      </w:pPr>
      <w:hyperlink w:anchor="_Toc30825" w:history="1">
        <w:r>
          <w:rPr>
            <w:rFonts w:ascii="仿宋" w:eastAsia="仿宋" w:hAnsi="仿宋" w:cs="仿宋" w:hint="eastAsia"/>
            <w:lang w:eastAsia="zh-CN"/>
          </w:rPr>
          <w:t>(二)、研发周期长</w:t>
        </w:r>
        <w:r>
          <w:tab/>
        </w:r>
        <w:r>
          <w:fldChar w:fldCharType="begin"/>
        </w:r>
        <w:r>
          <w:instrText xml:space="preserve"> PAGEREF _Toc30825 \h </w:instrText>
        </w:r>
        <w:r>
          <w:fldChar w:fldCharType="separate"/>
        </w:r>
        <w:r>
          <w:t>29</w:t>
        </w:r>
        <w:r>
          <w:fldChar w:fldCharType="end"/>
        </w:r>
      </w:hyperlink>
    </w:p>
    <w:p>
      <w:pPr>
        <w:pStyle w:val="TOC2"/>
        <w:tabs>
          <w:tab w:val="right" w:leader="dot" w:pos="8306"/>
        </w:tabs>
      </w:pPr>
      <w:hyperlink w:anchor="_Toc20441" w:history="1">
        <w:r>
          <w:rPr>
            <w:rFonts w:ascii="仿宋" w:eastAsia="仿宋" w:hAnsi="仿宋" w:cs="仿宋" w:hint="eastAsia"/>
            <w:lang w:eastAsia="zh-CN"/>
          </w:rPr>
          <w:t>(三)、市场风险大</w:t>
        </w:r>
        <w:r>
          <w:tab/>
        </w:r>
        <w:r>
          <w:fldChar w:fldCharType="begin"/>
        </w:r>
        <w:r>
          <w:instrText xml:space="preserve"> PAGEREF _Toc20441 \h </w:instrText>
        </w:r>
        <w:r>
          <w:fldChar w:fldCharType="separate"/>
        </w:r>
        <w:r>
          <w:t>30</w:t>
        </w:r>
        <w:r>
          <w:fldChar w:fldCharType="end"/>
        </w:r>
      </w:hyperlink>
    </w:p>
    <w:p>
      <w:pPr>
        <w:pStyle w:val="TOC2"/>
        <w:tabs>
          <w:tab w:val="right" w:leader="dot" w:pos="8306"/>
        </w:tabs>
      </w:pPr>
      <w:hyperlink w:anchor="_Toc30818" w:history="1">
        <w:r>
          <w:rPr>
            <w:rFonts w:ascii="仿宋" w:eastAsia="仿宋" w:hAnsi="仿宋" w:cs="仿宋" w:hint="eastAsia"/>
            <w:lang w:eastAsia="zh-CN"/>
          </w:rPr>
          <w:t>(四)、利润率高</w:t>
        </w:r>
        <w:r>
          <w:tab/>
        </w:r>
        <w:r>
          <w:fldChar w:fldCharType="begin"/>
        </w:r>
        <w:r>
          <w:instrText xml:space="preserve"> PAGEREF _Toc30818 \h </w:instrText>
        </w:r>
        <w:r>
          <w:fldChar w:fldCharType="separate"/>
        </w:r>
        <w:r>
          <w:t>33</w:t>
        </w:r>
        <w:r>
          <w:fldChar w:fldCharType="end"/>
        </w:r>
      </w:hyperlink>
    </w:p>
    <w:p>
      <w:pPr>
        <w:pStyle w:val="TOC1"/>
        <w:tabs>
          <w:tab w:val="right" w:leader="dot" w:pos="8306"/>
        </w:tabs>
      </w:pPr>
      <w:hyperlink w:anchor="_Toc3048" w:history="1">
        <w:r>
          <w:rPr>
            <w:rFonts w:ascii="仿宋" w:eastAsia="仿宋" w:hAnsi="仿宋" w:cs="仿宋" w:hint="eastAsia"/>
            <w:lang w:eastAsia="zh-CN"/>
          </w:rPr>
          <w:t>十、文化艺术经纪代理服务项目创新与研发</w:t>
        </w:r>
        <w:r>
          <w:tab/>
        </w:r>
        <w:r>
          <w:fldChar w:fldCharType="begin"/>
        </w:r>
        <w:r>
          <w:instrText xml:space="preserve"> PAGEREF _Toc3048 \h </w:instrText>
        </w:r>
        <w:r>
          <w:fldChar w:fldCharType="separate"/>
        </w:r>
        <w:r>
          <w:t>35</w:t>
        </w:r>
        <w:r>
          <w:fldChar w:fldCharType="end"/>
        </w:r>
      </w:hyperlink>
    </w:p>
    <w:p>
      <w:pPr>
        <w:pStyle w:val="TOC2"/>
        <w:tabs>
          <w:tab w:val="right" w:leader="dot" w:pos="8306"/>
        </w:tabs>
      </w:pPr>
      <w:hyperlink w:anchor="_Toc7396" w:history="1">
        <w:r>
          <w:rPr>
            <w:rFonts w:ascii="仿宋" w:eastAsia="仿宋" w:hAnsi="仿宋" w:cs="仿宋" w:hint="eastAsia"/>
            <w:lang w:eastAsia="zh-CN"/>
          </w:rPr>
          <w:t>(一)、创新策略与方向</w:t>
        </w:r>
        <w:r>
          <w:tab/>
        </w:r>
        <w:r>
          <w:fldChar w:fldCharType="begin"/>
        </w:r>
        <w:r>
          <w:instrText xml:space="preserve"> PAGEREF _Toc7396 \h </w:instrText>
        </w:r>
        <w:r>
          <w:fldChar w:fldCharType="separate"/>
        </w:r>
        <w:r>
          <w:t>35</w:t>
        </w:r>
        <w:r>
          <w:fldChar w:fldCharType="end"/>
        </w:r>
      </w:hyperlink>
    </w:p>
    <w:p>
      <w:pPr>
        <w:pStyle w:val="TOC2"/>
        <w:tabs>
          <w:tab w:val="right" w:leader="dot" w:pos="8306"/>
        </w:tabs>
      </w:pPr>
      <w:hyperlink w:anchor="_Toc28272" w:history="1">
        <w:r>
          <w:rPr>
            <w:rFonts w:ascii="仿宋" w:eastAsia="仿宋" w:hAnsi="仿宋" w:cs="仿宋" w:hint="eastAsia"/>
            <w:lang w:eastAsia="zh-CN"/>
          </w:rPr>
          <w:t>(二)、研发规划与投入</w:t>
        </w:r>
        <w:r>
          <w:tab/>
        </w:r>
        <w:r>
          <w:fldChar w:fldCharType="begin"/>
        </w:r>
        <w:r>
          <w:instrText xml:space="preserve"> PAGEREF _Toc28272 \h </w:instrText>
        </w:r>
        <w:r>
          <w:fldChar w:fldCharType="separate"/>
        </w:r>
        <w:r>
          <w:t>37</w:t>
        </w:r>
        <w:r>
          <w:fldChar w:fldCharType="end"/>
        </w:r>
      </w:hyperlink>
    </w:p>
    <w:p>
      <w:pPr>
        <w:pStyle w:val="TOC1"/>
        <w:tabs>
          <w:tab w:val="right" w:leader="dot" w:pos="8306"/>
        </w:tabs>
      </w:pPr>
      <w:hyperlink w:anchor="_Toc30397" w:history="1">
        <w:r>
          <w:rPr>
            <w:rFonts w:ascii="仿宋" w:eastAsia="仿宋" w:hAnsi="仿宋" w:cs="仿宋" w:hint="eastAsia"/>
            <w:lang w:eastAsia="zh-CN"/>
          </w:rPr>
          <w:t>十一、文化艺术经纪代理服务项目人力资源管理</w:t>
        </w:r>
        <w:r>
          <w:tab/>
        </w:r>
        <w:r>
          <w:fldChar w:fldCharType="begin"/>
        </w:r>
        <w:r>
          <w:instrText xml:space="preserve"> PAGEREF _Toc30397 \h </w:instrText>
        </w:r>
        <w:r>
          <w:fldChar w:fldCharType="separate"/>
        </w:r>
        <w:r>
          <w:t>38</w:t>
        </w:r>
        <w:r>
          <w:fldChar w:fldCharType="end"/>
        </w:r>
      </w:hyperlink>
    </w:p>
    <w:p>
      <w:pPr>
        <w:pStyle w:val="TOC2"/>
        <w:tabs>
          <w:tab w:val="right" w:leader="dot" w:pos="8306"/>
        </w:tabs>
      </w:pPr>
      <w:hyperlink w:anchor="_Toc1973" w:history="1">
        <w:r>
          <w:rPr>
            <w:rFonts w:ascii="仿宋" w:eastAsia="仿宋" w:hAnsi="仿宋" w:cs="仿宋" w:hint="eastAsia"/>
            <w:lang w:eastAsia="zh-CN"/>
          </w:rPr>
          <w:t>(一)、建立健全的预算管理制度</w:t>
        </w:r>
        <w:r>
          <w:tab/>
        </w:r>
        <w:r>
          <w:fldChar w:fldCharType="begin"/>
        </w:r>
        <w:r>
          <w:instrText xml:space="preserve"> PAGEREF _Toc1973 \h </w:instrText>
        </w:r>
        <w:r>
          <w:fldChar w:fldCharType="separate"/>
        </w:r>
        <w:r>
          <w:t>38</w:t>
        </w:r>
        <w:r>
          <w:fldChar w:fldCharType="end"/>
        </w:r>
      </w:hyperlink>
    </w:p>
    <w:p>
      <w:pPr>
        <w:pStyle w:val="TOC2"/>
        <w:tabs>
          <w:tab w:val="right" w:leader="dot" w:pos="8306"/>
        </w:tabs>
      </w:pPr>
      <w:hyperlink w:anchor="_Toc13602" w:history="1">
        <w:r>
          <w:rPr>
            <w:rFonts w:ascii="仿宋" w:eastAsia="仿宋" w:hAnsi="仿宋" w:cs="仿宋" w:hint="eastAsia"/>
            <w:lang w:eastAsia="zh-CN"/>
          </w:rPr>
          <w:t>(二)、加强资金流动监控</w:t>
        </w:r>
        <w:r>
          <w:tab/>
        </w:r>
        <w:r>
          <w:fldChar w:fldCharType="begin"/>
        </w:r>
        <w:r>
          <w:instrText xml:space="preserve"> PAGEREF _Toc13602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15" w:history="1">
        <w:r>
          <w:rPr>
            <w:rFonts w:ascii="仿宋" w:eastAsia="仿宋" w:hAnsi="仿宋" w:cs="仿宋" w:hint="eastAsia"/>
            <w:lang w:eastAsia="zh-CN"/>
          </w:rPr>
          <w:t>(三)、制定完善的风险控制机制</w:t>
        </w:r>
        <w:r>
          <w:tab/>
        </w:r>
        <w:r>
          <w:fldChar w:fldCharType="begin"/>
        </w:r>
        <w:r>
          <w:instrText xml:space="preserve"> PAGEREF _Toc12815 \h </w:instrText>
        </w:r>
        <w:r>
          <w:fldChar w:fldCharType="separate"/>
        </w:r>
        <w:r>
          <w:t>41</w:t>
        </w:r>
        <w:r>
          <w:fldChar w:fldCharType="end"/>
        </w:r>
      </w:hyperlink>
    </w:p>
    <w:p>
      <w:pPr>
        <w:pStyle w:val="TOC2"/>
        <w:tabs>
          <w:tab w:val="right" w:leader="dot" w:pos="8306"/>
        </w:tabs>
      </w:pPr>
      <w:hyperlink w:anchor="_Toc31002" w:history="1">
        <w:r>
          <w:rPr>
            <w:rFonts w:ascii="仿宋" w:eastAsia="仿宋" w:hAnsi="仿宋" w:cs="仿宋" w:hint="eastAsia"/>
            <w:lang w:eastAsia="zh-CN"/>
          </w:rPr>
          <w:t>(四)、优化成本管理</w:t>
        </w:r>
        <w:r>
          <w:tab/>
        </w:r>
        <w:r>
          <w:fldChar w:fldCharType="begin"/>
        </w:r>
        <w:r>
          <w:instrText xml:space="preserve"> PAGEREF _Toc31002 \h </w:instrText>
        </w:r>
        <w:r>
          <w:fldChar w:fldCharType="separate"/>
        </w:r>
        <w:r>
          <w:t>43</w:t>
        </w:r>
        <w:r>
          <w:fldChar w:fldCharType="end"/>
        </w:r>
      </w:hyperlink>
    </w:p>
    <w:p>
      <w:pPr>
        <w:pStyle w:val="TOC1"/>
        <w:tabs>
          <w:tab w:val="right" w:leader="dot" w:pos="8306"/>
        </w:tabs>
      </w:pPr>
      <w:hyperlink w:anchor="_Toc16947" w:history="1">
        <w:r>
          <w:rPr>
            <w:rFonts w:ascii="仿宋" w:eastAsia="仿宋" w:hAnsi="仿宋" w:cs="仿宋" w:hint="eastAsia"/>
            <w:lang w:eastAsia="zh-CN"/>
          </w:rPr>
          <w:t>十二、文化艺术经纪代理服务项目经营效益</w:t>
        </w:r>
        <w:r>
          <w:tab/>
        </w:r>
        <w:r>
          <w:fldChar w:fldCharType="begin"/>
        </w:r>
        <w:r>
          <w:instrText xml:space="preserve"> PAGEREF _Toc16947 \h </w:instrText>
        </w:r>
        <w:r>
          <w:fldChar w:fldCharType="separate"/>
        </w:r>
        <w:r>
          <w:t>44</w:t>
        </w:r>
        <w:r>
          <w:fldChar w:fldCharType="end"/>
        </w:r>
      </w:hyperlink>
    </w:p>
    <w:p>
      <w:pPr>
        <w:pStyle w:val="TOC2"/>
        <w:tabs>
          <w:tab w:val="right" w:leader="dot" w:pos="8306"/>
        </w:tabs>
      </w:pPr>
      <w:hyperlink w:anchor="_Toc17708" w:history="1">
        <w:r>
          <w:rPr>
            <w:rFonts w:ascii="仿宋" w:eastAsia="仿宋" w:hAnsi="仿宋" w:cs="仿宋" w:hint="eastAsia"/>
            <w:lang w:eastAsia="zh-CN"/>
          </w:rPr>
          <w:t>(一)、经济评价财务测算</w:t>
        </w:r>
        <w:r>
          <w:tab/>
        </w:r>
        <w:r>
          <w:fldChar w:fldCharType="begin"/>
        </w:r>
        <w:r>
          <w:instrText xml:space="preserve"> PAGEREF _Toc17708 \h </w:instrText>
        </w:r>
        <w:r>
          <w:fldChar w:fldCharType="separate"/>
        </w:r>
        <w:r>
          <w:t>44</w:t>
        </w:r>
        <w:r>
          <w:fldChar w:fldCharType="end"/>
        </w:r>
      </w:hyperlink>
    </w:p>
    <w:p>
      <w:pPr>
        <w:pStyle w:val="TOC2"/>
        <w:tabs>
          <w:tab w:val="right" w:leader="dot" w:pos="8306"/>
        </w:tabs>
      </w:pPr>
      <w:hyperlink w:anchor="_Toc13990" w:history="1">
        <w:r>
          <w:rPr>
            <w:rFonts w:ascii="仿宋" w:eastAsia="仿宋" w:hAnsi="仿宋" w:cs="仿宋" w:hint="eastAsia"/>
            <w:lang w:eastAsia="zh-CN"/>
          </w:rPr>
          <w:t>(二)、文化艺术经纪代理服务项目盈利能力分析</w:t>
        </w:r>
        <w:r>
          <w:tab/>
        </w:r>
        <w:r>
          <w:fldChar w:fldCharType="begin"/>
        </w:r>
        <w:r>
          <w:instrText xml:space="preserve"> PAGEREF _Toc13990 \h </w:instrText>
        </w:r>
        <w:r>
          <w:fldChar w:fldCharType="separate"/>
        </w:r>
        <w:r>
          <w:t>46</w:t>
        </w:r>
        <w:r>
          <w:fldChar w:fldCharType="end"/>
        </w:r>
      </w:hyperlink>
    </w:p>
    <w:p>
      <w:pPr>
        <w:pStyle w:val="TOC1"/>
        <w:tabs>
          <w:tab w:val="right" w:leader="dot" w:pos="8306"/>
        </w:tabs>
      </w:pPr>
      <w:hyperlink w:anchor="_Toc29561" w:history="1">
        <w:r>
          <w:rPr>
            <w:rFonts w:ascii="仿宋" w:eastAsia="仿宋" w:hAnsi="仿宋" w:cs="仿宋" w:hint="eastAsia"/>
            <w:lang w:eastAsia="zh-CN"/>
          </w:rPr>
          <w:t>十三、风险识别与分类</w:t>
        </w:r>
        <w:r>
          <w:tab/>
        </w:r>
        <w:r>
          <w:fldChar w:fldCharType="begin"/>
        </w:r>
        <w:r>
          <w:instrText xml:space="preserve"> PAGEREF _Toc29561 \h </w:instrText>
        </w:r>
        <w:r>
          <w:fldChar w:fldCharType="separate"/>
        </w:r>
        <w:r>
          <w:t>47</w:t>
        </w:r>
        <w:r>
          <w:fldChar w:fldCharType="end"/>
        </w:r>
      </w:hyperlink>
    </w:p>
    <w:p>
      <w:pPr>
        <w:pStyle w:val="TOC2"/>
        <w:tabs>
          <w:tab w:val="right" w:leader="dot" w:pos="8306"/>
        </w:tabs>
      </w:pPr>
      <w:hyperlink w:anchor="_Toc18416" w:history="1">
        <w:r>
          <w:rPr>
            <w:rFonts w:ascii="仿宋" w:eastAsia="仿宋" w:hAnsi="仿宋" w:cs="仿宋" w:hint="eastAsia"/>
            <w:lang w:eastAsia="zh-CN"/>
          </w:rPr>
          <w:t>(一)、风险识别</w:t>
        </w:r>
        <w:r>
          <w:tab/>
        </w:r>
        <w:r>
          <w:fldChar w:fldCharType="begin"/>
        </w:r>
        <w:r>
          <w:instrText xml:space="preserve"> PAGEREF _Toc18416 \h </w:instrText>
        </w:r>
        <w:r>
          <w:fldChar w:fldCharType="separate"/>
        </w:r>
        <w:r>
          <w:t>47</w:t>
        </w:r>
        <w:r>
          <w:fldChar w:fldCharType="end"/>
        </w:r>
      </w:hyperlink>
    </w:p>
    <w:p>
      <w:pPr>
        <w:pStyle w:val="TOC2"/>
        <w:tabs>
          <w:tab w:val="right" w:leader="dot" w:pos="8306"/>
        </w:tabs>
      </w:pPr>
      <w:hyperlink w:anchor="_Toc11691" w:history="1">
        <w:r>
          <w:rPr>
            <w:rFonts w:ascii="仿宋" w:eastAsia="仿宋" w:hAnsi="仿宋" w:cs="仿宋" w:hint="eastAsia"/>
            <w:lang w:eastAsia="zh-CN"/>
          </w:rPr>
          <w:t>(二)、风险分类</w:t>
        </w:r>
        <w:r>
          <w:tab/>
        </w:r>
        <w:r>
          <w:fldChar w:fldCharType="begin"/>
        </w:r>
        <w:r>
          <w:instrText xml:space="preserve"> PAGEREF _Toc11691 \h </w:instrText>
        </w:r>
        <w:r>
          <w:fldChar w:fldCharType="separate"/>
        </w:r>
        <w:r>
          <w:t>48</w:t>
        </w:r>
        <w:r>
          <w:fldChar w:fldCharType="end"/>
        </w:r>
      </w:hyperlink>
    </w:p>
    <w:p>
      <w:pPr>
        <w:pStyle w:val="TOC1"/>
        <w:tabs>
          <w:tab w:val="right" w:leader="dot" w:pos="8306"/>
        </w:tabs>
      </w:pPr>
      <w:hyperlink w:anchor="_Toc1868" w:history="1">
        <w:r>
          <w:rPr>
            <w:rFonts w:ascii="仿宋" w:eastAsia="仿宋" w:hAnsi="仿宋" w:cs="仿宋" w:hint="eastAsia"/>
            <w:lang w:eastAsia="zh-CN"/>
          </w:rPr>
          <w:t>十四、文化艺术经纪代理服务项目实施保障措施</w:t>
        </w:r>
        <w:r>
          <w:tab/>
        </w:r>
        <w:r>
          <w:fldChar w:fldCharType="begin"/>
        </w:r>
        <w:r>
          <w:instrText xml:space="preserve"> PAGEREF _Toc1868 \h </w:instrText>
        </w:r>
        <w:r>
          <w:fldChar w:fldCharType="separate"/>
        </w:r>
        <w:r>
          <w:t>50</w:t>
        </w:r>
        <w:r>
          <w:fldChar w:fldCharType="end"/>
        </w:r>
      </w:hyperlink>
    </w:p>
    <w:p>
      <w:pPr>
        <w:pStyle w:val="TOC2"/>
        <w:tabs>
          <w:tab w:val="right" w:leader="dot" w:pos="8306"/>
        </w:tabs>
      </w:pPr>
      <w:hyperlink w:anchor="_Toc32098" w:history="1">
        <w:r>
          <w:rPr>
            <w:rFonts w:ascii="仿宋" w:eastAsia="仿宋" w:hAnsi="仿宋" w:cs="仿宋" w:hint="eastAsia"/>
            <w:lang w:eastAsia="zh-CN"/>
          </w:rPr>
          <w:t>(一)、文化艺术经纪代理服务项目实施保障机制</w:t>
        </w:r>
        <w:r>
          <w:tab/>
        </w:r>
        <w:r>
          <w:fldChar w:fldCharType="begin"/>
        </w:r>
        <w:r>
          <w:instrText xml:space="preserve"> PAGEREF _Toc32098 \h </w:instrText>
        </w:r>
        <w:r>
          <w:fldChar w:fldCharType="separate"/>
        </w:r>
        <w:r>
          <w:t>50</w:t>
        </w:r>
        <w:r>
          <w:fldChar w:fldCharType="end"/>
        </w:r>
      </w:hyperlink>
    </w:p>
    <w:p>
      <w:pPr>
        <w:pStyle w:val="TOC2"/>
        <w:tabs>
          <w:tab w:val="right" w:leader="dot" w:pos="8306"/>
        </w:tabs>
      </w:pPr>
      <w:hyperlink w:anchor="_Toc26595" w:history="1">
        <w:r>
          <w:rPr>
            <w:rFonts w:ascii="仿宋" w:eastAsia="仿宋" w:hAnsi="仿宋" w:cs="仿宋" w:hint="eastAsia"/>
            <w:lang w:eastAsia="zh-CN"/>
          </w:rPr>
          <w:t>(二)、文化艺术经纪代理服务项目法律合规要求</w:t>
        </w:r>
        <w:r>
          <w:tab/>
        </w:r>
        <w:r>
          <w:fldChar w:fldCharType="begin"/>
        </w:r>
        <w:r>
          <w:instrText xml:space="preserve"> PAGEREF _Toc26595 \h </w:instrText>
        </w:r>
        <w:r>
          <w:fldChar w:fldCharType="separate"/>
        </w:r>
        <w:r>
          <w:t>54</w:t>
        </w:r>
        <w:r>
          <w:fldChar w:fldCharType="end"/>
        </w:r>
      </w:hyperlink>
    </w:p>
    <w:p>
      <w:pPr>
        <w:pStyle w:val="TOC2"/>
        <w:tabs>
          <w:tab w:val="right" w:leader="dot" w:pos="8306"/>
        </w:tabs>
      </w:pPr>
      <w:hyperlink w:anchor="_Toc263" w:history="1">
        <w:r>
          <w:rPr>
            <w:rFonts w:ascii="仿宋" w:eastAsia="仿宋" w:hAnsi="仿宋" w:cs="仿宋" w:hint="eastAsia"/>
            <w:lang w:eastAsia="zh-CN"/>
          </w:rPr>
          <w:t>(三)、文化艺术经纪代理服务项目合同管理与法律事务</w:t>
        </w:r>
        <w:r>
          <w:tab/>
        </w:r>
        <w:r>
          <w:fldChar w:fldCharType="begin"/>
        </w:r>
        <w:r>
          <w:instrText xml:space="preserve"> PAGEREF _Toc263 \h </w:instrText>
        </w:r>
        <w:r>
          <w:fldChar w:fldCharType="separate"/>
        </w:r>
        <w:r>
          <w:t>59</w:t>
        </w:r>
        <w:r>
          <w:fldChar w:fldCharType="end"/>
        </w:r>
      </w:hyperlink>
    </w:p>
    <w:p>
      <w:pPr>
        <w:pStyle w:val="TOC2"/>
        <w:tabs>
          <w:tab w:val="right" w:leader="dot" w:pos="8306"/>
        </w:tabs>
      </w:pPr>
      <w:hyperlink w:anchor="_Toc11990" w:history="1">
        <w:r>
          <w:rPr>
            <w:rFonts w:ascii="仿宋" w:eastAsia="仿宋" w:hAnsi="仿宋" w:cs="仿宋" w:hint="eastAsia"/>
            <w:lang w:eastAsia="zh-CN"/>
          </w:rPr>
          <w:t>(四)、文化艺术经纪代理服务项目知识产权保护策略</w:t>
        </w:r>
        <w:r>
          <w:tab/>
        </w:r>
        <w:r>
          <w:fldChar w:fldCharType="begin"/>
        </w:r>
        <w:r>
          <w:instrText xml:space="preserve"> PAGEREF _Toc11990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398"/>
      <w:r>
        <w:rPr>
          <w:rFonts w:ascii="仿宋" w:eastAsia="仿宋" w:hAnsi="仿宋" w:cs="仿宋" w:hint="eastAsia"/>
          <w:sz w:val="28"/>
          <w:lang w:eastAsia="zh-CN"/>
        </w:rPr>
        <w:t>一、文化艺术经纪代理服务项目危机管理</w:t>
      </w:r>
      <w:bookmarkEnd w:id="2"/>
    </w:p>
    <w:p>
      <w:pPr>
        <w:pStyle w:val="Heading2"/>
        <w:rPr>
          <w:rFonts w:ascii="仿宋" w:eastAsia="仿宋" w:hAnsi="仿宋" w:cs="仿宋" w:hint="eastAsia"/>
          <w:lang w:eastAsia="zh-CN"/>
        </w:rPr>
      </w:pPr>
      <w:bookmarkStart w:id="3" w:name="_Toc2873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文化艺术经纪代理服务项目危机管理中，危机预警与识别是确保文化艺术经纪代理服务项目稳健运行的核心步骤。通过建立全面的监测机制，文化艺术经纪代理服务项目团队旨在及时发现和理解潜在的风险和危机因素，以便采取及时的预防和应对措施，确保文化艺术经纪代理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文化艺术经纪代理服务项目团队全面分析了整个文化艺术经纪代理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文化艺术经纪代理服务项目团队着重于明确定义文化艺术经纪代理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文化艺术经纪代理服务项目进展的持续监控，团队能够及时发现潜在问题并作出迅速反应。文化艺术经纪代理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文化艺术经纪代理服务项目得以更有序、可控地推进。</w:t>
      </w:r>
    </w:p>
    <w:p>
      <w:pPr>
        <w:pStyle w:val="Heading2"/>
        <w:ind w:firstLine="560" w:firstLineChars="200"/>
        <w:rPr>
          <w:rFonts w:ascii="仿宋" w:eastAsia="仿宋" w:hAnsi="仿宋" w:cs="仿宋" w:hint="eastAsia"/>
          <w:sz w:val="28"/>
          <w:lang w:eastAsia="zh-CN"/>
        </w:rPr>
      </w:pPr>
      <w:bookmarkStart w:id="4" w:name="_Toc2798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在危机发生时，文化艺术经纪代理服务项目团队立即行动，成立了应急小组。该小组的任务是迅速制定并实施紧急应对措施，以最小化潜在损失。以下是采取的主要措施：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暂停文化艺术经纪代理服务项目进度：为遏制危机蔓延，文化艺术经纪代理服务项目暂时停止进行，以便全面评估当前状况。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资源重新分配：重新评估文化艺术经纪代理服务项目资源的分配，确保最大限度地减小损失。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实时沟通：与关键利益相关者建立实时沟通机制，向他们传递文化艺术经纪代理服务项目危机的实际状况，保障文化艺术经纪代理服务项目核心利益。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在紧急应对的同时，文化艺术经纪代理服务项目团队强调了团队协作和有效沟通的重要性。以下是团队协作的关键举措：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信息共享机制：建立了信息共享平台，确保团队成员能够及时获取文化艺术经纪代理服务项目危机的实时信息。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领导者沟通：文化艺术经纪代理服务项目领导者通过定期会议和即时沟通工具，指导团队应对危机，保持团队稳定运行。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随着危机得到初步控制，文化艺术经纪代理服务项目团队转向制定恢复计划，以确保文化艺术经纪代理服务项目能够从中迅速恢复。主要恢复计划包括：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修复受损的进度计划：重新评估文化艺术经纪代理服务项目进度，制定修复计划，确保文化艺术经纪代理服务项目尽快回归正常进程。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重新调整资源分配：优化资源分配，确保文化艺术经纪代理服务项目在有限资源下高效运转。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风险管理机制加强：对文化艺术经纪代理服务项目风险进行全面评估，制定更强化的风险管理策略，以预防未来可能的危机。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571"/>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609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文化艺术经纪代理服务项目的技术管理特点体现在其创新导向。通过引入最先进的技术趋势和解决方案，文化艺术经纪代理服务项目致力于提升科技含量、提高质量和效率水平。这意味着我们将采用最新的工具和方法，确保文化艺术经纪代理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文化艺术经纪代理服务项目技术管理的显著特征。通过整合不同领域的技术资源，我们实现了跨学科的协同工作。这有助于优化技术架构，提高整体效能。此外，整合性策略还促进了不同技术团队之间的紧密沟通和高效合作，确保文化艺术经纪代理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文化艺术经纪代理服务项目所采用的技术。通过不断优化技术方案，文化艺术经纪代理服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文化艺术经纪代理服务项目团队将在文化艺术经纪代理服务项目初期识别可能的技术风险，并采取相应的预防和应对措施。通过建立健全的风险评估机制，文化艺术经纪代理服务项目能够在实施过程中及时发现并解决潜在的技术问题，保障文化艺术经纪代理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文化艺术经纪代理服务项目中，技术将成为文化艺术经纪代理服务项目成功的有力支持。这一深度剖析揭示了技术管理在文化艺术经纪代理服务项目实施中的关键作用，为文化艺术经纪代理服务项目的技术基础奠定了坚实的基础。</w:t>
      </w:r>
    </w:p>
    <w:p>
      <w:pPr>
        <w:pStyle w:val="Heading2"/>
        <w:ind w:firstLine="560" w:firstLineChars="200"/>
        <w:rPr>
          <w:rFonts w:ascii="仿宋" w:eastAsia="仿宋" w:hAnsi="仿宋" w:cs="仿宋" w:hint="eastAsia"/>
          <w:sz w:val="28"/>
          <w:lang w:eastAsia="zh-CN"/>
        </w:rPr>
      </w:pPr>
      <w:bookmarkStart w:id="7" w:name="_Toc3313"/>
      <w:r>
        <w:rPr>
          <w:rFonts w:ascii="仿宋" w:eastAsia="仿宋" w:hAnsi="仿宋" w:cs="仿宋" w:hint="eastAsia"/>
          <w:sz w:val="28"/>
          <w:lang w:eastAsia="zh-CN"/>
        </w:rPr>
        <w:t>(二)、文化艺术经纪代理服务项目工艺技术设计方案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文化艺术经纪代理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文化艺术经纪代理服务项目将严格按照相关行业规范要求进行组织。通过有效控制产品质量，文化艺术经纪代理服务项目将致力于为顾客提供优质的文化艺术经纪代理服务项目产品和良好的服务。这体现了文化艺术经纪代理服务项目对于生产活动合规性和质量标准的高度重视，为文化艺术经纪代理服务项目的可持续发展和顾客满意度奠定了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文化艺术经纪代理服务项目注重生态效益和清洁生产原则。文化艺术经纪代理服务项目建设将紧密结合地方特色经济发展，与社会经济发展规划和区域环境保护规划方案相协调一致。通过与当地区域自然生态系统的结合，文化艺术经纪代理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文化艺术经纪代理服务项目产品具有多样化的客户需求和个性化的特点。因此，文化艺术经纪代理服务项目产品规格品种多样，且单批生产数量较小。为满足这一特点，文化艺术经纪代理服务项目承办单位将建设先进的柔性制造生产线。通过广泛应用柔性制造技术，文化艺术经纪代理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文化艺术经纪代理服务项目采用的技术具有较高的技术含量和自动化水平，处于国内先进水平。这一技术选用不仅体现了对生产效率、质量和环境友好性的高标准要求，同时为文化艺术经纪代理服务项目的可持续发展奠定了坚实的基础。</w:t>
      </w:r>
    </w:p>
    <w:p>
      <w:pPr>
        <w:pStyle w:val="Heading2"/>
        <w:ind w:firstLine="560" w:firstLineChars="200"/>
        <w:rPr>
          <w:rFonts w:ascii="仿宋" w:eastAsia="仿宋" w:hAnsi="仿宋" w:cs="仿宋" w:hint="eastAsia"/>
          <w:sz w:val="28"/>
          <w:lang w:eastAsia="zh-CN"/>
        </w:rPr>
      </w:pPr>
      <w:bookmarkStart w:id="8" w:name="_Toc29869"/>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为确保文化艺术经纪代理服务项目的高效生产和技术实施，我们制定了一套精心设计的设备选型方案，以满足文化艺术经纪代理服务项目生产、质量和环保的要求。该方案的主要特点如下：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文化艺术经纪代理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文化艺术经纪代理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455"/>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6679"/>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文化艺术经纪代理服务项目的主要产品是XXXX，预计年产值为XXX万元。这一产品在市场中占据着重要的地位，其广泛的应用范围使得该文化艺术经纪代理服务项目的市场前景非常广阔。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文化艺术经纪代理服务项目的xxx产品作为重要的原材料之一，将在多个领域发挥关键作用。其在建筑、交通、能源等方面的广泛应用将为整个产业链提供强大的支持，形成产业协同效应。文化艺术经纪代理服务项目的年产值XXX万XXX万XXX万万元不仅反映了其在市场上的巨大潜力，更预示着它对国民经济的积极贡献。这种关联度高、涉及面广的产业关系，使得该文化艺术经纪代理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8516"/>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艺术经纪代理服务项目总征地面积为XXXX平方米，相当于约XX.XX亩，其中净用地面积为XXXX平方米，红线范围内相当于约XX.XX亩。这一用地规模充分考虑了文化艺术经纪代理服务项目的建设需求，保障了文化艺术经纪代理服务项目在合适的空间内得以充分发展。文化艺术经纪代理服务项目规划的总建筑面积为XXXX平方米，其中主体工程建设占XXXX平方米，计容建筑面积达XXXX平方米。预计建筑工程的投资将达到XXXX万元，为文化艺术经纪代理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艺术经纪代理服务项目计划购置的设备共计XXXX台（套），设备购置费用为XXXX万元。这一设备购置计划充分考虑到文化艺术经纪代理服务项目的生产需求和技术要求，确保了文化艺术经纪代理服务项目在生产运营中具备先进的技术装备和高效的生产能力。设备的合理配置将为文化艺术经纪代理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化艺术经纪代理服务项目计划总投资为XXXX万元，预计年实现营业收入为XXXX万元。这一产能规模的设定旨在确保文化艺术经纪代理服务项目能够在投资与回报之间取得平衡，实现长期可持续的发展。文化艺术经纪代理服务项目的总投资充分考虑到各个方面的需求，包括用地建设、设备购置等多个环节，以确保文化艺术经纪代理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8511"/>
      <w:r>
        <w:rPr>
          <w:rFonts w:ascii="仿宋" w:eastAsia="仿宋" w:hAnsi="仿宋" w:cs="仿宋" w:hint="eastAsia"/>
          <w:sz w:val="28"/>
          <w:lang w:eastAsia="zh-CN"/>
        </w:rPr>
        <w:t>四、文化艺术经纪代理服务项目土建工程</w:t>
      </w:r>
      <w:bookmarkEnd w:id="12"/>
    </w:p>
    <w:p>
      <w:pPr>
        <w:pStyle w:val="Heading2"/>
        <w:rPr>
          <w:rFonts w:ascii="仿宋" w:eastAsia="仿宋" w:hAnsi="仿宋" w:cs="仿宋" w:hint="eastAsia"/>
          <w:lang w:eastAsia="zh-CN"/>
        </w:rPr>
      </w:pPr>
      <w:bookmarkStart w:id="13" w:name="_Toc23205"/>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在文化艺术经纪代理服务项目的建筑工程设计中，我们将秉承一系列重要的设计原则，以确保文化艺术经纪代理服务项目建筑在功能、美观、可持续性等方面达到最佳效果。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首要原则是确保建筑的功能性得到最大化的发挥。我们将充分理解文化艺术经纪代理服务项目的实际需求，合理布局各个功能区域，保证建筑在满足业务需求的同时，提供高效的工作环境。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在建筑设计中，我们将综合考虑建设和运营成本。通过精细的经济效益分析，确保设计方案在高效利用资源的同时，对文化艺术经纪代理服务项目的长期盈利能力有积极的贡献。</w:t>
      </w:r>
    </w:p>
    <w:p>
      <w:pPr>
        <w:pStyle w:val="Heading2"/>
        <w:ind w:firstLine="560" w:firstLineChars="200"/>
        <w:rPr>
          <w:rFonts w:ascii="仿宋" w:eastAsia="仿宋" w:hAnsi="仿宋" w:cs="仿宋" w:hint="eastAsia"/>
          <w:sz w:val="28"/>
          <w:lang w:eastAsia="zh-CN"/>
        </w:rPr>
      </w:pPr>
      <w:bookmarkStart w:id="14" w:name="_Toc3001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文化艺术经纪代理服务项目的土建工程设计中，我们将精准设定设计年限，结合文化艺术经纪代理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文化艺术经纪代理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447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文化艺术经纪代理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文化艺术经纪代理服务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文化艺术经纪代理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3173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本期工程文化艺术经纪代理服务项目预计总建筑面积XXX平方米，其中：计容建筑面积XXX平方米，计划建筑工程投资XX万元，占文化艺术经纪代理服务项目总投资的XX%。</w:t>
      </w:r>
    </w:p>
    <w:p>
      <w:pPr>
        <w:pStyle w:val="Heading1"/>
        <w:ind w:firstLine="560" w:firstLineChars="200"/>
        <w:rPr>
          <w:rFonts w:ascii="仿宋" w:eastAsia="仿宋" w:hAnsi="仿宋" w:cs="仿宋" w:hint="eastAsia"/>
          <w:sz w:val="28"/>
          <w:lang w:eastAsia="zh-CN"/>
        </w:rPr>
      </w:pPr>
      <w:bookmarkStart w:id="17" w:name="_Toc30162"/>
      <w:r>
        <w:rPr>
          <w:rFonts w:ascii="仿宋" w:eastAsia="仿宋" w:hAnsi="仿宋" w:cs="仿宋" w:hint="eastAsia"/>
          <w:sz w:val="28"/>
          <w:lang w:eastAsia="zh-CN"/>
        </w:rPr>
        <w:t>五、文化艺术经纪代理服务项目绩效评估</w:t>
      </w:r>
      <w:bookmarkEnd w:id="17"/>
    </w:p>
    <w:p>
      <w:pPr>
        <w:pStyle w:val="Heading2"/>
        <w:rPr>
          <w:rFonts w:ascii="仿宋" w:eastAsia="仿宋" w:hAnsi="仿宋" w:cs="仿宋" w:hint="eastAsia"/>
          <w:lang w:eastAsia="zh-CN"/>
        </w:rPr>
      </w:pPr>
      <w:bookmarkStart w:id="18" w:name="_Toc14388"/>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文化艺术经纪代理服务项目中，我们设计了一套全面的绩效评估指标，以确保文化艺术经纪代理服务项目的可控和成功交付。这些指标跨足文化艺术经纪代理服务项目目标、成本、进度和质量等多个维度，为我们提供了全面洞察文化艺术经纪代理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艺术经纪代理服务项目目标达成率是我们关注的首要指标。我们设定了明确的目标，并通过定期监测和评估，迅速发现并应对潜在的目标偏差。这为文化艺术经纪代理服务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成本绩效是另一个核心关注点。通过实际成本与预算成本的对比分析，我们深入了解成本差异的原因，及时调整资源分配，保持文化艺术经纪代理服务项目在经济效益方面的合理水平。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艺术经纪代理服务项目进度作为关键的绩效指标之一，得到了精心的关注。我们制定了详细的文化艺术经纪代理服务项目进度计划，并设立了进度符合度指标，确保实际进度与计划进度保持一致。这使我们能够快速发现和解决潜在的进度问题，保持文化艺术经纪代理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文化艺术经纪代理服务项目绩效的不可或缺的一环。我们引入了一系列的质量标准和客户满意度指标，以确保文化艺术经纪代理服务项目交付的成果在质量上达到或超越预期水平。通过持续监测这些指标，我们努力提升文化艺术经纪代理服务项目整体质量水平，为文化艺术经纪代理服务项目的成功交付提供有力保障。通过这些科学且全面的绩效评估，我们能够更好地引导文化艺术经纪代理服务项目的持续改进，确保文化艺术经纪代理服务项目目标的顺利达成。</w:t>
      </w:r>
    </w:p>
    <w:p>
      <w:pPr>
        <w:pStyle w:val="Heading2"/>
        <w:ind w:firstLine="560" w:firstLineChars="200"/>
        <w:rPr>
          <w:rFonts w:ascii="仿宋" w:eastAsia="仿宋" w:hAnsi="仿宋" w:cs="仿宋" w:hint="eastAsia"/>
          <w:sz w:val="28"/>
          <w:lang w:eastAsia="zh-CN"/>
        </w:rPr>
      </w:pPr>
      <w:bookmarkStart w:id="19" w:name="_Toc11403"/>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绩效评估是文化艺术经纪代理服务项目中的关键环节，为确保文化艺术经纪代理服务项目达到预期目标，我们采用了多层次、多维度的绩效评估方法。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文化艺术经纪代理服务项目的战略目标对齐，确保每个决策和行动都与文化艺术经纪代理服务项目整体目标保持一致。团队会定期召开战略对齐会议，审视当前工作与文化艺术经纪代理服务项目战略是否保持一致，以及是否需要调整战略方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https://d.book118.com/188104134015006025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文化艺术经纪代理服务项目规划设计方案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CB472D"/>
    <w:rsid w:val="24CB47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810413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2024-01-08T15:18:00Z</dcterms:created>
  <dcterms:modified xsi:type="dcterms:W3CDTF">2024-01-08T15:18:49Z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54991A33D5814A18ABE3A98ED1BECA10_11</vt:lpwstr>
  </property>
  <property fmtid="{D5CDD505-2E9C-101B-9397-08002B2CF9AE}" pid="3" name="KSOProductBuildVer">
    <vt:lpwstr>2052-12.1.0.16120</vt:lpwstr>
  </property>
</Properties>
</file>