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0" w:firstLineChars="0"/>
        <w:jc w:val="center"/>
        <w:textAlignment w:val="auto"/>
        <w:outlineLvl w:val="0"/>
        <w:rPr>
          <w:rFonts w:ascii="楷体" w:eastAsia="楷体" w:hAnsi="楷体" w:cs="宋体" w:hint="eastAsia"/>
          <w:b/>
          <w:bCs/>
          <w:kern w:val="0"/>
          <w:sz w:val="44"/>
          <w:szCs w:val="144"/>
        </w:rPr>
      </w:pPr>
      <w:bookmarkStart w:id="0" w:name="_Toc3150"/>
    </w:p>
    <w:p>
      <w:pPr>
        <w:pStyle w:val="Default"/>
        <w:rPr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ind w:firstLine="0" w:firstLineChars="0"/>
        <w:jc w:val="center"/>
        <w:textAlignment w:val="auto"/>
        <w:outlineLvl w:val="0"/>
        <w:rPr>
          <w:rFonts w:ascii="楷体" w:eastAsia="楷体" w:hAnsi="楷体" w:cs="宋体" w:hint="default"/>
          <w:b/>
          <w:bCs/>
          <w:kern w:val="0"/>
          <w:sz w:val="44"/>
          <w:szCs w:val="144"/>
        </w:rPr>
      </w:pPr>
      <w:r>
        <w:rPr>
          <w:rFonts w:ascii="楷体" w:eastAsia="楷体" w:hAnsi="楷体" w:cs="宋体" w:hint="eastAsia"/>
          <w:b/>
          <w:bCs/>
          <w:kern w:val="0"/>
          <w:sz w:val="44"/>
          <w:szCs w:val="144"/>
          <w:lang w:val="en-US" w:eastAsia="zh-CN"/>
        </w:rPr>
        <w:t>通州湾示范区TR20011地块一标段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0" w:firstLineChars="0"/>
        <w:jc w:val="center"/>
        <w:textAlignment w:val="auto"/>
        <w:outlineLvl w:val="0"/>
        <w:rPr>
          <w:rFonts w:ascii="楷体" w:eastAsia="楷体" w:hAnsi="楷体" w:cs="宋体" w:hint="default"/>
          <w:b/>
          <w:bCs/>
          <w:spacing w:val="105"/>
          <w:kern w:val="0"/>
          <w:sz w:val="52"/>
          <w:szCs w:val="52"/>
        </w:rPr>
      </w:pPr>
      <w:r>
        <w:rPr>
          <w:rFonts w:ascii="楷体" w:eastAsia="楷体" w:hAnsi="楷体" w:cs="宋体" w:hint="eastAsia"/>
          <w:b/>
          <w:bCs/>
          <w:kern w:val="0"/>
          <w:sz w:val="52"/>
          <w:szCs w:val="52"/>
          <w:lang w:val="en-US" w:eastAsia="zh-CN"/>
        </w:rPr>
        <w:t>人防工程施工组织设计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eastAsia="仿宋_GB2312" w:hint="eastAsia"/>
        </w:rPr>
      </w:pPr>
      <w:r>
        <w:rPr>
          <w:rFonts w:eastAsia="仿宋_GB2312" w:hint="eastAsia"/>
        </w:rPr>
        <w:drawing>
          <wp:inline distT="0" distB="0" distL="114300" distR="114300">
            <wp:extent cx="3378835" cy="1949450"/>
            <wp:effectExtent l="0" t="0" r="0" b="0"/>
            <wp:docPr id="10" name="图片 5" descr="精诚透明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精诚透明log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rcRect t="215" b="38950"/>
                    <a:stretch>
                      <a:fillRect/>
                    </a:stretch>
                  </pic:blipFill>
                  <pic:spPr>
                    <a:xfrm>
                      <a:off x="0" y="0"/>
                      <a:ext cx="3378835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center"/>
        <w:textAlignment w:val="auto"/>
        <w:rPr>
          <w:rFonts w:ascii="黑体" w:eastAsia="黑体" w:hAnsi="黑体" w:cs="黑体" w:hint="eastAsia"/>
          <w:b/>
          <w:bCs w:val="0"/>
          <w:spacing w:val="283"/>
          <w:sz w:val="44"/>
          <w:szCs w:val="44"/>
        </w:rPr>
      </w:pPr>
      <w:r>
        <w:rPr>
          <w:rFonts w:ascii="黑体" w:eastAsia="黑体" w:hAnsi="黑体" w:cs="黑体" w:hint="eastAsia"/>
          <w:b/>
          <w:bCs w:val="0"/>
          <w:spacing w:val="283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center"/>
        <w:textAlignment w:val="auto"/>
        <w:rPr>
          <w:rFonts w:eastAsia="仿宋_GB2312" w:hint="eastAsia"/>
          <w:b/>
          <w:bCs w:val="0"/>
          <w:sz w:val="44"/>
          <w:szCs w:val="44"/>
        </w:rPr>
      </w:pPr>
      <w:r>
        <w:rPr>
          <w:rFonts w:ascii="黑体" w:eastAsia="黑体" w:hAnsi="黑体" w:cs="黑体" w:hint="eastAsia"/>
          <w:b/>
          <w:bCs w:val="0"/>
          <w:spacing w:val="283"/>
          <w:sz w:val="44"/>
          <w:szCs w:val="44"/>
          <w:lang w:val="en-US" w:eastAsia="zh-CN"/>
        </w:rPr>
        <w:t>精诚集团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0"/>
        <w:rPr>
          <w:rFonts w:eastAsia="仿宋_GB2312" w:hint="eastAsia"/>
        </w:rPr>
      </w:pPr>
      <w:r>
        <w:rPr>
          <w:rFonts w:eastAsia="仿宋_GB2312" w:hint="eastAsia"/>
          <w:b/>
          <w:bCs w:val="0"/>
          <w:sz w:val="44"/>
          <w:szCs w:val="44"/>
          <w:lang w:val="en-US" w:eastAsia="zh-CN"/>
        </w:rPr>
        <w:t xml:space="preserve"> </w:t>
      </w:r>
      <w:bookmarkStart w:id="1" w:name="_Toc11568"/>
      <w:bookmarkStart w:id="2" w:name="_Toc9397"/>
      <w:bookmarkStart w:id="3" w:name="_Toc28664"/>
      <w:bookmarkStart w:id="4" w:name="_Toc15924"/>
      <w:bookmarkStart w:id="5" w:name="_Toc29778"/>
      <w:bookmarkStart w:id="6" w:name="_Toc22077"/>
      <w:r>
        <w:rPr>
          <w:rFonts w:eastAsia="仿宋_GB2312" w:hint="eastAsia"/>
          <w:b/>
          <w:bCs w:val="0"/>
          <w:sz w:val="44"/>
          <w:szCs w:val="44"/>
          <w:lang w:val="en-US" w:eastAsia="zh-CN"/>
        </w:rPr>
        <w:t>JINGCHENG GROUP</w:t>
      </w:r>
      <w:bookmarkEnd w:id="1"/>
      <w:bookmarkEnd w:id="2"/>
      <w:bookmarkEnd w:id="3"/>
      <w:bookmarkEnd w:id="4"/>
      <w:bookmarkEnd w:id="5"/>
      <w:bookmarkEnd w:id="6"/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600"/>
        <w:textAlignment w:val="auto"/>
        <w:outlineLvl w:val="0"/>
        <w:rPr>
          <w:rFonts w:ascii="楷体" w:eastAsia="楷体" w:hAnsi="楷体" w:cs="楷体" w:hint="eastAsia"/>
          <w:b/>
          <w:bCs w:val="0"/>
          <w:sz w:val="32"/>
          <w:szCs w:val="32"/>
        </w:rPr>
      </w:pPr>
      <w:bookmarkStart w:id="7" w:name="_Toc14685"/>
      <w:bookmarkStart w:id="8" w:name="_Toc24355"/>
      <w:bookmarkStart w:id="9" w:name="_Toc6667"/>
      <w:bookmarkStart w:id="10" w:name="_Toc4283"/>
      <w:bookmarkStart w:id="11" w:name="_Toc12985"/>
      <w:bookmarkStart w:id="12" w:name="_Toc1389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600"/>
        <w:textAlignment w:val="auto"/>
        <w:outlineLvl w:val="0"/>
        <w:rPr>
          <w:rFonts w:ascii="楷体" w:eastAsia="楷体" w:hAnsi="楷体" w:cs="楷体" w:hint="eastAsia"/>
          <w:b/>
          <w:bCs w:val="0"/>
          <w:sz w:val="32"/>
          <w:szCs w:val="32"/>
          <w:u w:val="single"/>
        </w:rPr>
      </w:pPr>
      <w:r>
        <w:rPr>
          <w:rFonts w:ascii="楷体" w:eastAsia="楷体" w:hAnsi="楷体" w:cs="楷体" w:hint="eastAsia"/>
          <w:b/>
          <w:bCs w:val="0"/>
          <w:sz w:val="32"/>
          <w:szCs w:val="32"/>
          <w:lang w:val="en-US" w:eastAsia="zh-CN"/>
        </w:rPr>
        <w:t>编制单位：</w:t>
      </w:r>
      <w:r>
        <w:rPr>
          <w:rFonts w:ascii="楷体" w:eastAsia="楷体" w:hAnsi="楷体" w:cs="楷体" w:hint="eastAsia"/>
          <w:b/>
          <w:bCs w:val="0"/>
          <w:sz w:val="32"/>
          <w:szCs w:val="32"/>
          <w:u w:val="single"/>
          <w:lang w:val="en-US" w:eastAsia="zh-CN"/>
        </w:rPr>
        <w:t>南通精诚建设集团有限公司</w:t>
      </w:r>
      <w:bookmarkEnd w:id="7"/>
      <w:bookmarkEnd w:id="8"/>
      <w:bookmarkEnd w:id="9"/>
      <w:bookmarkEnd w:id="10"/>
      <w:bookmarkEnd w:id="11"/>
      <w:bookmarkEnd w:id="1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600"/>
        <w:jc w:val="left"/>
        <w:textAlignment w:val="auto"/>
        <w:rPr>
          <w:rFonts w:ascii="楷体" w:eastAsia="楷体" w:hAnsi="楷体" w:cs="楷体" w:hint="eastAsia"/>
          <w:b/>
          <w:bCs w:val="0"/>
          <w:sz w:val="32"/>
          <w:szCs w:val="32"/>
          <w:u w:val="single"/>
        </w:rPr>
      </w:pPr>
      <w:r>
        <w:rPr>
          <w:rFonts w:ascii="楷体" w:eastAsia="楷体" w:hAnsi="楷体" w:cs="楷体" w:hint="eastAsia"/>
          <w:b/>
          <w:bCs w:val="0"/>
          <w:sz w:val="32"/>
          <w:szCs w:val="32"/>
          <w:lang w:val="en-US" w:eastAsia="zh-CN"/>
        </w:rPr>
        <w:t>编 制 人：</w:t>
      </w:r>
      <w:r>
        <w:rPr>
          <w:rFonts w:ascii="楷体" w:eastAsia="楷体" w:hAnsi="楷体" w:cs="楷体" w:hint="eastAsia"/>
          <w:b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600"/>
        <w:jc w:val="left"/>
        <w:textAlignment w:val="auto"/>
        <w:rPr>
          <w:rFonts w:ascii="楷体" w:eastAsia="楷体" w:hAnsi="楷体" w:cs="楷体" w:hint="eastAsia"/>
          <w:b/>
          <w:bCs w:val="0"/>
          <w:sz w:val="32"/>
          <w:szCs w:val="32"/>
          <w:u w:val="single"/>
        </w:rPr>
      </w:pPr>
      <w:r>
        <w:rPr>
          <w:rFonts w:ascii="楷体" w:eastAsia="楷体" w:hAnsi="楷体" w:cs="楷体" w:hint="eastAsia"/>
          <w:b/>
          <w:bCs w:val="0"/>
          <w:sz w:val="32"/>
          <w:szCs w:val="32"/>
          <w:lang w:val="en-US" w:eastAsia="zh-CN"/>
        </w:rPr>
        <w:t>审 核 人：</w:t>
      </w:r>
      <w:r>
        <w:rPr>
          <w:rFonts w:ascii="楷体" w:eastAsia="楷体" w:hAnsi="楷体" w:cs="楷体" w:hint="eastAsia"/>
          <w:b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0" w:firstLineChars="600"/>
        <w:jc w:val="left"/>
        <w:textAlignment w:val="auto"/>
        <w:rPr>
          <w:rFonts w:ascii="楷体" w:eastAsia="楷体" w:hAnsi="楷体" w:cs="楷体" w:hint="eastAsia"/>
          <w:b/>
          <w:bCs w:val="0"/>
          <w:sz w:val="32"/>
          <w:szCs w:val="32"/>
          <w:u w:val="single"/>
        </w:rPr>
      </w:pPr>
      <w:r>
        <w:rPr>
          <w:rFonts w:ascii="楷体" w:eastAsia="楷体" w:hAnsi="楷体" w:cs="楷体" w:hint="eastAsia"/>
          <w:b/>
          <w:bCs w:val="0"/>
          <w:sz w:val="32"/>
          <w:szCs w:val="32"/>
          <w:lang w:val="en-US" w:eastAsia="zh-CN"/>
        </w:rPr>
        <w:t>审 批 人：</w:t>
      </w:r>
      <w:r>
        <w:rPr>
          <w:rFonts w:ascii="楷体" w:eastAsia="楷体" w:hAnsi="楷体" w:cs="楷体" w:hint="eastAsia"/>
          <w:b/>
          <w:bCs w:val="0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pStyle w:val="30"/>
        <w:ind w:firstLine="1920" w:firstLineChars="600"/>
        <w:jc w:val="both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  <w:b/>
          <w:bCs w:val="0"/>
          <w:sz w:val="32"/>
          <w:szCs w:val="32"/>
          <w:lang w:val="en-US" w:eastAsia="zh-CN"/>
        </w:rPr>
        <w:t>日    期：   2023年 3月5日</w:t>
      </w:r>
    </w:p>
    <w:p>
      <w:pPr>
        <w:jc w:val="center"/>
        <w:rPr>
          <w:rFonts w:ascii="黑体" w:eastAsia="黑体" w:hAnsi="黑体" w:cs="黑体"/>
          <w:b/>
          <w:bCs/>
          <w:sz w:val="36"/>
          <w:szCs w:val="36"/>
        </w:rPr>
      </w:pPr>
    </w:p>
    <w:p>
      <w:pPr>
        <w:pStyle w:val="30"/>
        <w:spacing w:line="240" w:lineRule="auto"/>
        <w:ind w:firstLine="536"/>
        <w:jc w:val="center"/>
        <w:rPr>
          <w:rFonts w:ascii="楷体" w:eastAsia="楷体" w:hAnsi="楷体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851" w:footer="850" w:gutter="0"/>
          <w:pgNumType w:fmt="decimal" w:start="1"/>
          <w:cols w:num="1" w:space="720"/>
          <w:titlePg/>
          <w:docGrid w:type="lines" w:linePitch="326" w:charSpace="0"/>
        </w:sectPr>
      </w:pPr>
      <w:bookmarkStart w:id="13" w:name="_Hlk96238894"/>
    </w:p>
    <w:bookmarkEnd w:id="13"/>
    <w:p>
      <w:pPr>
        <w:sectPr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417" w:right="1417" w:bottom="1417" w:left="1417" w:header="851" w:footer="850" w:gutter="0"/>
          <w:pgNumType w:fmt="decimal" w:start="2"/>
          <w:cols w:num="1" w:space="425"/>
          <w:titlePg/>
          <w:docGrid w:type="lines" w:linePitch="326" w:charSpace="0"/>
        </w:sectPr>
      </w:pPr>
    </w:p>
    <w:sdt>
      <w:sdtPr>
        <w:rPr>
          <w:rFonts w:ascii="Times New Roman" w:hAnsi="Times New Roman"/>
          <w:b w:val="0"/>
          <w:bCs w:val="0"/>
          <w:color w:val="auto"/>
          <w:kern w:val="2"/>
          <w:sz w:val="24"/>
          <w:szCs w:val="24"/>
          <w:lang w:val="zh-CN"/>
        </w:rPr>
        <w:id w:val="-1397512939"/>
        <w:docPartObj>
          <w:docPartGallery w:val="Table of Contents"/>
          <w:docPartUnique/>
        </w:docPartObj>
      </w:sdtPr>
      <w:sdtEndPr>
        <w:rPr>
          <w:rFonts w:ascii="Times New Roman" w:hAnsi="Times New Roman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10"/>
            <w:keepNext/>
            <w:keepLines/>
            <w:pageBreakBefore w:val="0"/>
            <w:widowControl/>
            <w:tabs>
              <w:tab w:val="center" w:pos="4153"/>
              <w:tab w:val="left" w:pos="6384"/>
              <w:tab w:val="left" w:pos="7512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0" w:line="360" w:lineRule="auto"/>
            <w:textAlignment w:val="auto"/>
          </w:pPr>
          <w:bookmarkStart w:id="14" w:name="_Toc27738"/>
          <w:r>
            <w:rPr>
              <w:lang w:val="zh-CN"/>
            </w:rPr>
            <w:tab/>
          </w:r>
          <w:r>
            <w:rPr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>目</w:t>
          </w:r>
          <w:r>
            <w:rPr>
              <w:rFonts w:hint="eastAsia"/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 xml:space="preserve"> </w:t>
          </w:r>
          <w:r>
            <w:rPr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 xml:space="preserve"> 录</w:t>
          </w:r>
          <w:bookmarkEnd w:id="14"/>
          <w:r>
            <w:rPr>
              <w:lang w:val="zh-CN"/>
            </w:rPr>
            <w:tab/>
          </w:r>
          <w:r>
            <w:rPr>
              <w:lang w:val="zh-CN"/>
            </w:rPr>
            <w:tab/>
          </w:r>
          <w:r>
            <w:rPr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Cs w:val="0"/>
            </w:rPr>
            <w:fldChar w:fldCharType="separate"/>
          </w:r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6078" w:history="1">
            <w:r>
              <w:rPr>
                <w:rFonts w:ascii="宋体" w:hAnsi="宋体" w:cs="宋体" w:hint="eastAsia"/>
                <w:bCs/>
                <w:szCs w:val="28"/>
              </w:rPr>
              <w:t>第一章  编制依据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_Toc26078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2632" w:history="1">
            <w:r>
              <w:rPr>
                <w:rFonts w:ascii="宋体" w:hAnsi="宋体" w:cs="宋体" w:hint="eastAsia"/>
                <w:bCs/>
                <w:szCs w:val="28"/>
              </w:rPr>
              <w:t>第二章  工程概况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_Toc22632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7867" w:history="1">
            <w:r>
              <w:rPr>
                <w:rFonts w:ascii="宋体" w:hAnsi="宋体" w:cs="宋体" w:hint="eastAsia"/>
              </w:rPr>
              <w:t>一、基本概况：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_Toc7867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93" w:history="1">
            <w:r>
              <w:rPr>
                <w:rFonts w:ascii="宋体" w:hAnsi="宋体" w:cs="宋体" w:hint="eastAsia"/>
              </w:rPr>
              <w:t>二、人防工程概况：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_Toc93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1071" w:history="1">
            <w:r>
              <w:rPr>
                <w:rFonts w:ascii="宋体" w:hAnsi="宋体" w:cs="宋体" w:hint="eastAsia"/>
                <w:bCs/>
                <w:szCs w:val="28"/>
              </w:rPr>
              <w:t>第三章  施工部署与安排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_Toc21071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31203" w:history="1">
            <w:r>
              <w:rPr>
                <w:rFonts w:ascii="宋体" w:hAnsi="宋体" w:cs="宋体" w:hint="eastAsia"/>
              </w:rPr>
              <w:t>一、项目管理组织：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_Toc31203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5886" w:history="1">
            <w:r>
              <w:rPr>
                <w:rFonts w:ascii="宋体" w:hAnsi="宋体" w:cs="宋体" w:hint="eastAsia"/>
              </w:rPr>
              <w:t>二、项目管理目标：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_Toc25886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3835" w:history="1">
            <w:r>
              <w:rPr>
                <w:rFonts w:ascii="宋体" w:hAnsi="宋体" w:cs="宋体" w:hint="eastAsia"/>
              </w:rPr>
              <w:t>三、施工流水段的划分及施工工艺流程：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_Toc3835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3142" w:history="1">
            <w:r>
              <w:rPr>
                <w:rFonts w:ascii="宋体" w:hAnsi="宋体" w:cs="宋体" w:hint="eastAsia"/>
                <w:bCs/>
                <w:szCs w:val="28"/>
              </w:rPr>
              <w:t>第四章   施工准备工作计划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_Toc23142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4861" w:history="1">
            <w:r>
              <w:rPr>
                <w:rFonts w:ascii="宋体" w:hAnsi="宋体" w:cs="宋体" w:hint="eastAsia"/>
              </w:rPr>
              <w:t>一、施工技术准备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_Toc14861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6016" w:history="1">
            <w:r>
              <w:rPr>
                <w:rFonts w:ascii="宋体" w:hAnsi="宋体" w:cs="宋体" w:hint="eastAsia"/>
              </w:rPr>
              <w:t>二、劳动组织准备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_Toc16016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9219" w:history="1">
            <w:r>
              <w:rPr>
                <w:rFonts w:ascii="宋体" w:hAnsi="宋体" w:cs="宋体" w:hint="eastAsia"/>
              </w:rPr>
              <w:t>三、物资准备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_Toc19219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580" w:history="1">
            <w:r>
              <w:rPr>
                <w:rFonts w:ascii="宋体" w:hAnsi="宋体" w:cs="宋体" w:hint="eastAsia"/>
                <w:bCs/>
                <w:szCs w:val="28"/>
              </w:rPr>
              <w:t>第五章  施工平面布置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_Toc2580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18277" w:history="1">
            <w:r>
              <w:rPr>
                <w:rFonts w:ascii="宋体" w:hAnsi="宋体" w:cs="宋体" w:hint="eastAsia"/>
                <w:bCs/>
                <w:szCs w:val="28"/>
              </w:rPr>
              <w:t>第六章  施工资源计划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_Toc18277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6789" w:history="1">
            <w:r>
              <w:rPr>
                <w:rFonts w:ascii="宋体" w:hAnsi="宋体" w:cs="宋体" w:hint="eastAsia"/>
              </w:rPr>
              <w:t>一、劳动力需用量计划：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_Toc26789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4764" w:history="1">
            <w:r>
              <w:rPr>
                <w:rFonts w:ascii="宋体" w:hAnsi="宋体" w:cs="宋体" w:hint="eastAsia"/>
              </w:rPr>
              <w:t>二、施工工具需要量计划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_Toc24764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8322" w:history="1">
            <w:r>
              <w:rPr>
                <w:rFonts w:ascii="宋体" w:hAnsi="宋体" w:cs="宋体" w:hint="eastAsia"/>
              </w:rPr>
              <w:t>三、原材料需要量计划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_Toc28322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372" w:history="1">
            <w:r>
              <w:rPr>
                <w:rFonts w:ascii="宋体" w:hAnsi="宋体" w:cs="宋体" w:hint="eastAsia"/>
              </w:rPr>
              <w:t>四、施工机械、设备需要量计划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_Toc1372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2299" w:history="1">
            <w:r>
              <w:rPr>
                <w:rFonts w:ascii="宋体" w:hAnsi="宋体" w:cs="宋体" w:hint="eastAsia"/>
              </w:rPr>
              <w:t>五、测量装置需用量计划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_Toc22299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3177" w:history="1">
            <w:r>
              <w:rPr>
                <w:rFonts w:ascii="宋体" w:hAnsi="宋体" w:cs="宋体" w:hint="eastAsia"/>
                <w:bCs/>
                <w:szCs w:val="28"/>
              </w:rPr>
              <w:t>第七章  施工进度计划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_Toc23177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30442" w:history="1">
            <w:r>
              <w:rPr>
                <w:rFonts w:ascii="宋体" w:hAnsi="宋体" w:cs="宋体" w:hint="eastAsia"/>
              </w:rPr>
              <w:t>一、施工进度计划编制依据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_Toc30442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5286" w:history="1">
            <w:r>
              <w:rPr>
                <w:rFonts w:ascii="宋体" w:hAnsi="宋体" w:cs="宋体" w:hint="eastAsia"/>
              </w:rPr>
              <w:t>二、进度计划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_Toc15286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3747" w:history="1">
            <w:r>
              <w:rPr>
                <w:rFonts w:ascii="宋体" w:hAnsi="宋体" w:cs="宋体" w:hint="eastAsia"/>
              </w:rPr>
              <w:t>三、施工进度控制实施细则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_Toc13747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7660" w:history="1">
            <w:r>
              <w:rPr>
                <w:rFonts w:ascii="宋体" w:hAnsi="宋体" w:cs="宋体" w:hint="eastAsia"/>
              </w:rPr>
              <w:t>四、进度计划控制措施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_Toc27660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12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9159" w:history="1">
            <w:r>
              <w:rPr>
                <w:rFonts w:ascii="宋体" w:hAnsi="宋体" w:cs="宋体" w:hint="eastAsia"/>
                <w:bCs/>
                <w:szCs w:val="28"/>
              </w:rPr>
              <w:t>第八章  主要分部分项工程的施工方案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_Toc9159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13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1812" w:history="1">
            <w:r>
              <w:rPr>
                <w:rFonts w:ascii="宋体" w:hAnsi="宋体" w:cs="宋体" w:hint="eastAsia"/>
              </w:rPr>
              <w:t>一、主要分部分项工程施工方法及工艺要求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_Toc21812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13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  <w:sectPr>
              <w:headerReference w:type="even" r:id="rId19"/>
              <w:headerReference w:type="default" r:id="rId20"/>
              <w:footerReference w:type="even" r:id="rId21"/>
              <w:footerReference w:type="default" r:id="rId22"/>
              <w:headerReference w:type="first" r:id="rId23"/>
              <w:footerReference w:type="first" r:id="rId24"/>
              <w:type w:val="nextPage"/>
              <w:pgSz w:w="11906" w:h="16838"/>
              <w:pgMar w:top="1417" w:right="1417" w:bottom="1417" w:left="1417" w:header="851" w:footer="850" w:gutter="0"/>
              <w:pgNumType w:fmt="decimal" w:start="3"/>
              <w:cols w:num="1" w:space="425"/>
              <w:titlePg w:val="0"/>
              <w:docGrid w:type="lines" w:linePitch="326" w:charSpace="0"/>
            </w:sectPr>
          </w:pPr>
          <w:hyperlink w:anchor="_Toc15423" w:history="1">
            <w:r>
              <w:rPr>
                <w:rFonts w:ascii="宋体" w:hAnsi="宋体" w:cs="宋体" w:hint="eastAsia"/>
                <w:bCs/>
                <w:szCs w:val="28"/>
              </w:rPr>
              <w:t>第九章  质量管理与控制措施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_Toc15423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38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</w:sdtContent>
    </w:sdt>
    <w:sdt>
      <w:sdtPr>
        <w:rPr>
          <w:rFonts w:ascii="Times New Roman" w:hAnsi="Times New Roman"/>
          <w:b w:val="0"/>
          <w:bCs w:val="0"/>
          <w:color w:val="auto"/>
          <w:kern w:val="2"/>
          <w:sz w:val="24"/>
          <w:szCs w:val="24"/>
          <w:lang w:val="zh-CN"/>
        </w:rPr>
        <w:id w:val="1459190033"/>
        <w:docPartObj>
          <w:docPartGallery w:val="Table of Contents"/>
          <w:docPartUnique/>
        </w:docPartObj>
      </w:sdtPr>
      <w:sdtEndPr>
        <w:rPr>
          <w:rFonts w:ascii="Times New Roman" w:hAnsi="Times New Roman"/>
          <w:b w:val="0"/>
          <w:bCs w:val="0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7816" w:history="1">
            <w:r>
              <w:rPr>
                <w:rFonts w:ascii="宋体" w:hAnsi="宋体" w:cs="宋体" w:hint="eastAsia"/>
              </w:rPr>
              <w:t>一、施工质量管理体系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_Toc17816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38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7370" w:history="1">
            <w:r>
              <w:rPr>
                <w:rFonts w:ascii="宋体" w:hAnsi="宋体" w:cs="宋体" w:hint="eastAsia"/>
              </w:rPr>
              <w:t>二、施工技术的质量控制措施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_Toc7370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39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9040" w:history="1">
            <w:r>
              <w:rPr>
                <w:rFonts w:ascii="宋体" w:hAnsi="宋体" w:cs="宋体" w:hint="eastAsia"/>
              </w:rPr>
              <w:t>三、施工材料的质量控制措施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_Toc29040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40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301" w:history="1">
            <w:r>
              <w:rPr>
                <w:rFonts w:ascii="宋体" w:hAnsi="宋体" w:cs="宋体" w:hint="eastAsia"/>
              </w:rPr>
              <w:t>四、过程质量控制措施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_Toc2301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40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21835" w:history="1">
            <w:r>
              <w:rPr>
                <w:rFonts w:ascii="宋体" w:hAnsi="宋体" w:cs="宋体" w:hint="eastAsia"/>
                <w:bCs/>
                <w:szCs w:val="28"/>
              </w:rPr>
              <w:t>第十章   安全管理与安全措施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_Toc21835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32047" w:history="1">
            <w:r>
              <w:rPr>
                <w:rFonts w:ascii="宋体" w:hAnsi="宋体" w:cs="宋体" w:hint="eastAsia"/>
              </w:rPr>
              <w:t>一、安全管理体系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_Toc32047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9976" w:history="1">
            <w:r>
              <w:rPr>
                <w:rFonts w:ascii="宋体" w:hAnsi="宋体" w:cs="宋体" w:hint="eastAsia"/>
              </w:rPr>
              <w:t>二、安全生产责任制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_Toc19976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41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9987" w:history="1">
            <w:r>
              <w:rPr>
                <w:rFonts w:ascii="宋体" w:hAnsi="宋体" w:cs="宋体" w:hint="eastAsia"/>
              </w:rPr>
              <w:t>三、安全措施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_Toc29987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42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="宋体" w:hAnsi="宋体" w:cs="宋体"/>
            </w:rPr>
          </w:pPr>
          <w:hyperlink w:anchor="_Toc6476" w:history="1">
            <w:r>
              <w:rPr>
                <w:rFonts w:ascii="宋体" w:hAnsi="宋体" w:cs="宋体" w:hint="eastAsia"/>
                <w:bCs/>
                <w:szCs w:val="28"/>
              </w:rPr>
              <w:t>第十一章   环保措施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_Toc6476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43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7919" w:history="1">
            <w:r>
              <w:rPr>
                <w:rFonts w:ascii="宋体" w:hAnsi="宋体" w:cs="宋体" w:hint="eastAsia"/>
              </w:rPr>
              <w:t>一、施工现场控制扬尘措施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_Toc27919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43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19198" w:history="1">
            <w:r>
              <w:rPr>
                <w:rFonts w:ascii="宋体" w:hAnsi="宋体" w:cs="宋体" w:hint="eastAsia"/>
              </w:rPr>
              <w:t>二、施工现场防止水污染措施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_Toc19198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6075" w:history="1">
            <w:r>
              <w:rPr>
                <w:rFonts w:ascii="宋体" w:hAnsi="宋体" w:cs="宋体" w:hint="eastAsia"/>
              </w:rPr>
              <w:t>三、施工现场防噪声污染措施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_Toc6075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ind w:left="480"/>
            <w:rPr>
              <w:rFonts w:ascii="宋体" w:hAnsi="宋体" w:cs="宋体"/>
            </w:rPr>
          </w:pPr>
          <w:hyperlink w:anchor="_Toc26450" w:history="1">
            <w:r>
              <w:rPr>
                <w:rFonts w:ascii="宋体" w:hAnsi="宋体" w:cs="宋体" w:hint="eastAsia"/>
              </w:rPr>
              <w:t>四、施工现场卫生防疫措施</w:t>
            </w:r>
            <w:r>
              <w:rPr>
                <w:rFonts w:ascii="宋体" w:hAnsi="宋体" w:cs="宋体" w:hint="eastAsia"/>
              </w:rPr>
              <w:tab/>
            </w:r>
            <w:r>
              <w:rPr>
                <w:rFonts w:ascii="宋体" w:hAnsi="宋体" w:cs="宋体" w:hint="eastAsia"/>
              </w:rPr>
              <w:fldChar w:fldCharType="begin"/>
            </w:r>
            <w:r>
              <w:rPr>
                <w:rFonts w:ascii="宋体" w:hAnsi="宋体" w:cs="宋体" w:hint="eastAsia"/>
              </w:rPr>
              <w:instrText xml:space="preserve"> PAGEREF _Toc26450 \h </w:instrText>
            </w:r>
            <w:r>
              <w:rPr>
                <w:rFonts w:ascii="宋体" w:hAnsi="宋体" w:cs="宋体" w:hint="eastAsia"/>
              </w:rPr>
              <w:fldChar w:fldCharType="separate"/>
            </w:r>
            <w:r>
              <w:rPr>
                <w:rFonts w:ascii="宋体" w:hAnsi="宋体" w:cs="宋体" w:hint="eastAsia"/>
              </w:rPr>
              <w:t>44</w:t>
            </w:r>
            <w:r>
              <w:rPr>
                <w:rFonts w:ascii="宋体" w:hAnsi="宋体" w:cs="宋体" w:hint="eastAsia"/>
              </w:rPr>
              <w:fldChar w:fldCharType="end"/>
            </w:r>
          </w:hyperlink>
        </w:p>
        <w:p>
          <w:pPr>
            <w:rPr>
              <w:rFonts w:ascii="宋体" w:hAnsi="宋体"/>
            </w:rPr>
          </w:pPr>
          <w:r>
            <w:rPr>
              <w:bCs/>
              <w:lang w:val="zh-CN"/>
            </w:rPr>
            <w:fldChar w:fldCharType="end"/>
          </w:r>
        </w:p>
      </w:sdtContent>
    </w:sdt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pStyle w:val="Default"/>
      </w:pPr>
    </w:p>
    <w:p>
      <w:pPr>
        <w:rPr>
          <w:rFonts w:ascii="宋体" w:hAnsi="宋体"/>
        </w:rPr>
        <w:sectPr>
          <w:headerReference w:type="even" r:id="rId25"/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type w:val="nextPage"/>
          <w:pgSz w:w="11906" w:h="16838"/>
          <w:pgMar w:top="1417" w:right="1417" w:bottom="1417" w:left="1417" w:header="851" w:footer="850" w:gutter="0"/>
          <w:pgNumType w:fmt="decimal" w:start="4"/>
          <w:cols w:num="1" w:space="425"/>
          <w:titlePg w:val="0"/>
          <w:docGrid w:type="lines" w:linePitch="326" w:charSpace="0"/>
        </w:sectPr>
      </w:pPr>
    </w:p>
    <w:bookmarkEnd w:id="0"/>
    <w:p>
      <w:pPr>
        <w:outlineLvl w:val="0"/>
        <w:rPr>
          <w:rFonts w:ascii="宋体" w:hAnsi="宋体"/>
          <w:b/>
          <w:bCs/>
          <w:sz w:val="28"/>
          <w:szCs w:val="28"/>
        </w:rPr>
      </w:pPr>
      <w:bookmarkStart w:id="15" w:name="_Toc26078"/>
      <w:bookmarkStart w:id="16" w:name="_Toc27614"/>
      <w:r>
        <w:rPr>
          <w:rFonts w:ascii="宋体" w:hAnsi="宋体" w:hint="eastAsia"/>
          <w:b/>
          <w:bCs/>
          <w:sz w:val="28"/>
          <w:szCs w:val="28"/>
        </w:rPr>
        <w:t>第一章  编制依据</w:t>
      </w:r>
      <w:bookmarkEnd w:id="15"/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</w:rPr>
        <w:t>1、</w:t>
      </w:r>
      <w:r>
        <w:rPr>
          <w:rFonts w:ascii="宋体" w:hAnsi="宋体" w:hint="eastAsia"/>
          <w:lang w:eastAsia="zh-CN"/>
        </w:rPr>
        <w:t>《</w:t>
      </w:r>
      <w:r>
        <w:rPr>
          <w:rFonts w:ascii="宋体" w:hAnsi="宋体" w:hint="eastAsia"/>
        </w:rPr>
        <w:t>人民防空工程设计规范</w:t>
      </w:r>
      <w:r>
        <w:rPr>
          <w:rFonts w:ascii="宋体" w:hAnsi="宋体" w:hint="eastAsia"/>
          <w:lang w:eastAsia="zh-CN"/>
        </w:rPr>
        <w:t>》</w:t>
      </w:r>
      <w:r>
        <w:rPr>
          <w:rFonts w:ascii="宋体" w:hAnsi="宋体" w:hint="eastAsia"/>
        </w:rPr>
        <w:t>（GB50225-2005</w:t>
      </w:r>
      <w:r>
        <w:rPr>
          <w:rFonts w:ascii="宋体" w:hAnsi="宋体"/>
        </w:rPr>
        <w:t>）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</w:rPr>
        <w:t>2、</w:t>
      </w:r>
      <w:r>
        <w:rPr>
          <w:rFonts w:ascii="宋体" w:hAnsi="宋体" w:hint="eastAsia"/>
          <w:lang w:eastAsia="zh-CN"/>
        </w:rPr>
        <w:t>《</w:t>
      </w:r>
      <w:r>
        <w:rPr>
          <w:rFonts w:ascii="宋体" w:hAnsi="宋体" w:hint="eastAsia"/>
        </w:rPr>
        <w:t>人民防空地下室设计规范</w:t>
      </w:r>
      <w:r>
        <w:rPr>
          <w:rFonts w:ascii="宋体" w:hAnsi="宋体" w:hint="eastAsia"/>
          <w:lang w:eastAsia="zh-CN"/>
        </w:rPr>
        <w:t>》</w:t>
      </w:r>
      <w:r>
        <w:rPr>
          <w:rFonts w:ascii="宋体" w:hAnsi="宋体" w:hint="eastAsia"/>
        </w:rPr>
        <w:t>（GB50038-2005</w:t>
      </w:r>
      <w:r>
        <w:rPr>
          <w:rFonts w:ascii="宋体" w:hAnsi="宋体"/>
        </w:rPr>
        <w:t>）</w:t>
      </w:r>
    </w:p>
    <w:p>
      <w:pPr>
        <w:ind w:left="480" w:hanging="480" w:hangingChars="200"/>
        <w:rPr>
          <w:rFonts w:ascii="宋体" w:hAnsi="宋体" w:hint="eastAsia"/>
        </w:rPr>
      </w:pPr>
      <w:r>
        <w:rPr>
          <w:rFonts w:ascii="宋体" w:hAnsi="宋体" w:hint="eastAsia"/>
        </w:rPr>
        <w:t>3、</w:t>
      </w:r>
      <w:r>
        <w:rPr>
          <w:rFonts w:ascii="宋体" w:hAnsi="宋体" w:hint="eastAsia"/>
          <w:lang w:eastAsia="zh-CN"/>
        </w:rPr>
        <w:t>《</w:t>
      </w:r>
      <w:r>
        <w:rPr>
          <w:rFonts w:ascii="宋体" w:hAnsi="宋体" w:hint="eastAsia"/>
          <w:lang w:val="en-US" w:eastAsia="zh-CN"/>
        </w:rPr>
        <w:t>人民防空工程施工及验收规范</w:t>
      </w:r>
      <w:r>
        <w:rPr>
          <w:rFonts w:ascii="宋体" w:hAnsi="宋体" w:hint="eastAsia"/>
          <w:lang w:eastAsia="zh-CN"/>
        </w:rPr>
        <w:t>》</w:t>
      </w:r>
      <w:r>
        <w:rPr>
          <w:rFonts w:ascii="宋体" w:hAnsi="宋体" w:hint="eastAsia"/>
          <w:lang w:val="en-US" w:eastAsia="zh-CN"/>
        </w:rPr>
        <w:t>（GB5014-2004）</w:t>
      </w:r>
    </w:p>
    <w:p>
      <w:pPr>
        <w:pStyle w:val="Default"/>
        <w:rPr>
          <w:lang w:val="en-US" w:eastAsia="zh-CN"/>
        </w:rPr>
      </w:pPr>
      <w:r>
        <w:rPr>
          <w:rFonts w:hint="eastAsia"/>
          <w:lang w:val="en-US" w:eastAsia="zh-CN"/>
        </w:rPr>
        <w:t>4、《人民防空工程质量验收与评价标准》（RFJ01-2015）</w:t>
      </w:r>
    </w:p>
    <w:p>
      <w:pPr>
        <w:pStyle w:val="Default"/>
        <w:rPr>
          <w:lang w:val="en-US" w:eastAsia="zh-CN"/>
        </w:rPr>
      </w:pPr>
      <w:r>
        <w:rPr>
          <w:rFonts w:hint="eastAsia"/>
          <w:lang w:val="en-US" w:eastAsia="zh-CN"/>
        </w:rPr>
        <w:t>5、《人民防空工程设备设施标志和着色标准》（RFJ01-2014）</w:t>
      </w:r>
    </w:p>
    <w:p>
      <w:pPr>
        <w:pStyle w:val="Default"/>
        <w:rPr>
          <w:lang w:val="en-US" w:eastAsia="zh-CN"/>
        </w:rPr>
      </w:pPr>
      <w:r>
        <w:rPr>
          <w:rFonts w:hint="eastAsia"/>
          <w:lang w:val="en-US" w:eastAsia="zh-CN"/>
        </w:rPr>
        <w:t>6、《人民防空工程防护设备选用图集》（RFJ-2008）</w:t>
      </w:r>
    </w:p>
    <w:p>
      <w:pPr>
        <w:pStyle w:val="Default"/>
        <w:rPr>
          <w:lang w:val="en-US" w:eastAsia="zh-CN"/>
        </w:rPr>
      </w:pPr>
      <w:r>
        <w:rPr>
          <w:rFonts w:hint="eastAsia"/>
          <w:lang w:val="en-US" w:eastAsia="zh-CN"/>
        </w:rPr>
        <w:t>7、《江苏省人民防空工程建设平战转换技术管理规定》（苏防[2018]70号文）</w:t>
      </w:r>
    </w:p>
    <w:p>
      <w:pPr>
        <w:pStyle w:val="Defaul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8、《江苏省人民防空工程标识技术规定》（苏防[2018]71号文）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9、</w:t>
      </w:r>
      <w:r>
        <w:rPr>
          <w:rFonts w:ascii="宋体" w:hAnsi="宋体" w:hint="eastAsia"/>
        </w:rPr>
        <w:t>混凝土结构设计规范（GB50010-201</w:t>
      </w:r>
      <w:r>
        <w:rPr>
          <w:rFonts w:ascii="宋体" w:hAnsi="宋体"/>
        </w:rPr>
        <w:t>0）</w:t>
      </w:r>
      <w:r>
        <w:rPr>
          <w:rFonts w:ascii="宋体" w:hAnsi="宋体" w:hint="eastAsia"/>
        </w:rPr>
        <w:t>2</w:t>
      </w:r>
      <w:r>
        <w:rPr>
          <w:rFonts w:ascii="宋体" w:hAnsi="宋体"/>
        </w:rPr>
        <w:t>015</w:t>
      </w:r>
      <w:r>
        <w:rPr>
          <w:rFonts w:ascii="宋体" w:hAnsi="宋体" w:hint="eastAsia"/>
        </w:rPr>
        <w:t>年版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10</w:t>
      </w:r>
      <w:r>
        <w:rPr>
          <w:rFonts w:ascii="宋体" w:hAnsi="宋体" w:hint="eastAsia"/>
        </w:rPr>
        <w:t>、建筑结构荷载规范（GB50009-2012</w:t>
      </w:r>
      <w:r>
        <w:rPr>
          <w:rFonts w:ascii="宋体" w:hAnsi="宋体"/>
        </w:rPr>
        <w:t>）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11</w:t>
      </w:r>
      <w:r>
        <w:rPr>
          <w:rFonts w:ascii="宋体" w:hAnsi="宋体" w:hint="eastAsia"/>
        </w:rPr>
        <w:t>、地下工程防水技术规范（GB50108-20</w:t>
      </w:r>
      <w:r>
        <w:rPr>
          <w:rFonts w:ascii="宋体" w:hAnsi="宋体"/>
        </w:rPr>
        <w:t>08）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12</w:t>
      </w:r>
      <w:r>
        <w:rPr>
          <w:rFonts w:ascii="宋体" w:hAnsi="宋体" w:hint="eastAsia"/>
        </w:rPr>
        <w:t>、其他现行的有关技术规范、规程及标准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13</w:t>
      </w:r>
      <w:r>
        <w:rPr>
          <w:rFonts w:ascii="宋体" w:hAnsi="宋体" w:hint="eastAsia"/>
        </w:rPr>
        <w:t>、本工程全部施工图纸及有关的标准图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14</w:t>
      </w:r>
      <w:r>
        <w:rPr>
          <w:rFonts w:ascii="宋体" w:hAnsi="宋体" w:hint="eastAsia"/>
        </w:rPr>
        <w:t>、本工程工程地质勘察报告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15</w:t>
      </w:r>
      <w:r>
        <w:rPr>
          <w:rFonts w:ascii="宋体" w:hAnsi="宋体" w:hint="eastAsia"/>
        </w:rPr>
        <w:t>、工程协议文件包括的有关内容</w:t>
      </w:r>
    </w:p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  <w:lang w:val="en-US" w:eastAsia="zh-CN"/>
        </w:rPr>
        <w:t>6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国家现行建筑安装工程施工及验收规范、规程</w:t>
      </w:r>
      <w:r>
        <w:rPr>
          <w:rFonts w:ascii="宋体" w:hAnsi="宋体" w:hint="eastAsia"/>
        </w:rPr>
        <w:t>，人民防空工程检查验收规范及标准以及本企业技术标准和质量、环境、职业安全健康管理体系文件</w:t>
      </w:r>
      <w:bookmarkStart w:id="17" w:name="_Toc93717724"/>
    </w:p>
    <w:bookmarkEnd w:id="17"/>
    <w:p>
      <w:pPr>
        <w:ind w:left="480" w:hanging="480" w:hangingChars="20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  <w:lang w:val="en-US" w:eastAsia="zh-CN"/>
        </w:rPr>
        <w:t>7</w:t>
      </w:r>
      <w:r>
        <w:rPr>
          <w:rFonts w:ascii="宋体" w:hAnsi="宋体" w:hint="eastAsia"/>
        </w:rPr>
        <w:t>、</w:t>
      </w:r>
      <w:r>
        <w:rPr>
          <w:rFonts w:ascii="宋体" w:hAnsi="宋体" w:hint="eastAsia"/>
          <w:lang w:eastAsia="zh-CN"/>
        </w:rPr>
        <w:t>通州湾示范区TR20011地块一标段</w:t>
      </w:r>
      <w:r>
        <w:rPr>
          <w:rFonts w:ascii="宋体" w:hAnsi="宋体" w:hint="eastAsia"/>
        </w:rPr>
        <w:t>施工组织设计</w:t>
      </w:r>
    </w:p>
    <w:p>
      <w:pPr>
        <w:outlineLvl w:val="0"/>
        <w:rPr>
          <w:rFonts w:ascii="宋体" w:hAnsi="宋体"/>
          <w:b/>
          <w:bCs/>
          <w:sz w:val="28"/>
          <w:szCs w:val="28"/>
        </w:rPr>
      </w:pPr>
      <w:bookmarkStart w:id="18" w:name="_Toc22632"/>
      <w:r>
        <w:rPr>
          <w:rFonts w:ascii="宋体" w:hAnsi="宋体" w:hint="eastAsia"/>
          <w:b/>
          <w:bCs/>
          <w:sz w:val="28"/>
          <w:szCs w:val="28"/>
        </w:rPr>
        <w:t>第二章  工程概况</w:t>
      </w:r>
      <w:bookmarkEnd w:id="16"/>
      <w:bookmarkEnd w:id="18"/>
    </w:p>
    <w:p>
      <w:pPr>
        <w:outlineLvl w:val="1"/>
        <w:rPr>
          <w:rFonts w:ascii="宋体" w:hAnsi="宋体"/>
        </w:rPr>
      </w:pPr>
      <w:bookmarkStart w:id="19" w:name="_Toc15268"/>
      <w:bookmarkStart w:id="20" w:name="_Toc7867"/>
      <w:r>
        <w:rPr>
          <w:rFonts w:ascii="宋体" w:hAnsi="宋体" w:hint="eastAsia"/>
        </w:rPr>
        <w:t>一、基本概况：</w:t>
      </w:r>
      <w:bookmarkEnd w:id="19"/>
      <w:bookmarkEnd w:id="20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  <w:lang w:eastAsia="zh-CN"/>
        </w:rPr>
        <w:t>通州湾示范区TR20011地块一标段</w:t>
      </w:r>
      <w:r>
        <w:rPr>
          <w:rFonts w:ascii="宋体" w:hAnsi="宋体" w:hint="eastAsia"/>
        </w:rPr>
        <w:t>项目位于</w:t>
      </w:r>
      <w:r>
        <w:rPr>
          <w:rFonts w:ascii="宋体" w:hAnsi="宋体" w:hint="eastAsia"/>
          <w:lang w:eastAsia="zh-CN"/>
        </w:rPr>
        <w:t>江苏省通州湾江海联动开发示范区黄河路北、扶海路东</w:t>
      </w:r>
      <w:r>
        <w:rPr>
          <w:rFonts w:ascii="宋体" w:hAnsi="宋体" w:hint="eastAsia"/>
        </w:rPr>
        <w:t>。项目总建筑面积</w:t>
      </w:r>
      <w:r>
        <w:rPr>
          <w:rFonts w:ascii="宋体" w:hAnsi="宋体" w:hint="eastAsia"/>
          <w:lang w:val="en-US" w:eastAsia="zh-CN"/>
        </w:rPr>
        <w:t>138450.83</w:t>
      </w:r>
      <w:r>
        <w:rPr>
          <w:rFonts w:ascii="宋体" w:hAnsi="宋体"/>
        </w:rPr>
        <w:t>m</w:t>
      </w:r>
      <w:r>
        <w:rPr>
          <w:rFonts w:ascii="宋体" w:hAnsi="宋体"/>
          <w:vertAlign w:val="superscript"/>
        </w:rPr>
        <w:t>2</w:t>
      </w:r>
      <w:r>
        <w:rPr>
          <w:rFonts w:ascii="宋体" w:hAnsi="宋体" w:hint="eastAsia"/>
        </w:rPr>
        <w:t>，周边交通便利。</w:t>
      </w:r>
    </w:p>
    <w:p>
      <w:pPr>
        <w:outlineLvl w:val="1"/>
        <w:rPr>
          <w:rFonts w:ascii="宋体" w:hAnsi="宋体"/>
        </w:rPr>
      </w:pPr>
      <w:bookmarkStart w:id="21" w:name="_Toc93"/>
      <w:bookmarkStart w:id="22" w:name="_Toc24796"/>
      <w:r>
        <w:rPr>
          <w:rFonts w:ascii="宋体" w:hAnsi="宋体" w:hint="eastAsia"/>
        </w:rPr>
        <w:t>二、人防工程概况：</w:t>
      </w:r>
      <w:bookmarkEnd w:id="21"/>
      <w:bookmarkEnd w:id="22"/>
    </w:p>
    <w:p>
      <w:pPr>
        <w:rPr>
          <w:rFonts w:ascii="宋体" w:hAnsi="宋体"/>
        </w:rPr>
        <w:sectPr>
          <w:headerReference w:type="even" r:id="rId31"/>
          <w:headerReference w:type="default" r:id="rId32"/>
          <w:footerReference w:type="even" r:id="rId33"/>
          <w:footerReference w:type="default" r:id="rId34"/>
          <w:headerReference w:type="first" r:id="rId35"/>
          <w:footerReference w:type="first" r:id="rId36"/>
          <w:type w:val="nextPage"/>
          <w:pgSz w:w="11906" w:h="16838"/>
          <w:pgMar w:top="1417" w:right="1417" w:bottom="1417" w:left="1417" w:header="851" w:footer="850" w:gutter="0"/>
          <w:pgNumType w:fmt="decimal" w:start="5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 xml:space="preserve">    本工程人防地下室面积</w:t>
      </w:r>
      <w:r>
        <w:rPr>
          <w:rFonts w:ascii="宋体" w:hAnsi="宋体" w:hint="eastAsia"/>
          <w:lang w:val="en-US" w:eastAsia="zh-CN"/>
        </w:rPr>
        <w:t>11471.54</w:t>
      </w:r>
      <w:r>
        <w:rPr>
          <w:rFonts w:ascii="宋体" w:hAnsi="宋体" w:hint="eastAsia"/>
        </w:rPr>
        <w:t>m</w:t>
      </w:r>
      <w:r>
        <w:rPr>
          <w:rFonts w:ascii="宋体" w:hAnsi="宋体" w:hint="eastAsia"/>
          <w:vertAlign w:val="superscript"/>
        </w:rPr>
        <w:t>2</w:t>
      </w:r>
      <w:r>
        <w:rPr>
          <w:rFonts w:ascii="宋体" w:hAnsi="宋体" w:hint="eastAsia"/>
          <w:lang w:eastAsia="zh-CN"/>
        </w:rPr>
        <w:t>；</w:t>
      </w:r>
      <w:r>
        <w:rPr>
          <w:rFonts w:ascii="宋体" w:hAnsi="宋体" w:hint="eastAsia"/>
        </w:rPr>
        <w:t>人防区分为6个防护单元</w:t>
      </w:r>
      <w:r>
        <w:rPr>
          <w:rFonts w:ascii="宋体" w:hAnsi="宋体" w:hint="eastAsia"/>
          <w:lang w:eastAsia="zh-CN"/>
        </w:rPr>
        <w:t>；</w:t>
      </w:r>
      <w:r>
        <w:rPr>
          <w:rFonts w:ascii="宋体" w:hAnsi="宋体" w:hint="eastAsia"/>
        </w:rPr>
        <w:t>防护类别为甲类</w:t>
      </w:r>
      <w:r>
        <w:rPr>
          <w:rFonts w:ascii="宋体" w:hAnsi="宋体" w:hint="eastAsia"/>
          <w:lang w:eastAsia="zh-CN"/>
        </w:rPr>
        <w:t>；</w:t>
      </w:r>
      <w:r>
        <w:rPr>
          <w:rFonts w:ascii="宋体" w:hAnsi="宋体" w:hint="eastAsia"/>
        </w:rPr>
        <w:t>抗力</w:t>
      </w:r>
      <w:r>
        <w:rPr>
          <w:rFonts w:ascii="宋体" w:hAnsi="宋体" w:hint="eastAsia"/>
          <w:lang w:val="en-US" w:eastAsia="zh-CN"/>
        </w:rPr>
        <w:t>等级</w:t>
      </w:r>
      <w:r>
        <w:rPr>
          <w:rFonts w:ascii="宋体" w:hAnsi="宋体" w:hint="eastAsia"/>
        </w:rPr>
        <w:t>为核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常</w:t>
      </w:r>
      <w:r>
        <w:rPr>
          <w:rFonts w:ascii="宋体" w:hAnsi="宋体" w:hint="eastAsia"/>
          <w:lang w:val="en-US" w:eastAsia="zh-CN"/>
        </w:rPr>
        <w:t>5级，</w:t>
      </w:r>
      <w:r>
        <w:rPr>
          <w:rFonts w:ascii="宋体" w:hAnsi="宋体" w:hint="eastAsia"/>
        </w:rPr>
        <w:t>核6常6</w:t>
      </w:r>
      <w:r>
        <w:rPr>
          <w:rFonts w:ascii="宋体" w:hAnsi="宋体" w:hint="eastAsia"/>
          <w:lang w:val="en-US" w:eastAsia="zh-CN"/>
        </w:rPr>
        <w:t>级；二等人员掩蔽</w:t>
      </w:r>
      <w:r>
        <w:rPr>
          <w:rFonts w:ascii="宋体" w:hAnsi="宋体" w:hint="eastAsia"/>
        </w:rPr>
        <w:t>防化</w:t>
      </w:r>
      <w:r>
        <w:rPr>
          <w:rFonts w:ascii="宋体" w:hAnsi="宋体" w:hint="eastAsia"/>
          <w:lang w:val="en-US" w:eastAsia="zh-CN"/>
        </w:rPr>
        <w:t>等级为</w:t>
      </w:r>
      <w:r>
        <w:rPr>
          <w:rFonts w:ascii="宋体" w:hAnsi="宋体" w:hint="eastAsia"/>
        </w:rPr>
        <w:t>丙级</w:t>
      </w:r>
      <w:r>
        <w:rPr>
          <w:rFonts w:ascii="宋体" w:hAnsi="宋体" w:hint="eastAsia"/>
          <w:lang w:eastAsia="zh-CN"/>
        </w:rPr>
        <w:t>，</w:t>
      </w:r>
      <w:r>
        <w:rPr>
          <w:rFonts w:ascii="宋体" w:hAnsi="宋体" w:hint="eastAsia"/>
          <w:lang w:val="en-US" w:eastAsia="zh-CN"/>
        </w:rPr>
        <w:t>专业队人员防化等级为乙级，专业队车辆防化等级为无级</w:t>
      </w:r>
      <w:r>
        <w:rPr>
          <w:rFonts w:ascii="宋体" w:hAnsi="宋体" w:hint="eastAsia"/>
        </w:rPr>
        <w:t>。平时使用功能为地下车库，战时为</w:t>
      </w:r>
      <w:r>
        <w:rPr>
          <w:rFonts w:ascii="宋体" w:hAnsi="宋体" w:hint="eastAsia"/>
          <w:lang w:val="en-US" w:eastAsia="zh-CN"/>
        </w:rPr>
        <w:t>4个二等人员掩蔽部、1个专业队人员、1个专业队车辆及1个战时固定式电站</w:t>
      </w:r>
      <w:r>
        <w:rPr>
          <w:rFonts w:ascii="宋体" w:hAnsi="宋体" w:hint="eastAsia"/>
        </w:rPr>
        <w:t>；</w:t>
      </w:r>
    </w:p>
    <w:p>
      <w:pPr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战时使用面积8830</w:t>
      </w:r>
      <w:r>
        <w:rPr>
          <w:rFonts w:ascii="宋体" w:eastAsia="宋体" w:hAnsi="宋体" w:cs="宋体" w:hint="eastAsia"/>
          <w:lang w:val="en-US" w:eastAsia="zh-CN"/>
        </w:rPr>
        <w:t>㎡</w:t>
      </w:r>
      <w:r>
        <w:rPr>
          <w:rFonts w:ascii="宋体" w:hAnsi="宋体" w:hint="eastAsia"/>
          <w:lang w:val="en-US" w:eastAsia="zh-CN"/>
        </w:rPr>
        <w:t>，战时人员掩蔽面积5300</w:t>
      </w:r>
      <w:r>
        <w:rPr>
          <w:rFonts w:ascii="宋体" w:eastAsia="宋体" w:hAnsi="宋体" w:cs="宋体" w:hint="eastAsia"/>
          <w:lang w:val="en-US" w:eastAsia="zh-CN"/>
        </w:rPr>
        <w:t>㎡</w:t>
      </w:r>
      <w:r>
        <w:rPr>
          <w:rFonts w:ascii="宋体" w:hAnsi="宋体" w:cs="宋体" w:hint="eastAsia"/>
          <w:lang w:val="en-US" w:eastAsia="zh-CN"/>
        </w:rPr>
        <w:t>；战时掩蔽4800人</w:t>
      </w:r>
      <w:r>
        <w:rPr>
          <w:rFonts w:ascii="宋体" w:hAnsi="宋体" w:hint="eastAsia"/>
        </w:rPr>
        <w:t>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本工程人防地下室设置在</w:t>
      </w:r>
      <w:r>
        <w:rPr>
          <w:rFonts w:ascii="宋体" w:hAnsi="宋体" w:hint="eastAsia"/>
          <w:lang w:val="en-US" w:eastAsia="zh-CN"/>
        </w:rPr>
        <w:t>地下车库北侧</w:t>
      </w:r>
      <w:r>
        <w:rPr>
          <w:rFonts w:ascii="宋体" w:hAnsi="宋体" w:hint="eastAsia"/>
        </w:rPr>
        <w:t>区域，人防层楼层净高3.</w:t>
      </w:r>
      <w:r>
        <w:rPr>
          <w:rFonts w:ascii="宋体" w:hAnsi="宋体" w:hint="eastAsia"/>
          <w:lang w:val="en-US" w:eastAsia="zh-CN"/>
        </w:rPr>
        <w:t>55</w:t>
      </w:r>
      <w:r>
        <w:rPr>
          <w:rFonts w:ascii="宋体" w:hAnsi="宋体" w:hint="eastAsia"/>
        </w:rPr>
        <w:t>m，人防顶板除特殊注明外都为250mm厚；基础为</w:t>
      </w:r>
      <w:r>
        <w:rPr>
          <w:rFonts w:ascii="宋体" w:hAnsi="宋体" w:hint="eastAsia"/>
          <w:lang w:val="en-US" w:eastAsia="zh-CN"/>
        </w:rPr>
        <w:t>3</w:t>
      </w:r>
      <w:r>
        <w:rPr>
          <w:rFonts w:ascii="宋体" w:hAnsi="宋体" w:hint="eastAsia"/>
        </w:rPr>
        <w:t>50mm厚筏板基础，人防地下室剪力墙墙厚300mm厚，人防顶板、顶梁混凝土强度等级为C35；本防空地下室顶板应采用防水混凝土，防水等级、防水结构构件抗渗等级为P6；本防空地下室的耐火等级为一级，防空地下室的顶板不应抹灰，墙面抹灰不得掺用纸筋等可能霉烂的材料。</w:t>
      </w:r>
    </w:p>
    <w:p>
      <w:pPr>
        <w:jc w:val="center"/>
        <w:rPr>
          <w:rFonts w:ascii="宋体" w:hAnsi="宋体"/>
        </w:rPr>
      </w:pPr>
      <w:r>
        <w:rPr>
          <w:rFonts w:ascii="宋体" w:hAnsi="宋体" w:hint="eastAsia"/>
          <w:lang w:val="en-US" w:eastAsia="zh-CN"/>
        </w:rPr>
        <w:t>防护分区示意</w:t>
      </w:r>
      <w:r>
        <w:rPr>
          <w:rFonts w:ascii="宋体" w:hAnsi="宋体" w:hint="eastAsia"/>
        </w:rPr>
        <w:t>图</w:t>
      </w:r>
    </w:p>
    <w:p>
      <w:pPr>
        <w:rPr>
          <w:rFonts w:ascii="宋体" w:hAnsi="宋体"/>
        </w:rPr>
      </w:pPr>
      <w:r>
        <w:drawing>
          <wp:inline distT="0" distB="0" distL="114300" distR="114300">
            <wp:extent cx="5885180" cy="2376170"/>
            <wp:effectExtent l="0" t="0" r="12700" b="12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rcRect l="30796" t="26716" r="17224" b="16761"/>
                    <a:stretch>
                      <a:fillRect/>
                    </a:stretch>
                  </pic:blipFill>
                  <pic:spPr>
                    <a:xfrm>
                      <a:off x="0" y="0"/>
                      <a:ext cx="5885180" cy="237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宋体" w:hAnsi="宋体"/>
        </w:rPr>
      </w:pPr>
      <w:bookmarkStart w:id="23" w:name="_Toc21071"/>
      <w:bookmarkStart w:id="24" w:name="_Toc21446"/>
      <w:bookmarkStart w:id="25" w:name="_Toc153160570"/>
      <w:bookmarkStart w:id="26" w:name="_Toc324584290"/>
      <w:r>
        <w:rPr>
          <w:rFonts w:ascii="宋体" w:hAnsi="宋体" w:hint="eastAsia"/>
          <w:b/>
          <w:bCs/>
          <w:sz w:val="28"/>
          <w:szCs w:val="28"/>
        </w:rPr>
        <w:t>第三章  施工部署与安排</w:t>
      </w:r>
      <w:bookmarkEnd w:id="23"/>
      <w:bookmarkEnd w:id="24"/>
    </w:p>
    <w:p>
      <w:pPr>
        <w:outlineLvl w:val="1"/>
        <w:rPr>
          <w:rFonts w:ascii="宋体" w:hAnsi="宋体"/>
        </w:rPr>
      </w:pPr>
      <w:bookmarkStart w:id="27" w:name="_Toc12998"/>
      <w:bookmarkStart w:id="28" w:name="_Toc31203"/>
      <w:r>
        <w:rPr>
          <w:rFonts w:ascii="宋体" w:hAnsi="宋体" w:hint="eastAsia"/>
        </w:rPr>
        <w:t>一、项目管理组织</w:t>
      </w:r>
      <w:bookmarkEnd w:id="25"/>
      <w:bookmarkEnd w:id="26"/>
      <w:r>
        <w:rPr>
          <w:rFonts w:ascii="宋体" w:hAnsi="宋体" w:hint="eastAsia"/>
        </w:rPr>
        <w:t>：</w:t>
      </w:r>
      <w:bookmarkEnd w:id="27"/>
      <w:bookmarkEnd w:id="28"/>
    </w:p>
    <w:p>
      <w:pPr>
        <w:rPr>
          <w:rFonts w:ascii="宋体" w:hAnsi="宋体"/>
        </w:rPr>
      </w:pPr>
      <w:bookmarkStart w:id="29" w:name="_Toc107768213"/>
      <w:bookmarkStart w:id="30" w:name="_Toc107770297"/>
      <w:bookmarkStart w:id="31" w:name="_Toc161401093"/>
      <w:bookmarkStart w:id="32" w:name="_Toc162428830"/>
      <w:bookmarkStart w:id="33" w:name="_Toc175622918"/>
      <w:bookmarkStart w:id="34" w:name="_Toc164074427"/>
      <w:r>
        <w:rPr>
          <w:rFonts w:ascii="宋体" w:hAnsi="宋体" w:hint="eastAsia"/>
        </w:rPr>
        <w:t>1、项目组织机构</w:t>
      </w:r>
      <w:bookmarkEnd w:id="29"/>
      <w:bookmarkEnd w:id="30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根据本工程的特点，组建项目部，项目部成员设置专业人才。建立质量保证体系及安全保证体系</w:t>
      </w:r>
      <w:bookmarkStart w:id="35" w:name="_Toc107770298"/>
      <w:bookmarkStart w:id="36" w:name="_Toc107768214"/>
      <w:r>
        <w:rPr>
          <w:rFonts w:ascii="宋体" w:hAnsi="宋体" w:hint="eastAsia"/>
        </w:rPr>
        <w:t>。</w:t>
      </w:r>
    </w:p>
    <w:bookmarkEnd w:id="35"/>
    <w:bookmarkEnd w:id="36"/>
    <w:p>
      <w:pPr>
        <w:rPr>
          <w:rFonts w:ascii="宋体" w:hAnsi="宋体"/>
        </w:rPr>
      </w:pPr>
      <w:bookmarkStart w:id="37" w:name="_Toc107770299"/>
      <w:bookmarkStart w:id="38" w:name="_Toc107768215"/>
      <w:r>
        <w:rPr>
          <w:rFonts w:ascii="宋体" w:hAnsi="宋体" w:hint="eastAsia"/>
        </w:rPr>
        <w:t>2、组织机构</w:t>
      </w:r>
      <w:bookmarkEnd w:id="37"/>
      <w:bookmarkEnd w:id="38"/>
      <w:r>
        <w:rPr>
          <w:rFonts w:ascii="宋体" w:hAnsi="宋体" w:hint="eastAsia"/>
        </w:rPr>
        <w:t>要求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-161290</wp:posOffset>
                </wp:positionH>
                <wp:positionV relativeFrom="paragraph">
                  <wp:posOffset>156845</wp:posOffset>
                </wp:positionV>
                <wp:extent cx="635" cy="0"/>
                <wp:effectExtent l="10160" t="10160" r="8255" b="8890"/>
                <wp:wrapNone/>
                <wp:docPr id="3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5" style="mso-wrap-distance-bottom:0;mso-wrap-distance-left:9pt;mso-wrap-distance-right:9pt;mso-wrap-distance-top:0;position:absolute;v-text-anchor:top;z-index:251658240" from="-12.7pt,12.35pt" to="-12.65pt,12.35pt" fillcolor="this" stroked="t" strokecolor="black" strokeweight="0.75pt">
                <v:stroke joinstyle="round"/>
              </v:line>
            </w:pict>
          </mc:Fallback>
        </mc:AlternateContent>
      </w:r>
      <w:r>
        <w:rPr>
          <w:rFonts w:ascii="宋体" w:hAnsi="宋体" w:hint="eastAsia"/>
        </w:rPr>
        <w:t>项目组织管理机构，要求严格质量控制、安全控制和进度计划控制。合理优化土建、水电安装和装饰之间的管理力量和劳动力搭配，认真协调好各分包之间关系，确保优质高效完成本工程。在质量程序控制和制度执行方面包括：技术复核系统；质量监督系统；材料管理系统；计量级配系统、项目质量监控体系包括：方针目标控制；技术规范控制；质量标准控制等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在安全程序控制和制度招待方面包括：安全巡视检查系统；安全生产保证体系。</w:t>
      </w:r>
    </w:p>
    <w:p>
      <w:pPr>
        <w:ind w:firstLine="480" w:firstLineChars="200"/>
        <w:rPr>
          <w:rFonts w:ascii="宋体" w:hAnsi="宋体"/>
        </w:rPr>
        <w:sectPr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417" w:right="1417" w:bottom="1417" w:left="1417" w:header="851" w:footer="850" w:gutter="0"/>
          <w:pgNumType w:fmt="decimal" w:start="6"/>
          <w:cols w:num="1" w:space="425"/>
          <w:titlePg w:val="0"/>
          <w:docGrid w:type="lines" w:linePitch="326" w:charSpace="0"/>
        </w:sectPr>
      </w:pP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在进度计划程序控制和制度执行方面包括：合同工期组织网络；合同工期保证体系；合同工期管理系统等。</w:t>
      </w:r>
      <w:bookmarkEnd w:id="31"/>
      <w:bookmarkEnd w:id="32"/>
      <w:bookmarkEnd w:id="33"/>
      <w:bookmarkEnd w:id="34"/>
    </w:p>
    <w:p>
      <w:pPr>
        <w:outlineLvl w:val="1"/>
        <w:rPr>
          <w:rFonts w:ascii="宋体" w:hAnsi="宋体"/>
        </w:rPr>
      </w:pPr>
      <w:bookmarkStart w:id="39" w:name="_Toc153160571"/>
      <w:bookmarkStart w:id="40" w:name="_Toc324584291"/>
      <w:bookmarkStart w:id="41" w:name="_Toc4160"/>
      <w:bookmarkStart w:id="42" w:name="_Toc25886"/>
      <w:r>
        <w:rPr>
          <w:rFonts w:ascii="宋体" w:hAnsi="宋体" w:hint="eastAsia"/>
        </w:rPr>
        <w:t>二、项目管理目标</w:t>
      </w:r>
      <w:bookmarkEnd w:id="39"/>
      <w:bookmarkEnd w:id="40"/>
      <w:r>
        <w:rPr>
          <w:rFonts w:ascii="宋体" w:hAnsi="宋体" w:hint="eastAsia"/>
        </w:rPr>
        <w:t>：</w:t>
      </w:r>
      <w:bookmarkEnd w:id="41"/>
      <w:bookmarkEnd w:id="42"/>
    </w:p>
    <w:p>
      <w:pPr>
        <w:rPr>
          <w:rFonts w:ascii="宋体" w:hAnsi="宋体"/>
        </w:rPr>
      </w:pPr>
      <w:bookmarkStart w:id="43" w:name="_Toc153160572"/>
      <w:r>
        <w:rPr>
          <w:rFonts w:ascii="宋体" w:hAnsi="宋体" w:hint="eastAsia"/>
        </w:rPr>
        <w:t>1、</w:t>
      </w:r>
      <w:r>
        <w:rPr>
          <w:rFonts w:ascii="宋体" w:hAnsi="宋体"/>
        </w:rPr>
        <w:t>质量目标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一次验收合格率为100%</w:t>
      </w:r>
      <w:r>
        <w:rPr>
          <w:rFonts w:ascii="宋体" w:hAnsi="宋体"/>
        </w:rPr>
        <w:t>，同时对业主指定分包商的质量进行全过程的监控，确保整个工程每一个分部工程</w:t>
      </w:r>
      <w:r>
        <w:rPr>
          <w:rFonts w:ascii="宋体" w:hAnsi="宋体" w:hint="eastAsia"/>
        </w:rPr>
        <w:t>一次验收合格率为100%，达到</w:t>
      </w:r>
      <w:r>
        <w:rPr>
          <w:rFonts w:ascii="宋体" w:hAnsi="宋体" w:hint="eastAsia"/>
          <w:lang w:eastAsia="zh-CN"/>
        </w:rPr>
        <w:t>“</w:t>
      </w:r>
      <w:r>
        <w:rPr>
          <w:rFonts w:ascii="宋体" w:hAnsi="宋体" w:hint="eastAsia"/>
          <w:lang w:val="en-US" w:eastAsia="zh-CN"/>
        </w:rPr>
        <w:t>紫琅杯</w:t>
      </w:r>
      <w:r>
        <w:rPr>
          <w:rFonts w:ascii="宋体" w:hAnsi="宋体" w:hint="eastAsia"/>
          <w:lang w:eastAsia="zh-CN"/>
        </w:rPr>
        <w:t>”</w:t>
      </w:r>
      <w:r>
        <w:rPr>
          <w:rFonts w:ascii="宋体" w:hAnsi="宋体" w:hint="eastAsia"/>
        </w:rPr>
        <w:t>优质结构工程。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2、</w:t>
      </w:r>
      <w:r>
        <w:rPr>
          <w:rFonts w:ascii="宋体" w:hAnsi="宋体"/>
        </w:rPr>
        <w:t>安全生产文明施工管理目标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/>
        </w:rPr>
        <w:t>确保工地成为安全零事故工地</w:t>
      </w:r>
      <w:r>
        <w:rPr>
          <w:rFonts w:ascii="宋体" w:hAnsi="宋体" w:hint="eastAsia"/>
        </w:rPr>
        <w:t>。</w:t>
      </w:r>
    </w:p>
    <w:bookmarkEnd w:id="43"/>
    <w:p>
      <w:pPr>
        <w:outlineLvl w:val="1"/>
        <w:rPr>
          <w:rFonts w:ascii="宋体" w:hAnsi="宋体"/>
        </w:rPr>
      </w:pPr>
      <w:bookmarkStart w:id="44" w:name="_Toc153160573"/>
      <w:bookmarkStart w:id="45" w:name="_Toc324584292"/>
      <w:bookmarkStart w:id="46" w:name="_Toc3835"/>
      <w:bookmarkStart w:id="47" w:name="_Toc25428"/>
      <w:r>
        <w:rPr>
          <w:rFonts w:ascii="宋体" w:hAnsi="宋体" w:hint="eastAsia"/>
        </w:rPr>
        <w:t>三、施工流水段的划分及施工工艺流程</w:t>
      </w:r>
      <w:bookmarkEnd w:id="44"/>
      <w:bookmarkEnd w:id="45"/>
      <w:r>
        <w:rPr>
          <w:rFonts w:ascii="宋体" w:hAnsi="宋体" w:hint="eastAsia"/>
        </w:rPr>
        <w:t>：</w:t>
      </w:r>
      <w:bookmarkEnd w:id="46"/>
      <w:bookmarkEnd w:id="47"/>
    </w:p>
    <w:p>
      <w:pPr>
        <w:rPr>
          <w:rFonts w:ascii="宋体" w:hAnsi="宋体"/>
        </w:rPr>
      </w:pPr>
      <w:r>
        <w:rPr>
          <w:rFonts w:ascii="宋体" w:hAnsi="宋体" w:hint="eastAsia"/>
        </w:rPr>
        <w:t>1、施工流水段的划分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根据本工程特点及结构形式本工程将进行整体流水，同时根据各楼栋情况再进行小段流水。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2、施工工艺流程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1）、根据工程情况确定施工总程序为: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地基工程</w:t>
      </w:r>
      <w:r>
        <w:rPr>
          <w:rFonts w:ascii="宋体" w:hAnsi="宋体"/>
        </w:rPr>
        <w:t>→</w:t>
      </w:r>
      <w:r>
        <w:rPr>
          <w:rFonts w:ascii="宋体" w:hAnsi="宋体" w:hint="eastAsia"/>
        </w:rPr>
        <w:t xml:space="preserve">主体工程 </w:t>
      </w:r>
      <w:r>
        <w:rPr>
          <w:rFonts w:ascii="宋体" w:hAnsi="宋体"/>
        </w:rPr>
        <w:t>→</w:t>
      </w:r>
      <w:r>
        <w:rPr>
          <w:rFonts w:ascii="宋体" w:hAnsi="宋体" w:hint="eastAsia"/>
        </w:rPr>
        <w:t xml:space="preserve"> 建筑装修工程</w:t>
      </w:r>
      <w:r>
        <w:rPr>
          <w:rFonts w:ascii="宋体" w:hAnsi="宋体"/>
        </w:rPr>
        <w:t>→</w:t>
      </w:r>
      <w:r>
        <w:rPr>
          <w:rFonts w:ascii="宋体" w:hAnsi="宋体" w:hint="eastAsia"/>
        </w:rPr>
        <w:t xml:space="preserve"> 孔口防护工程</w:t>
      </w:r>
      <w:r>
        <w:rPr>
          <w:rFonts w:ascii="宋体" w:hAnsi="宋体"/>
        </w:rPr>
        <w:t>→</w:t>
      </w:r>
      <w:r>
        <w:rPr>
          <w:rFonts w:ascii="宋体" w:hAnsi="宋体" w:hint="eastAsia"/>
        </w:rPr>
        <w:t xml:space="preserve">给排水工程、采暖通风 与空调工程、电气工程、防火设备安装工程 </w:t>
      </w:r>
      <w:r>
        <w:rPr>
          <w:rFonts w:ascii="宋体" w:hAnsi="宋体"/>
        </w:rPr>
        <w:t>→</w:t>
      </w:r>
      <w:r>
        <w:rPr>
          <w:rFonts w:ascii="宋体" w:hAnsi="宋体" w:hint="eastAsia"/>
        </w:rPr>
        <w:t>竣工验收。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2）、施工工艺总流程图</w:t>
      </w:r>
    </w:p>
    <w:p>
      <w:pPr>
        <w:ind w:firstLine="480" w:firstLineChars="200"/>
        <w:rPr>
          <w:rFonts w:ascii="宋体" w:hAnsi="宋体"/>
        </w:rPr>
        <w:sectPr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1417" w:right="1417" w:bottom="1417" w:left="1417" w:header="851" w:footer="850" w:gutter="0"/>
          <w:pgNumType w:fmt="decimal" w:start="7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>根据总程序要求及遵循先地下后地上、先主体后装修、先土建后安装的原则确定如下流程图：</w:t>
      </w:r>
    </w:p>
    <w:p>
      <w:pPr>
        <w:rPr>
          <w:rFonts w:ascii="宋体" w:hAnsi="宋体"/>
        </w:rPr>
      </w:pPr>
      <w:r>
        <w:rPr>
          <w:rFonts w:ascii="宋体" w:hAnsi="宋体"/>
        </w:rPr>
        <w:drawing>
          <wp:inline distT="0" distB="0" distL="0" distR="0">
            <wp:extent cx="5274310" cy="41021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宋体" w:hAnsi="宋体"/>
          <w:b/>
          <w:bCs/>
          <w:sz w:val="28"/>
          <w:szCs w:val="28"/>
        </w:rPr>
      </w:pPr>
      <w:bookmarkStart w:id="48" w:name="_Toc153160574"/>
      <w:bookmarkStart w:id="49" w:name="_Toc23142"/>
      <w:bookmarkStart w:id="50" w:name="_Toc22210"/>
      <w:bookmarkStart w:id="51" w:name="_Toc324584293"/>
      <w:r>
        <w:rPr>
          <w:rFonts w:ascii="宋体" w:hAnsi="宋体" w:hint="eastAsia"/>
          <w:b/>
          <w:bCs/>
          <w:sz w:val="28"/>
          <w:szCs w:val="28"/>
        </w:rPr>
        <w:t>第四章   施工准备工作计划</w:t>
      </w:r>
      <w:bookmarkEnd w:id="48"/>
      <w:bookmarkEnd w:id="49"/>
      <w:bookmarkEnd w:id="50"/>
      <w:bookmarkEnd w:id="51"/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 该工程计划包括：施工技术准备、施工现场准备、劳动组织准备、施工物资准备等。</w:t>
      </w:r>
    </w:p>
    <w:p>
      <w:pPr>
        <w:outlineLvl w:val="1"/>
        <w:rPr>
          <w:rFonts w:ascii="宋体" w:hAnsi="宋体"/>
        </w:rPr>
      </w:pPr>
      <w:bookmarkStart w:id="52" w:name="_Toc14861"/>
      <w:r>
        <w:rPr>
          <w:rFonts w:ascii="宋体" w:hAnsi="宋体" w:hint="eastAsia"/>
        </w:rPr>
        <w:t>一、施工</w:t>
      </w:r>
      <w:r>
        <w:rPr>
          <w:rFonts w:ascii="宋体" w:hAnsi="宋体"/>
        </w:rPr>
        <w:t>技术准备</w:t>
      </w:r>
      <w:bookmarkEnd w:id="52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 xml:space="preserve"> 1、熟悉及会审图纸：根据建设单位提供的图纸和地质资料，配备必要的标准图集和规范、规程，组织有关人员熟悉图纸，提出问题，参加建设单位组织的图纸会审，并做好会审记录。同时做好工程技术交底工作，包括单位工程施工组织设计、施工方案和施工技术标准等交底工作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、编制施工进度控制实施细则：根据合同工期进行编制施工作业计划，并分解工程进度控制目标，落实施工资源供应计划。严格控制工程进度计划目标，作好组织协调工作与实施跟踪监控工作，以及采取有效控制措施，保证工程进度控制目标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、编制施工质量控制实施细则：其中包括以下内容：建立健全施工质量体系，分解施工质量控制目标，确定分项工程质量控制点，落实质量控制措施，跟踪监控施工质量，采取有效控制措施，保证工程质量控制目标。</w:t>
      </w:r>
    </w:p>
    <w:p>
      <w:pPr>
        <w:outlineLvl w:val="1"/>
        <w:rPr>
          <w:rFonts w:ascii="宋体" w:hAnsi="宋体"/>
        </w:rPr>
        <w:sectPr>
          <w:headerReference w:type="even" r:id="rId51"/>
          <w:headerReference w:type="default" r:id="rId52"/>
          <w:footerReference w:type="even" r:id="rId53"/>
          <w:footerReference w:type="default" r:id="rId54"/>
          <w:headerReference w:type="first" r:id="rId55"/>
          <w:footerReference w:type="first" r:id="rId56"/>
          <w:type w:val="nextPage"/>
          <w:pgSz w:w="11906" w:h="16838"/>
          <w:pgMar w:top="1417" w:right="1417" w:bottom="1417" w:left="1417" w:header="851" w:footer="850" w:gutter="0"/>
          <w:pgNumType w:fmt="decimal" w:start="8"/>
          <w:cols w:num="1" w:space="425"/>
          <w:titlePg w:val="0"/>
          <w:docGrid w:type="lines" w:linePitch="326" w:charSpace="0"/>
        </w:sectPr>
      </w:pPr>
      <w:bookmarkStart w:id="53" w:name="_Toc16016"/>
      <w:r>
        <w:rPr>
          <w:rFonts w:ascii="宋体" w:hAnsi="宋体" w:hint="eastAsia"/>
        </w:rPr>
        <w:t>二、劳动组织准备</w:t>
      </w:r>
      <w:bookmarkEnd w:id="53"/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 1、根据工程规模、结构特点、复杂程度、施工进度计划以及劳动力需要量计划的需要，确定施工队伍，同时遵循合理分工与密切协作的原则，组织高效率的施工组织体系，并做到各队伍中技术力量均衡，满足劳动组合优化的要求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 2、做好职工入场教育工作，按照开工日期和劳动力需要量计划，分别组织工人分批进场，安排好职工生活，并进行安全、防火、文明施工和遵纪守法教育，使职工严格遵守上级颁发的各项规章制度。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 3、对特殊工种进行上岗前的培训，无上岗证者严禁进入现场施工。</w:t>
      </w:r>
    </w:p>
    <w:p>
      <w:pPr>
        <w:outlineLvl w:val="1"/>
        <w:rPr>
          <w:rFonts w:ascii="宋体" w:hAnsi="宋体"/>
        </w:rPr>
      </w:pPr>
      <w:bookmarkStart w:id="54" w:name="_Toc19219"/>
      <w:r>
        <w:rPr>
          <w:rFonts w:ascii="宋体" w:hAnsi="宋体" w:hint="eastAsia"/>
        </w:rPr>
        <w:t>三、物资准备</w:t>
      </w:r>
      <w:bookmarkEnd w:id="54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1、</w:t>
      </w:r>
      <w:r>
        <w:rPr>
          <w:rFonts w:ascii="宋体" w:hAnsi="宋体"/>
        </w:rPr>
        <w:t>根据施工进度计划，分阶段提出材料、机具</w:t>
      </w:r>
      <w:r>
        <w:rPr>
          <w:rFonts w:ascii="宋体" w:hAnsi="宋体" w:hint="eastAsia"/>
        </w:rPr>
        <w:t>、成品、半成品、施工机械及临时设施</w:t>
      </w:r>
      <w:r>
        <w:rPr>
          <w:rFonts w:ascii="宋体" w:hAnsi="宋体"/>
        </w:rPr>
        <w:t>需用计划，</w:t>
      </w:r>
      <w:r>
        <w:rPr>
          <w:rFonts w:ascii="宋体" w:hAnsi="宋体" w:hint="eastAsia"/>
        </w:rPr>
        <w:t>并</w:t>
      </w:r>
      <w:r>
        <w:rPr>
          <w:rFonts w:ascii="宋体" w:hAnsi="宋体"/>
        </w:rPr>
        <w:t>安排好进场时间。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2、</w:t>
      </w:r>
      <w:r>
        <w:rPr>
          <w:rFonts w:ascii="宋体" w:hAnsi="宋体"/>
        </w:rPr>
        <w:t>选择</w:t>
      </w:r>
      <w:r>
        <w:rPr>
          <w:rFonts w:ascii="宋体" w:hAnsi="宋体" w:hint="eastAsia"/>
        </w:rPr>
        <w:t>合</w:t>
      </w:r>
      <w:r>
        <w:rPr>
          <w:rFonts w:ascii="宋体" w:hAnsi="宋体"/>
        </w:rPr>
        <w:t>格供应商，组织好货源，把好材料关。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3、提出准确的成品半成品加工计划，并选择有资质的、有生产能力的加工商。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4、选用性能较好、利用率高、周转次数多的机械设备、施工工具等进入施工现场并投入使用。</w:t>
      </w:r>
    </w:p>
    <w:p>
      <w:pPr>
        <w:outlineLvl w:val="0"/>
        <w:rPr>
          <w:rFonts w:ascii="宋体" w:hAnsi="宋体"/>
        </w:rPr>
      </w:pPr>
      <w:bookmarkStart w:id="55" w:name="_Toc2580"/>
      <w:bookmarkStart w:id="56" w:name="_Toc324584295"/>
      <w:bookmarkStart w:id="57" w:name="_Toc26859"/>
      <w:bookmarkStart w:id="58" w:name="_Toc153160577"/>
      <w:bookmarkStart w:id="59" w:name="_Toc153160578"/>
      <w:bookmarkStart w:id="60" w:name="_Toc324584296"/>
      <w:r>
        <w:rPr>
          <w:rFonts w:ascii="宋体" w:hAnsi="宋体" w:hint="eastAsia"/>
          <w:b/>
          <w:bCs/>
          <w:sz w:val="28"/>
          <w:szCs w:val="28"/>
        </w:rPr>
        <w:t>第五章  施工平面布置</w:t>
      </w:r>
      <w:bookmarkEnd w:id="55"/>
      <w:bookmarkEnd w:id="56"/>
      <w:bookmarkEnd w:id="57"/>
      <w:bookmarkEnd w:id="58"/>
    </w:p>
    <w:bookmarkEnd w:id="59"/>
    <w:bookmarkEnd w:id="60"/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1、根据施工现场实际情况，从提高工效、确保安全、文明施工、减少料具倒运、满足施工要求的原则，合理规划现场总平面布置图。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、根据本工程现场条件，由于场地狭小，基础阶段场地四周无法布置环形道路，为了确保基础地下室施工期间有可用道路，基坑内留置临时施工道路，用于道路运输。地下室结构完成后，在地下室顶板上设置行车场地。根据施工部署、施工生产需要，本</w:t>
      </w:r>
      <w:r>
        <w:rPr>
          <w:rFonts w:ascii="宋体" w:hAnsi="宋体" w:hint="eastAsia"/>
          <w:lang w:val="en-US" w:eastAsia="zh-CN"/>
        </w:rPr>
        <w:t>工</w:t>
      </w:r>
      <w:r>
        <w:rPr>
          <w:rFonts w:ascii="宋体" w:hAnsi="宋体" w:hint="eastAsia"/>
        </w:rPr>
        <w:t>程共设置</w:t>
      </w:r>
      <w:r>
        <w:rPr>
          <w:rFonts w:ascii="宋体" w:hAnsi="宋体" w:hint="eastAsia"/>
          <w:lang w:val="en-US" w:eastAsia="zh-CN"/>
        </w:rPr>
        <w:t>8</w:t>
      </w:r>
      <w:r>
        <w:rPr>
          <w:rFonts w:ascii="宋体" w:hAnsi="宋体" w:hint="eastAsia"/>
        </w:rPr>
        <w:t>台塔吊，位置及设置参数详各塔吊专项施工方案。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整个场地基坑边场地硬化完成，内设钢筋加工棚，材料堆码场区，场地南侧设置临时集装箱作为</w:t>
      </w:r>
      <w:r>
        <w:rPr>
          <w:rFonts w:ascii="宋体" w:hAnsi="宋体" w:hint="eastAsia"/>
          <w:lang w:val="en-US" w:eastAsia="zh-CN"/>
        </w:rPr>
        <w:t>现场</w:t>
      </w:r>
      <w:r>
        <w:rPr>
          <w:rFonts w:ascii="宋体" w:hAnsi="宋体" w:hint="eastAsia"/>
        </w:rPr>
        <w:t>办公</w:t>
      </w:r>
      <w:r>
        <w:rPr>
          <w:rFonts w:ascii="宋体" w:hAnsi="宋体" w:hint="eastAsia"/>
          <w:lang w:val="en-US" w:eastAsia="zh-CN"/>
        </w:rPr>
        <w:t>室</w:t>
      </w:r>
      <w:r>
        <w:rPr>
          <w:rFonts w:ascii="宋体" w:hAnsi="宋体" w:hint="eastAsia"/>
        </w:rPr>
        <w:t>，共设置</w:t>
      </w:r>
      <w:r>
        <w:rPr>
          <w:rFonts w:ascii="宋体" w:hAnsi="宋体" w:hint="eastAsia"/>
          <w:lang w:val="en-US" w:eastAsia="zh-CN"/>
        </w:rPr>
        <w:t>一</w:t>
      </w:r>
      <w:r>
        <w:rPr>
          <w:rFonts w:ascii="宋体" w:hAnsi="宋体" w:hint="eastAsia"/>
        </w:rPr>
        <w:t>处大门，小型货车可以直接从工地入口进入现场材料器具堆放区，进行料具的卸车堆码，减少现场二次倒运。并在北大门设置自动洗车槽，沉淀池，对出工地车辆进行冲洗，防止带泥上路，</w:t>
      </w:r>
    </w:p>
    <w:p>
      <w:pPr>
        <w:outlineLvl w:val="0"/>
        <w:rPr>
          <w:rFonts w:ascii="宋体" w:hAnsi="宋体"/>
          <w:b/>
          <w:bCs/>
          <w:sz w:val="28"/>
          <w:szCs w:val="28"/>
        </w:rPr>
      </w:pPr>
      <w:bookmarkStart w:id="61" w:name="_Toc18277"/>
      <w:bookmarkStart w:id="62" w:name="_Toc153160579"/>
      <w:bookmarkStart w:id="63" w:name="_Toc324584297"/>
      <w:bookmarkStart w:id="64" w:name="_Toc5576"/>
      <w:r>
        <w:rPr>
          <w:rFonts w:ascii="宋体" w:hAnsi="宋体" w:hint="eastAsia"/>
          <w:b/>
          <w:bCs/>
          <w:sz w:val="28"/>
          <w:szCs w:val="28"/>
        </w:rPr>
        <w:t>第六章  施工资源计划</w:t>
      </w:r>
      <w:bookmarkEnd w:id="61"/>
      <w:bookmarkEnd w:id="62"/>
      <w:bookmarkEnd w:id="63"/>
      <w:bookmarkEnd w:id="64"/>
      <w:bookmarkStart w:id="65" w:name="_Toc46543786"/>
      <w:bookmarkStart w:id="66" w:name="_Toc68262646"/>
    </w:p>
    <w:p>
      <w:pPr>
        <w:outlineLvl w:val="1"/>
        <w:rPr>
          <w:rFonts w:ascii="宋体" w:hAnsi="宋体"/>
        </w:rPr>
      </w:pPr>
      <w:bookmarkStart w:id="67" w:name="_Toc324584298"/>
      <w:bookmarkStart w:id="68" w:name="_Toc153160580"/>
      <w:bookmarkStart w:id="69" w:name="_Toc26789"/>
      <w:bookmarkStart w:id="70" w:name="_Toc11030"/>
      <w:r>
        <w:rPr>
          <w:rFonts w:ascii="宋体" w:hAnsi="宋体" w:hint="eastAsia"/>
        </w:rPr>
        <w:t>一、劳动力需用量计划</w:t>
      </w:r>
      <w:bookmarkEnd w:id="67"/>
      <w:bookmarkEnd w:id="68"/>
      <w:r>
        <w:rPr>
          <w:rFonts w:ascii="宋体" w:hAnsi="宋体" w:hint="eastAsia"/>
        </w:rPr>
        <w:t>：</w:t>
      </w:r>
      <w:bookmarkEnd w:id="69"/>
      <w:bookmarkEnd w:id="70"/>
    </w:p>
    <w:p>
      <w:pPr>
        <w:ind w:firstLine="480" w:firstLineChars="200"/>
        <w:rPr>
          <w:rFonts w:ascii="宋体" w:hAnsi="宋体"/>
        </w:rPr>
        <w:sectPr>
          <w:headerReference w:type="even" r:id="rId57"/>
          <w:headerReference w:type="default" r:id="rId58"/>
          <w:footerReference w:type="even" r:id="rId59"/>
          <w:footerReference w:type="default" r:id="rId60"/>
          <w:headerReference w:type="first" r:id="rId61"/>
          <w:footerReference w:type="first" r:id="rId62"/>
          <w:type w:val="nextPage"/>
          <w:pgSz w:w="11906" w:h="16838"/>
          <w:pgMar w:top="1417" w:right="1417" w:bottom="1417" w:left="1417" w:header="851" w:footer="850" w:gutter="0"/>
          <w:pgNumType w:fmt="decimal" w:start="9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>根据本工程工程量及预算情况可知，本工程主要工种劳动力需用量如下表：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劳动力需要量计划表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1510"/>
        <w:gridCol w:w="2088"/>
        <w:gridCol w:w="2217"/>
        <w:gridCol w:w="203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/>
          <w:jc w:val="center"/>
        </w:trPr>
        <w:tc>
          <w:tcPr>
            <w:tcW w:w="98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785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</w:t>
            </w:r>
            <w:r>
              <w:rPr>
                <w:rFonts w:ascii="宋体" w:hAnsi="宋体" w:hint="eastAsia"/>
                <w:lang w:val="en-US" w:eastAsia="zh-CN"/>
              </w:rPr>
              <w:t>3</w:t>
            </w:r>
            <w:r>
              <w:rPr>
                <w:rFonts w:ascii="宋体" w:hAnsi="宋体" w:hint="eastAsia"/>
              </w:rPr>
              <w:t>年度劳动力 计 划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/>
          <w:jc w:val="center"/>
        </w:trPr>
        <w:tc>
          <w:tcPr>
            <w:tcW w:w="987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3</w:t>
            </w:r>
            <w:r>
              <w:rPr>
                <w:rFonts w:ascii="宋体" w:hAnsi="宋体" w:hint="eastAsia"/>
              </w:rPr>
              <w:t>月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4</w:t>
            </w:r>
            <w:r>
              <w:rPr>
                <w:rFonts w:ascii="宋体" w:hAnsi="宋体" w:hint="eastAsia"/>
              </w:rPr>
              <w:t>月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5</w:t>
            </w:r>
            <w:r>
              <w:rPr>
                <w:rFonts w:ascii="宋体" w:hAnsi="宋体" w:hint="eastAsia"/>
              </w:rPr>
              <w:t>月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钢筋工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7</w:t>
            </w: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7</w:t>
            </w: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14</w:t>
            </w:r>
            <w:r>
              <w:rPr>
                <w:rFonts w:ascii="宋体" w:hAnsi="宋体" w:hint="eastAsia"/>
              </w:rPr>
              <w:t>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木工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8</w:t>
            </w: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8</w:t>
            </w:r>
            <w:r>
              <w:rPr>
                <w:rFonts w:ascii="宋体" w:hAnsi="宋体" w:hint="eastAsia"/>
              </w:rPr>
              <w:t>0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  <w:r>
              <w:rPr>
                <w:rFonts w:ascii="宋体" w:hAnsi="宋体" w:hint="eastAsia"/>
                <w:lang w:val="en-US" w:eastAsia="zh-CN"/>
              </w:rPr>
              <w:t>6</w:t>
            </w:r>
            <w:r>
              <w:rPr>
                <w:rFonts w:ascii="宋体" w:hAnsi="宋体" w:hint="eastAsia"/>
              </w:rPr>
              <w:t>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混凝土工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45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82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 w:hint="default"/>
              </w:rPr>
            </w:pPr>
            <w:r>
              <w:rPr>
                <w:rFonts w:ascii="宋体" w:hAnsi="宋体" w:hint="eastAsia"/>
                <w:lang w:val="en-US" w:eastAsia="zh-CN"/>
              </w:rPr>
              <w:t>82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瓦工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 w:hint="default"/>
              </w:rPr>
            </w:pPr>
            <w:r>
              <w:rPr>
                <w:rFonts w:ascii="宋体" w:hAnsi="宋体" w:hint="eastAsia"/>
                <w:lang w:val="en-US" w:eastAsia="zh-CN"/>
              </w:rPr>
              <w:t>30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抹灰工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水暖工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特殊工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  <w:jc w:val="center"/>
        </w:trPr>
        <w:tc>
          <w:tcPr>
            <w:tcW w:w="98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安装工</w:t>
            </w:r>
          </w:p>
        </w:tc>
        <w:tc>
          <w:tcPr>
            <w:tcW w:w="208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2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</w:tbl>
    <w:p>
      <w:pPr>
        <w:outlineLvl w:val="1"/>
        <w:rPr>
          <w:rFonts w:ascii="宋体" w:hAnsi="宋体"/>
        </w:rPr>
      </w:pPr>
      <w:bookmarkStart w:id="71" w:name="_Toc1451"/>
      <w:bookmarkStart w:id="72" w:name="_Toc153160581"/>
      <w:bookmarkStart w:id="73" w:name="_Toc24764"/>
      <w:bookmarkStart w:id="74" w:name="_Toc324584299"/>
      <w:r>
        <w:rPr>
          <w:rFonts w:ascii="宋体" w:hAnsi="宋体" w:hint="eastAsia"/>
        </w:rPr>
        <w:t>二、施工工具需要量计划</w:t>
      </w:r>
      <w:bookmarkEnd w:id="71"/>
      <w:bookmarkEnd w:id="72"/>
      <w:bookmarkEnd w:id="73"/>
      <w:bookmarkEnd w:id="74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本计划主要是指模板、盘扣、、钢脚手板。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施工工具需用量计划表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3024"/>
        <w:gridCol w:w="2128"/>
        <w:gridCol w:w="2262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30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施工工具名称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需用量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30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木胶板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15000m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30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木方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500 m3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30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盘扣架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6000根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30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拉杆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13000根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/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302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钢脚手板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6500块</w:t>
            </w:r>
          </w:p>
        </w:tc>
        <w:tc>
          <w:tcPr>
            <w:tcW w:w="226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outlineLvl w:val="1"/>
        <w:rPr>
          <w:rFonts w:ascii="宋体" w:hAnsi="宋体"/>
        </w:rPr>
      </w:pPr>
      <w:bookmarkStart w:id="75" w:name="_Toc28322"/>
      <w:bookmarkStart w:id="76" w:name="_Toc324584300"/>
      <w:bookmarkStart w:id="77" w:name="_Toc153160582"/>
      <w:bookmarkStart w:id="78" w:name="_Toc7137"/>
      <w:r>
        <w:rPr>
          <w:rFonts w:ascii="宋体" w:hAnsi="宋体" w:hint="eastAsia"/>
        </w:rPr>
        <w:t>三、原材料需要量计划</w:t>
      </w:r>
      <w:bookmarkEnd w:id="75"/>
      <w:bookmarkEnd w:id="76"/>
      <w:bookmarkEnd w:id="77"/>
      <w:bookmarkEnd w:id="78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本计划是指工程所用钢筋、混凝土、人防门、防水材料等主要材料需要量计划，具体具体见下表：</w:t>
      </w:r>
    </w:p>
    <w:p>
      <w:pPr>
        <w:rPr>
          <w:rFonts w:ascii="宋体" w:hAnsi="宋体" w:hint="eastAsia"/>
        </w:rPr>
      </w:pPr>
      <w:r>
        <w:rPr>
          <w:rFonts w:ascii="宋体" w:hAnsi="宋体" w:hint="eastAsia"/>
        </w:rPr>
        <w:t>原材料需要量计划表</w:t>
      </w:r>
    </w:p>
    <w:p>
      <w:pPr>
        <w:pStyle w:val="Default"/>
        <w:rPr>
          <w:rFonts w:ascii="宋体" w:hAnsi="宋体"/>
        </w:rPr>
      </w:pPr>
    </w:p>
    <w:p>
      <w:pPr>
        <w:pStyle w:val="Default"/>
        <w:rPr>
          <w:rFonts w:ascii="宋体" w:hAnsi="宋体"/>
        </w:rPr>
        <w:sectPr>
          <w:headerReference w:type="even" r:id="rId63"/>
          <w:headerReference w:type="default" r:id="rId64"/>
          <w:footerReference w:type="even" r:id="rId65"/>
          <w:footerReference w:type="default" r:id="rId66"/>
          <w:headerReference w:type="first" r:id="rId67"/>
          <w:footerReference w:type="first" r:id="rId68"/>
          <w:type w:val="nextPage"/>
          <w:pgSz w:w="11906" w:h="16838"/>
          <w:pgMar w:top="1417" w:right="1417" w:bottom="1417" w:left="1417" w:header="851" w:footer="850" w:gutter="0"/>
          <w:pgNumType w:fmt="decimal" w:start="10"/>
          <w:cols w:num="1" w:space="425"/>
          <w:titlePg w:val="0"/>
          <w:docGrid w:type="lines" w:linePitch="326" w:charSpace="0"/>
        </w:sectPr>
      </w:pPr>
    </w:p>
    <w:tbl>
      <w:tblPr>
        <w:tblStyle w:val="TableNormal"/>
        <w:tblW w:w="86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2220"/>
        <w:gridCol w:w="1614"/>
        <w:gridCol w:w="3753"/>
      </w:tblGrid>
      <w:tr>
        <w:tblPrEx>
          <w:tblW w:w="8678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/>
          <w:jc w:val="center"/>
        </w:trPr>
        <w:tc>
          <w:tcPr>
            <w:tcW w:w="10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/>
              </w:rPr>
              <w:t>序号</w:t>
            </w:r>
          </w:p>
        </w:tc>
        <w:tc>
          <w:tcPr>
            <w:tcW w:w="22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/>
              </w:rPr>
              <w:t>材料名称</w:t>
            </w:r>
          </w:p>
        </w:tc>
        <w:tc>
          <w:tcPr>
            <w:tcW w:w="53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/>
              </w:rPr>
              <w:t>需要量</w:t>
            </w:r>
          </w:p>
        </w:tc>
      </w:tr>
      <w:tr>
        <w:tblPrEx>
          <w:tblW w:w="86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/>
          <w:jc w:val="center"/>
        </w:trPr>
        <w:tc>
          <w:tcPr>
            <w:tcW w:w="1091" w:type="dxa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2220" w:type="dxa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</w:p>
        </w:tc>
        <w:tc>
          <w:tcPr>
            <w:tcW w:w="16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/>
              </w:rPr>
              <w:t>单位</w:t>
            </w:r>
          </w:p>
        </w:tc>
        <w:tc>
          <w:tcPr>
            <w:tcW w:w="37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/>
              </w:rPr>
              <w:t>数量</w:t>
            </w:r>
          </w:p>
        </w:tc>
      </w:tr>
      <w:tr>
        <w:tblPrEx>
          <w:tblW w:w="86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/>
          <w:jc w:val="center"/>
        </w:trPr>
        <w:tc>
          <w:tcPr>
            <w:tcW w:w="1091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20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14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3753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86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钢筋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t</w:t>
            </w:r>
          </w:p>
        </w:tc>
        <w:tc>
          <w:tcPr>
            <w:tcW w:w="3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15</w:t>
            </w:r>
            <w:r>
              <w:rPr>
                <w:rFonts w:ascii="宋体" w:hAnsi="宋体" w:hint="eastAsia"/>
              </w:rPr>
              <w:t>00</w:t>
            </w:r>
          </w:p>
        </w:tc>
      </w:tr>
      <w:tr>
        <w:tblPrEx>
          <w:tblW w:w="86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混凝土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m³</w:t>
            </w:r>
          </w:p>
        </w:tc>
        <w:tc>
          <w:tcPr>
            <w:tcW w:w="3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16000</w:t>
            </w:r>
          </w:p>
        </w:tc>
      </w:tr>
      <w:tr>
        <w:tblPrEx>
          <w:tblW w:w="86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人防门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樘</w:t>
            </w:r>
          </w:p>
        </w:tc>
        <w:tc>
          <w:tcPr>
            <w:tcW w:w="3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120</w:t>
            </w:r>
          </w:p>
        </w:tc>
      </w:tr>
      <w:tr>
        <w:tblPrEx>
          <w:tblW w:w="8678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/>
          <w:jc w:val="center"/>
        </w:trPr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防水卷材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</w:p>
        </w:tc>
        <w:tc>
          <w:tcPr>
            <w:tcW w:w="3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23000</w:t>
            </w:r>
          </w:p>
        </w:tc>
      </w:tr>
    </w:tbl>
    <w:p>
      <w:pPr>
        <w:outlineLvl w:val="1"/>
        <w:rPr>
          <w:rFonts w:ascii="宋体" w:hAnsi="宋体"/>
        </w:rPr>
      </w:pPr>
      <w:bookmarkStart w:id="79" w:name="_Toc18194"/>
      <w:bookmarkStart w:id="80" w:name="_Toc1372"/>
      <w:bookmarkStart w:id="81" w:name="_Toc324584301"/>
      <w:bookmarkStart w:id="82" w:name="_Toc153160584"/>
      <w:r>
        <w:rPr>
          <w:rFonts w:ascii="宋体" w:hAnsi="宋体" w:hint="eastAsia"/>
        </w:rPr>
        <w:t>四、施工机械、设备需要量计划</w:t>
      </w:r>
      <w:bookmarkEnd w:id="79"/>
      <w:bookmarkEnd w:id="80"/>
      <w:bookmarkEnd w:id="81"/>
      <w:bookmarkEnd w:id="82"/>
    </w:p>
    <w:p>
      <w:pPr>
        <w:rPr>
          <w:rFonts w:ascii="宋体" w:hAnsi="宋体"/>
        </w:rPr>
      </w:pPr>
      <w:r>
        <w:rPr>
          <w:rFonts w:ascii="宋体" w:hAnsi="宋体" w:hint="eastAsia"/>
        </w:rPr>
        <w:t>施工机械、设备需要量计划表</w:t>
      </w:r>
    </w:p>
    <w:p>
      <w:pPr>
        <w:rPr>
          <w:rFonts w:ascii="宋体" w:hAnsi="宋体"/>
        </w:rPr>
      </w:pPr>
    </w:p>
    <w:tbl>
      <w:tblPr>
        <w:tblStyle w:val="TableNormal"/>
        <w:tblpPr w:leftFromText="180" w:rightFromText="180" w:vertAnchor="text" w:horzAnchor="margin" w:tblpXSpec="center" w:tblpY="-24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2295"/>
        <w:gridCol w:w="1972"/>
        <w:gridCol w:w="1553"/>
        <w:gridCol w:w="164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施工机具名称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型号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电功率（KW）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需要量（台）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切断机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QJ40-1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成型机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CW-40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对焊机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UN1-100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电焊机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BX-1-3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38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电锯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MJ235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输送泵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45m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蛙式打夯机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HW-60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振动棒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ZX-50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1.1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15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潜水泵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PW</w:t>
            </w: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套丝机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</w:tr>
      <w:bookmarkEnd w:id="65"/>
      <w:bookmarkEnd w:id="66"/>
    </w:tbl>
    <w:p>
      <w:pPr>
        <w:outlineLvl w:val="1"/>
        <w:rPr>
          <w:rFonts w:ascii="宋体" w:hAnsi="宋体" w:hint="eastAsia"/>
        </w:rPr>
      </w:pPr>
      <w:bookmarkStart w:id="83" w:name="_Toc324584302"/>
      <w:bookmarkStart w:id="84" w:name="_Toc153160585"/>
      <w:bookmarkStart w:id="85" w:name="_Toc7411"/>
      <w:bookmarkStart w:id="86" w:name="_Toc22299"/>
    </w:p>
    <w:p>
      <w:pPr>
        <w:pStyle w:val="Default"/>
        <w:rPr>
          <w:rFonts w:ascii="宋体" w:hAnsi="宋体"/>
        </w:rPr>
      </w:pPr>
    </w:p>
    <w:p>
      <w:pPr>
        <w:pStyle w:val="Default"/>
        <w:rPr>
          <w:rFonts w:ascii="宋体" w:hAnsi="宋体"/>
        </w:rPr>
      </w:pPr>
    </w:p>
    <w:p>
      <w:pPr>
        <w:pStyle w:val="Default"/>
        <w:rPr>
          <w:rFonts w:ascii="宋体" w:hAnsi="宋体"/>
        </w:rPr>
      </w:pPr>
    </w:p>
    <w:p>
      <w:pPr>
        <w:pStyle w:val="Default"/>
        <w:rPr>
          <w:rFonts w:ascii="宋体" w:hAnsi="宋体"/>
        </w:rPr>
      </w:pPr>
    </w:p>
    <w:p>
      <w:pPr>
        <w:outlineLvl w:val="1"/>
        <w:rPr>
          <w:rFonts w:ascii="宋体" w:hAnsi="宋体" w:hint="eastAsia"/>
        </w:rPr>
      </w:pPr>
    </w:p>
    <w:p>
      <w:pPr>
        <w:outlineLvl w:val="1"/>
        <w:rPr>
          <w:rFonts w:ascii="宋体" w:hAnsi="宋体"/>
        </w:rPr>
        <w:sectPr>
          <w:headerReference w:type="even" r:id="rId69"/>
          <w:headerReference w:type="default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6" w:h="16838"/>
          <w:pgMar w:top="1417" w:right="1417" w:bottom="1417" w:left="1417" w:header="851" w:footer="850" w:gutter="0"/>
          <w:pgNumType w:fmt="decimal" w:start="11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>五、测量装置需用量计划</w:t>
      </w:r>
      <w:bookmarkEnd w:id="83"/>
      <w:bookmarkEnd w:id="84"/>
      <w:bookmarkEnd w:id="85"/>
      <w:bookmarkEnd w:id="86"/>
    </w:p>
    <w:p>
      <w:pPr>
        <w:rPr>
          <w:rFonts w:ascii="宋体" w:hAnsi="宋体"/>
        </w:rPr>
      </w:pPr>
      <w:r>
        <w:rPr>
          <w:rFonts w:ascii="宋体" w:hAnsi="宋体" w:hint="eastAsia"/>
        </w:rPr>
        <w:t>根据本工程的需要，配备如下测量装置。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测量装置配备计划一览表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4"/>
        <w:gridCol w:w="2493"/>
        <w:gridCol w:w="1358"/>
        <w:gridCol w:w="1414"/>
        <w:gridCol w:w="2429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测量装置名称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分类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数量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使用特征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钢卷尺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其它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钢卷尺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技术质检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水准仪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抄平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经纬仪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测量放线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塔尺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坍落度筒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试验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混凝土试模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25个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试验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氧气表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氧气瓶用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乙炔表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C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指示用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水表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计量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电表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计量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/>
          <w:jc w:val="center"/>
        </w:trPr>
        <w:tc>
          <w:tcPr>
            <w:tcW w:w="148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249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台秤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242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试验用</w:t>
            </w:r>
          </w:p>
        </w:tc>
      </w:tr>
    </w:tbl>
    <w:p>
      <w:pPr>
        <w:outlineLvl w:val="0"/>
        <w:rPr>
          <w:rFonts w:ascii="宋体" w:hAnsi="宋体"/>
        </w:rPr>
      </w:pPr>
      <w:bookmarkStart w:id="87" w:name="_Toc153160587"/>
      <w:bookmarkStart w:id="88" w:name="_Toc324584303"/>
      <w:bookmarkStart w:id="89" w:name="_Toc23177"/>
      <w:bookmarkStart w:id="90" w:name="_Toc29215"/>
      <w:r>
        <w:rPr>
          <w:rFonts w:ascii="宋体" w:hAnsi="宋体" w:hint="eastAsia"/>
          <w:b/>
          <w:bCs/>
          <w:sz w:val="28"/>
          <w:szCs w:val="28"/>
        </w:rPr>
        <w:t>第七章  施工进度计划</w:t>
      </w:r>
      <w:bookmarkEnd w:id="87"/>
      <w:bookmarkEnd w:id="88"/>
      <w:bookmarkEnd w:id="89"/>
      <w:bookmarkEnd w:id="90"/>
    </w:p>
    <w:p>
      <w:pPr>
        <w:outlineLvl w:val="1"/>
        <w:rPr>
          <w:rFonts w:ascii="宋体" w:hAnsi="宋体"/>
        </w:rPr>
      </w:pPr>
      <w:bookmarkStart w:id="91" w:name="_Toc324584304"/>
      <w:bookmarkStart w:id="92" w:name="_Toc30442"/>
      <w:bookmarkStart w:id="93" w:name="_Toc5791"/>
      <w:bookmarkStart w:id="94" w:name="_Toc153160588"/>
      <w:r>
        <w:rPr>
          <w:rFonts w:ascii="宋体" w:hAnsi="宋体" w:hint="eastAsia"/>
        </w:rPr>
        <w:t>一、施工进度计划编制依据</w:t>
      </w:r>
      <w:bookmarkEnd w:id="91"/>
      <w:bookmarkEnd w:id="92"/>
      <w:bookmarkEnd w:id="93"/>
      <w:bookmarkEnd w:id="94"/>
      <w:r>
        <w:rPr>
          <w:rFonts w:ascii="宋体" w:hAnsi="宋体" w:hint="eastAsia"/>
        </w:rPr>
        <w:t xml:space="preserve">     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1、施工合同。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2、施工组织设计。</w:t>
      </w:r>
    </w:p>
    <w:p>
      <w:pPr>
        <w:outlineLvl w:val="1"/>
        <w:rPr>
          <w:rFonts w:ascii="宋体" w:hAnsi="宋体"/>
        </w:rPr>
      </w:pPr>
      <w:bookmarkStart w:id="95" w:name="_Toc15286"/>
      <w:bookmarkStart w:id="96" w:name="_Toc969"/>
      <w:bookmarkStart w:id="97" w:name="_Toc324584305"/>
      <w:bookmarkStart w:id="98" w:name="_Toc153160589"/>
      <w:r>
        <w:rPr>
          <w:rFonts w:ascii="宋体" w:hAnsi="宋体" w:hint="eastAsia"/>
        </w:rPr>
        <w:t>二、进度计划</w:t>
      </w:r>
      <w:bookmarkEnd w:id="95"/>
      <w:bookmarkEnd w:id="96"/>
      <w:bookmarkEnd w:id="97"/>
      <w:bookmarkEnd w:id="98"/>
      <w:bookmarkStart w:id="99" w:name="_GoBack"/>
      <w:bookmarkEnd w:id="99"/>
    </w:p>
    <w:p>
      <w:pPr>
        <w:outlineLvl w:val="1"/>
        <w:rPr>
          <w:rFonts w:ascii="宋体" w:hAnsi="宋体"/>
        </w:rPr>
      </w:pPr>
      <w:bookmarkStart w:id="100" w:name="_Toc153160590"/>
      <w:bookmarkStart w:id="101" w:name="_Toc13747"/>
      <w:bookmarkStart w:id="102" w:name="_Toc6202"/>
      <w:bookmarkStart w:id="103" w:name="_Toc324584306"/>
      <w:r>
        <w:rPr>
          <w:rFonts w:ascii="宋体" w:hAnsi="宋体" w:hint="eastAsia"/>
        </w:rPr>
        <w:t>三、施工进度控制实施细则</w:t>
      </w:r>
      <w:bookmarkEnd w:id="100"/>
      <w:bookmarkEnd w:id="101"/>
      <w:bookmarkEnd w:id="102"/>
      <w:bookmarkEnd w:id="103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、编制月、周施工作业计划。在执行总进度计划的同时还应编制详细的月、周作业计划。月计划是控制总计划的完成与实现；周计划则是对月计划的体现。为此周计划的编制尤其重要。它直接反映了工程的具体情况，为此施工工长负责编制周计划，并加以实施。技术负责人负责编制月计划，同时对照总计划是否按期完成，以便做进一步的调整。</w:t>
      </w:r>
    </w:p>
    <w:p>
      <w:pPr>
        <w:ind w:firstLine="480" w:firstLineChars="200"/>
        <w:rPr>
          <w:rFonts w:ascii="宋体" w:hAnsi="宋体"/>
        </w:rPr>
        <w:sectPr>
          <w:headerReference w:type="even" r:id="rId75"/>
          <w:headerReference w:type="default" r:id="rId76"/>
          <w:footerReference w:type="even" r:id="rId77"/>
          <w:footerReference w:type="default" r:id="rId78"/>
          <w:headerReference w:type="first" r:id="rId79"/>
          <w:footerReference w:type="first" r:id="rId80"/>
          <w:type w:val="nextPage"/>
          <w:pgSz w:w="11906" w:h="16838"/>
          <w:pgMar w:top="1417" w:right="1417" w:bottom="1417" w:left="1417" w:header="851" w:footer="850" w:gutter="0"/>
          <w:pgNumType w:fmt="decimal" w:start="12"/>
          <w:cols w:num="1" w:space="425"/>
          <w:titlePg w:val="0"/>
          <w:docGrid w:type="lines" w:linePitch="326" w:charSpace="0"/>
        </w:sectPr>
      </w:pP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2、根据编制的计划，项目部要把责任落实到具体人头。项目经理负全面责任。主管工长负责具体安排与实施，技术负责人负责计划控制、落实、监督工作，同时在技术上给予支持并负责计划的调整工作。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3、制定进度计划控制的具体措施和办法。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4、落实劳动力、原材料和施工机具供应计划。计划的完成与否，直接关系到施工人员的进场情况、施工机械、施工机具的供应情况，为此在抓好进度的同时，重点抓好人力的落实与安排，更要做好材料、施工机具的落实与按期入场。为此在施工过程中应做好计划的安排，同时要求准确，包括：数量、规格、型号、入场日期等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5、沟通联系，取得配合与支持。在施工活动中，应与设计单位、分包单位搞好沟通、协调关系，取得他们的大力支持与密切配合。关系顺了，解决问题的时间就快，时间一快，效率就高，它能够提高工期进度的进一步完成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6、协调与业主的关系，保证其内、外事务的畅通与到位。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7、对施工进度实施跟踪监控，保证控制目标的实现。详细的月、周计划编制完成后，关键在于落实，落实程度如何，这就需要跟踪，实行跟踪制度，它能够反映每一天施工进度的实际情况，也便于及时纠正，确保计划的实现。</w:t>
      </w:r>
    </w:p>
    <w:p>
      <w:pPr>
        <w:outlineLvl w:val="1"/>
        <w:rPr>
          <w:rFonts w:ascii="宋体" w:hAnsi="宋体"/>
        </w:rPr>
      </w:pPr>
      <w:bookmarkStart w:id="104" w:name="_Toc17220"/>
      <w:bookmarkStart w:id="105" w:name="_Toc153160591"/>
      <w:bookmarkStart w:id="106" w:name="_Toc324584307"/>
      <w:bookmarkStart w:id="107" w:name="_Toc27660"/>
      <w:r>
        <w:rPr>
          <w:rFonts w:ascii="宋体" w:hAnsi="宋体" w:hint="eastAsia"/>
        </w:rPr>
        <w:t>四、进度计划控制措施</w:t>
      </w:r>
      <w:bookmarkEnd w:id="104"/>
      <w:bookmarkEnd w:id="105"/>
      <w:bookmarkEnd w:id="106"/>
      <w:bookmarkEnd w:id="107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1、施工组织措施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1）、为保证计划的实施，项目部成立施工计划管理领导小组，对施工计划控制做统一领导、安排与调控。及时解决施工现场所发生或存在的一切影响因素及问题。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2）、项目部各级管理人员要团结一致，做到相互沟通，避免一切遗漏事件。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3）、加强各专业队伍的控制管理,搞好各道工序的顺利交接与衔接工作。杜绝中间停顿与停工。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4）、加强控制管理，严格按照计划进行实施。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2、技术措施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1）、在技术管理上优化施工程序，合理安排交叉，组织均衡流水作业。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2）、在施工管理上密切配合，抓好各工种的协调配合，充分利用平面、空间和时间，保证工期进度。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3）、严格工序施工质量，确保一次验收合格，杜绝返工，以获取工期的缩短。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4）、挖掘关键线路的潜力，做到穿插紧凑，避免相互干扰和破坏。</w:t>
      </w:r>
    </w:p>
    <w:p>
      <w:pPr>
        <w:outlineLvl w:val="0"/>
        <w:rPr>
          <w:rFonts w:ascii="宋体" w:hAnsi="宋体"/>
        </w:rPr>
        <w:sectPr>
          <w:headerReference w:type="even" r:id="rId81"/>
          <w:headerReference w:type="default" r:id="rId82"/>
          <w:footerReference w:type="even" r:id="rId83"/>
          <w:footerReference w:type="default" r:id="rId84"/>
          <w:headerReference w:type="first" r:id="rId85"/>
          <w:footerReference w:type="first" r:id="rId86"/>
          <w:type w:val="nextPage"/>
          <w:pgSz w:w="11906" w:h="16838"/>
          <w:pgMar w:top="1417" w:right="1417" w:bottom="1417" w:left="1417" w:header="851" w:footer="850" w:gutter="0"/>
          <w:pgNumType w:fmt="decimal" w:start="13"/>
          <w:cols w:num="1" w:space="425"/>
          <w:titlePg w:val="0"/>
          <w:docGrid w:type="lines" w:linePitch="326" w:charSpace="0"/>
        </w:sectPr>
      </w:pPr>
      <w:bookmarkStart w:id="108" w:name="_Toc21635"/>
      <w:bookmarkStart w:id="109" w:name="_Toc324584308"/>
      <w:bookmarkStart w:id="110" w:name="_Toc9159"/>
      <w:bookmarkStart w:id="111" w:name="_Toc153160592"/>
      <w:r>
        <w:rPr>
          <w:rFonts w:ascii="宋体" w:hAnsi="宋体" w:hint="eastAsia"/>
          <w:b/>
          <w:bCs/>
          <w:sz w:val="28"/>
          <w:szCs w:val="28"/>
        </w:rPr>
        <w:t>第八章  主要分部分项工程的施工方案</w:t>
      </w:r>
      <w:bookmarkEnd w:id="108"/>
      <w:bookmarkEnd w:id="109"/>
      <w:bookmarkEnd w:id="110"/>
      <w:bookmarkEnd w:id="111"/>
    </w:p>
    <w:p>
      <w:pPr>
        <w:outlineLvl w:val="1"/>
        <w:rPr>
          <w:rFonts w:ascii="宋体" w:hAnsi="宋体"/>
        </w:rPr>
      </w:pPr>
      <w:bookmarkStart w:id="112" w:name="_Toc8666"/>
      <w:bookmarkStart w:id="113" w:name="_Toc324584310"/>
      <w:bookmarkStart w:id="114" w:name="_Toc21812"/>
      <w:bookmarkStart w:id="115" w:name="_Toc153160594"/>
      <w:r>
        <w:rPr>
          <w:rFonts w:ascii="宋体" w:hAnsi="宋体" w:hint="eastAsia"/>
        </w:rPr>
        <w:t>一、主要分部分项工程施工方法及工艺要求</w:t>
      </w:r>
      <w:bookmarkEnd w:id="112"/>
      <w:bookmarkEnd w:id="113"/>
      <w:bookmarkEnd w:id="114"/>
      <w:bookmarkEnd w:id="115"/>
    </w:p>
    <w:p>
      <w:pPr>
        <w:rPr>
          <w:rFonts w:ascii="宋体" w:hAnsi="宋体"/>
        </w:rPr>
      </w:pPr>
      <w:bookmarkStart w:id="116" w:name="_Toc19540"/>
      <w:bookmarkStart w:id="117" w:name="_Toc324584313"/>
      <w:r>
        <w:rPr>
          <w:rFonts w:ascii="宋体" w:hAnsi="宋体" w:hint="eastAsia"/>
        </w:rPr>
        <w:t>1、模板工程</w:t>
      </w:r>
      <w:bookmarkEnd w:id="116"/>
      <w:bookmarkEnd w:id="117"/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1）、概况：本工程人防墙300mm厚，人防顶梁3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0*</w:t>
      </w:r>
      <w:r>
        <w:rPr>
          <w:rFonts w:ascii="宋体" w:hAnsi="宋体" w:hint="eastAsia"/>
          <w:lang w:val="en-US" w:eastAsia="zh-CN"/>
        </w:rPr>
        <w:t>6</w:t>
      </w:r>
      <w:r>
        <w:rPr>
          <w:rFonts w:ascii="宋体" w:hAnsi="宋体" w:hint="eastAsia"/>
        </w:rPr>
        <w:t>50、350*</w:t>
      </w:r>
      <w:r>
        <w:rPr>
          <w:rFonts w:ascii="宋体" w:hAnsi="宋体" w:hint="eastAsia"/>
          <w:lang w:val="en-US" w:eastAsia="zh-CN"/>
        </w:rPr>
        <w:t>75</w:t>
      </w:r>
      <w:r>
        <w:rPr>
          <w:rFonts w:ascii="宋体" w:hAnsi="宋体" w:hint="eastAsia"/>
        </w:rPr>
        <w:t>0、</w:t>
      </w:r>
      <w:r>
        <w:rPr>
          <w:rFonts w:ascii="宋体" w:hAnsi="宋体" w:hint="eastAsia"/>
          <w:lang w:val="en-US" w:eastAsia="zh-CN"/>
        </w:rPr>
        <w:t>4</w:t>
      </w:r>
      <w:r>
        <w:rPr>
          <w:rFonts w:ascii="宋体" w:hAnsi="宋体" w:hint="eastAsia"/>
        </w:rPr>
        <w:t>00*</w:t>
      </w:r>
      <w:r>
        <w:rPr>
          <w:rFonts w:ascii="宋体" w:hAnsi="宋体" w:hint="eastAsia"/>
          <w:lang w:val="en-US" w:eastAsia="zh-CN"/>
        </w:rPr>
        <w:t>7</w:t>
      </w:r>
      <w:r>
        <w:rPr>
          <w:rFonts w:ascii="宋体" w:hAnsi="宋体" w:hint="eastAsia"/>
        </w:rPr>
        <w:t>00</w:t>
      </w:r>
      <w:r>
        <w:rPr>
          <w:rFonts w:ascii="宋体" w:hAnsi="宋体" w:hint="eastAsia"/>
          <w:lang w:eastAsia="zh-CN"/>
        </w:rPr>
        <w:t>、</w:t>
      </w:r>
      <w:r>
        <w:rPr>
          <w:rFonts w:ascii="宋体" w:hAnsi="宋体" w:hint="eastAsia"/>
        </w:rPr>
        <w:t>400*</w:t>
      </w:r>
      <w:r>
        <w:rPr>
          <w:rFonts w:ascii="宋体" w:hAnsi="宋体" w:hint="eastAsia"/>
          <w:lang w:val="en-US" w:eastAsia="zh-CN"/>
        </w:rPr>
        <w:t>9</w:t>
      </w:r>
      <w:r>
        <w:rPr>
          <w:rFonts w:ascii="宋体" w:hAnsi="宋体" w:hint="eastAsia"/>
        </w:rPr>
        <w:t>00</w:t>
      </w:r>
      <w:r>
        <w:rPr>
          <w:rFonts w:ascii="宋体" w:hAnsi="宋体" w:hint="eastAsia"/>
          <w:lang w:eastAsia="zh-CN"/>
        </w:rPr>
        <w:t>、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0*</w:t>
      </w:r>
      <w:r>
        <w:rPr>
          <w:rFonts w:ascii="宋体" w:hAnsi="宋体" w:hint="eastAsia"/>
          <w:lang w:val="en-US" w:eastAsia="zh-CN"/>
        </w:rPr>
        <w:t>7</w:t>
      </w:r>
      <w:r>
        <w:rPr>
          <w:rFonts w:ascii="宋体" w:hAnsi="宋体" w:hint="eastAsia"/>
        </w:rPr>
        <w:t>00</w:t>
      </w:r>
      <w:r>
        <w:rPr>
          <w:rFonts w:ascii="宋体" w:hAnsi="宋体" w:hint="eastAsia"/>
          <w:lang w:eastAsia="zh-CN"/>
        </w:rPr>
        <w:t>、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0*</w:t>
      </w:r>
      <w:r>
        <w:rPr>
          <w:rFonts w:ascii="宋体" w:hAnsi="宋体" w:hint="eastAsia"/>
          <w:lang w:val="en-US" w:eastAsia="zh-CN"/>
        </w:rPr>
        <w:t>9</w:t>
      </w:r>
      <w:r>
        <w:rPr>
          <w:rFonts w:ascii="宋体" w:hAnsi="宋体" w:hint="eastAsia"/>
        </w:rPr>
        <w:t>00</w:t>
      </w:r>
      <w:r>
        <w:rPr>
          <w:rFonts w:ascii="宋体" w:hAnsi="宋体" w:hint="eastAsia"/>
          <w:lang w:eastAsia="zh-CN"/>
        </w:rPr>
        <w:t>、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0*</w:t>
      </w:r>
      <w:r>
        <w:rPr>
          <w:rFonts w:ascii="宋体" w:hAnsi="宋体" w:hint="eastAsia"/>
          <w:lang w:val="en-US" w:eastAsia="zh-CN"/>
        </w:rPr>
        <w:t>10</w:t>
      </w:r>
      <w:r>
        <w:rPr>
          <w:rFonts w:ascii="宋体" w:hAnsi="宋体" w:hint="eastAsia"/>
        </w:rPr>
        <w:t>00</w:t>
      </w:r>
      <w:r>
        <w:rPr>
          <w:rFonts w:ascii="宋体" w:hAnsi="宋体" w:hint="eastAsia"/>
          <w:lang w:eastAsia="zh-CN"/>
        </w:rPr>
        <w:t>、</w:t>
      </w:r>
      <w:r>
        <w:rPr>
          <w:rFonts w:ascii="宋体" w:hAnsi="宋体" w:hint="eastAsia"/>
        </w:rPr>
        <w:t>4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0*</w:t>
      </w:r>
      <w:r>
        <w:rPr>
          <w:rFonts w:ascii="宋体" w:hAnsi="宋体" w:hint="eastAsia"/>
          <w:lang w:val="en-US" w:eastAsia="zh-CN"/>
        </w:rPr>
        <w:t>11</w:t>
      </w:r>
      <w:r>
        <w:rPr>
          <w:rFonts w:ascii="宋体" w:hAnsi="宋体" w:hint="eastAsia"/>
        </w:rPr>
        <w:t>00等。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2）、施工顺序：底板→墙柱→顶部梁板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3）、模板的选用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本工程均采用1</w:t>
      </w:r>
      <w:r>
        <w:rPr>
          <w:rFonts w:ascii="宋体" w:hAnsi="宋体" w:hint="eastAsia"/>
          <w:lang w:val="en-US" w:eastAsia="zh-CN"/>
        </w:rPr>
        <w:t>3</w:t>
      </w:r>
      <w:r>
        <w:rPr>
          <w:rFonts w:ascii="宋体" w:hAnsi="宋体" w:hint="eastAsia"/>
        </w:rPr>
        <w:t>mm厚胶合板与50×80mm木方组装模板,利用盘扣架做支撑系统。具体如下：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1.1、为方便底板外防水施工，底板、承台、基础梁侧模采用C15素混凝土垫层，内抹20厚1：2水泥砂浆，抹平压光。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1.2、地下室内外墙模板采用1</w:t>
      </w:r>
      <w:r>
        <w:rPr>
          <w:rFonts w:ascii="宋体" w:hAnsi="宋体" w:hint="eastAsia"/>
          <w:lang w:val="en-US" w:eastAsia="zh-CN"/>
        </w:rPr>
        <w:t>3</w:t>
      </w:r>
      <w:r>
        <w:rPr>
          <w:rFonts w:ascii="宋体" w:hAnsi="宋体" w:hint="eastAsia"/>
        </w:rPr>
        <w:t>mm木胶板，模板支撑系统采用盘扣架体系，模板受力体系加固采用</w:t>
      </w:r>
      <w:r>
        <w:rPr>
          <w:rFonts w:ascii="SJQY" w:eastAsia="SJQY" w:hAnsi="SJQY" w:cs="SJQY" w:hint="eastAsia"/>
        </w:rPr>
        <w:t>A</w:t>
      </w:r>
      <w:r>
        <w:rPr>
          <w:rFonts w:ascii="宋体" w:hAnsi="宋体" w:hint="eastAsia"/>
        </w:rPr>
        <w:t>14对拉螺栓加固。具体如下：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①、采用1</w:t>
      </w:r>
      <w:r>
        <w:rPr>
          <w:rFonts w:ascii="宋体" w:hAnsi="宋体" w:hint="eastAsia"/>
          <w:lang w:val="en-US" w:eastAsia="zh-CN"/>
        </w:rPr>
        <w:t>3</w:t>
      </w:r>
      <w:r>
        <w:rPr>
          <w:rFonts w:ascii="宋体" w:hAnsi="宋体" w:hint="eastAsia"/>
        </w:rPr>
        <w:t>mm厚木胶板，50×80mm木方，支撑系统与固定采用钢管及对拉螺栓。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②、模板尺寸均按照图纸侧面尺寸分块进行配置加工。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③、木胶板背面采用50×80mm木方做背</w:t>
      </w:r>
      <w:r>
        <w:rPr>
          <w:rFonts w:ascii="宋体" w:hAnsi="宋体" w:hint="eastAsia"/>
          <w:lang w:val="en-US" w:eastAsia="zh-CN"/>
        </w:rPr>
        <w:t>楞</w:t>
      </w:r>
      <w:r>
        <w:rPr>
          <w:rFonts w:ascii="宋体" w:hAnsi="宋体" w:hint="eastAsia"/>
        </w:rPr>
        <w:t>，其间距为250mm。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④、对拉螺栓采用</w:t>
      </w:r>
      <w:r>
        <w:rPr>
          <w:rFonts w:ascii="SJQY" w:eastAsia="SJQY" w:hAnsi="SJQY" w:cs="SJQY" w:hint="eastAsia"/>
        </w:rPr>
        <w:t>Ф</w:t>
      </w:r>
      <w:r>
        <w:rPr>
          <w:rFonts w:ascii="宋体" w:hAnsi="宋体" w:hint="eastAsia"/>
        </w:rPr>
        <w:t>14钢筋。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⑤、支撑系统采用盘扣式钢管脚手架，其间距为</w:t>
      </w:r>
      <w:r>
        <w:rPr>
          <w:rFonts w:ascii="宋体" w:hAnsi="宋体" w:hint="eastAsia"/>
          <w:lang w:val="en-US" w:eastAsia="zh-CN"/>
        </w:rPr>
        <w:t>9</w:t>
      </w:r>
      <w:r>
        <w:rPr>
          <w:rFonts w:ascii="宋体" w:hAnsi="宋体" w:hint="eastAsia"/>
        </w:rPr>
        <w:t>00mm。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⑥、固定：采用Ф48双钢管做主龙骨，水平间距为</w:t>
      </w:r>
      <w:r>
        <w:rPr>
          <w:rFonts w:ascii="宋体" w:hAnsi="宋体" w:hint="eastAsia"/>
          <w:lang w:val="en-US" w:eastAsia="zh-CN"/>
        </w:rPr>
        <w:t>45</w:t>
      </w:r>
      <w:r>
        <w:rPr>
          <w:rFonts w:ascii="宋体" w:hAnsi="宋体" w:hint="eastAsia"/>
        </w:rPr>
        <w:t>0mm，竖向为</w:t>
      </w:r>
      <w:r>
        <w:rPr>
          <w:rFonts w:ascii="宋体" w:hAnsi="宋体" w:hint="eastAsia"/>
          <w:lang w:val="en-US" w:eastAsia="zh-CN"/>
        </w:rPr>
        <w:t>45</w:t>
      </w:r>
      <w:r>
        <w:rPr>
          <w:rFonts w:ascii="宋体" w:hAnsi="宋体" w:hint="eastAsia"/>
        </w:rPr>
        <w:t>0mm，对拉螺栓间距为：沿高度方向每</w:t>
      </w:r>
      <w:r>
        <w:rPr>
          <w:rFonts w:ascii="宋体" w:hAnsi="宋体" w:hint="eastAsia"/>
          <w:lang w:val="en-US" w:eastAsia="zh-CN"/>
        </w:rPr>
        <w:t>45</w:t>
      </w:r>
      <w:r>
        <w:rPr>
          <w:rFonts w:ascii="宋体" w:hAnsi="宋体" w:hint="eastAsia"/>
        </w:rPr>
        <w:t>0mm一个，水平方向为</w:t>
      </w:r>
      <w:r>
        <w:rPr>
          <w:rFonts w:ascii="宋体" w:hAnsi="宋体" w:hint="eastAsia"/>
          <w:lang w:val="en-US" w:eastAsia="zh-CN"/>
        </w:rPr>
        <w:t>45</w:t>
      </w:r>
      <w:r>
        <w:rPr>
          <w:rFonts w:ascii="宋体" w:hAnsi="宋体" w:hint="eastAsia"/>
        </w:rPr>
        <w:t xml:space="preserve">0mm、起步第一道不大于200mm。  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1.3、地下室顶板模板采用1</w:t>
      </w:r>
      <w:r>
        <w:rPr>
          <w:rFonts w:ascii="宋体" w:hAnsi="宋体" w:hint="eastAsia"/>
          <w:lang w:val="en-US" w:eastAsia="zh-CN"/>
        </w:rPr>
        <w:t>3</w:t>
      </w:r>
      <w:r>
        <w:rPr>
          <w:rFonts w:ascii="宋体" w:hAnsi="宋体" w:hint="eastAsia"/>
        </w:rPr>
        <w:t>mm厚木胶板，次龙骨采用50*80方木（立放），净间距不大于250mm，主龙骨采用Φ48*3双钢管，间距为</w:t>
      </w:r>
      <w:r>
        <w:rPr>
          <w:rFonts w:ascii="宋体" w:hAnsi="宋体" w:hint="eastAsia"/>
          <w:lang w:val="en-US" w:eastAsia="zh-CN"/>
        </w:rPr>
        <w:t>9</w:t>
      </w:r>
      <w:r>
        <w:rPr>
          <w:rFonts w:ascii="宋体" w:hAnsi="宋体" w:hint="eastAsia"/>
        </w:rPr>
        <w:t>00mm，支撑系统采用钢管满堂脚手架，构架基本单元尺寸为：长（立杆纵距）*宽（立杆横距）*高（横杆步距）=900*</w:t>
      </w:r>
      <w:r>
        <w:rPr>
          <w:rFonts w:ascii="宋体" w:hAnsi="宋体" w:hint="eastAsia"/>
          <w:lang w:val="en-US" w:eastAsia="zh-CN"/>
        </w:rPr>
        <w:t>9</w:t>
      </w:r>
      <w:r>
        <w:rPr>
          <w:rFonts w:ascii="宋体" w:hAnsi="宋体" w:hint="eastAsia"/>
        </w:rPr>
        <w:t>00*1500,其上直接安放主龙骨。</w:t>
      </w:r>
    </w:p>
    <w:p>
      <w:pPr>
        <w:ind w:firstLine="480" w:firstLineChars="200"/>
        <w:rPr>
          <w:rFonts w:ascii="宋体" w:hAnsi="宋体"/>
        </w:rPr>
        <w:sectPr>
          <w:headerReference w:type="even" r:id="rId87"/>
          <w:headerReference w:type="default" r:id="rId88"/>
          <w:footerReference w:type="even" r:id="rId89"/>
          <w:footerReference w:type="default" r:id="rId90"/>
          <w:headerReference w:type="first" r:id="rId91"/>
          <w:footerReference w:type="first" r:id="rId92"/>
          <w:type w:val="nextPage"/>
          <w:pgSz w:w="11906" w:h="16838"/>
          <w:pgMar w:top="1417" w:right="1417" w:bottom="1417" w:left="1417" w:header="851" w:footer="850" w:gutter="0"/>
          <w:pgNumType w:fmt="decimal" w:start="14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>1.4、梁侧模板和底模板采用1</w:t>
      </w:r>
      <w:r>
        <w:rPr>
          <w:rFonts w:ascii="宋体" w:hAnsi="宋体" w:hint="eastAsia"/>
          <w:lang w:val="en-US" w:eastAsia="zh-CN"/>
        </w:rPr>
        <w:t>3</w:t>
      </w:r>
      <w:r>
        <w:rPr>
          <w:rFonts w:ascii="宋体" w:hAnsi="宋体" w:hint="eastAsia"/>
        </w:rPr>
        <w:t>mm厚木胶板，龙骨采用50*80方木立放，净间距不大于200，梁侧模加固采用竖向短钢管夹牢，同时高度大于1000mm的梁设三道对拉螺杆固定，小于1000mm的梁设两道对拉螺杆固定，两侧加斜支撑撑顶，间距为</w:t>
      </w:r>
      <w:r>
        <w:rPr>
          <w:rFonts w:ascii="宋体" w:hAnsi="宋体" w:hint="eastAsia"/>
          <w:lang w:val="en-US" w:eastAsia="zh-CN"/>
        </w:rPr>
        <w:t>45</w:t>
      </w:r>
      <w:r>
        <w:rPr>
          <w:rFonts w:ascii="宋体" w:hAnsi="宋体" w:hint="eastAsia"/>
        </w:rPr>
        <w:t>0mm，梁板模板支撑架采用盘扣式钢管脚手架满堂支撑，构架基本单元尺寸为：长（立杆纵距）*宽（立杆横距）*高（横杆步距）=</w:t>
      </w:r>
      <w:r>
        <w:rPr>
          <w:rFonts w:ascii="宋体" w:hAnsi="宋体" w:hint="eastAsia"/>
          <w:lang w:val="en-US" w:eastAsia="zh-CN"/>
        </w:rPr>
        <w:t>90</w:t>
      </w:r>
      <w:r>
        <w:rPr>
          <w:rFonts w:ascii="宋体" w:hAnsi="宋体" w:hint="eastAsia"/>
        </w:rPr>
        <w:t>0*</w:t>
      </w:r>
      <w:r>
        <w:rPr>
          <w:rFonts w:ascii="宋体" w:hAnsi="宋体" w:hint="eastAsia"/>
          <w:lang w:val="en-US" w:eastAsia="zh-CN"/>
        </w:rPr>
        <w:t>90</w:t>
      </w:r>
      <w:r>
        <w:rPr>
          <w:rFonts w:ascii="宋体" w:hAnsi="宋体" w:hint="eastAsia"/>
        </w:rPr>
        <w:t>0*1</w:t>
      </w:r>
      <w:r>
        <w:rPr>
          <w:rFonts w:ascii="宋体" w:hAnsi="宋体" w:hint="eastAsia"/>
          <w:lang w:val="en-US" w:eastAsia="zh-CN"/>
        </w:rPr>
        <w:t>5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00,梁底附加一道承重立杆，横向间距为</w:t>
      </w:r>
      <w:r>
        <w:rPr>
          <w:rFonts w:ascii="宋体" w:hAnsi="宋体" w:hint="eastAsia"/>
          <w:lang w:val="en-US" w:eastAsia="zh-CN"/>
        </w:rPr>
        <w:t>45</w:t>
      </w:r>
      <w:r>
        <w:rPr>
          <w:rFonts w:ascii="宋体" w:hAnsi="宋体" w:hint="eastAsia"/>
        </w:rPr>
        <w:t>0mm，立杆顶端插入可调托撑，其上直接安放主龙骨。所有跨度等于或大于4.0m的梁、板支模时必须起供，起供高度控制在1/1000～3/1000之间，且不大于20mm。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1.5、施工要点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①、必须根据图纸尺寸进行放、弹线，确定柱、墙、梁的位置，经有关部门检查无误后，方可进行模板安装。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②、模板安装前应刷脱模剂，拼装缝均贴海棉胶条，板拼装缝粘贴黄胶带，以防止和避免漏浆。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③、安装墙模和柱模时，应重点加强垂直度的校正，检查模板是否位移。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④、在模板合模前应清扫柱墙根部确保接触面清洁。墙、柱校正垂直利用满堂脚手架来固定，垂直支撑纵横设剪刀撑。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⑤、墙柱模板底部应预留清扫口，混凝土浇注前进行封堵。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⑥、模板拆除：不承重模板，以保证混凝土不缺棱掉角及保证其表面不受损伤为原则，一般拆除时间为48小时，由于混凝土标号高，气温略低，拆模时应根据当时具体情况而定，但必须保证混凝土的完整性。承重模板必须应以同条件养护的混凝土试块的强度实验报告为准，达到80%以上时方可拆模。对大跨度梁板其混凝土强度达到设计的100%时方可拆模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⑦、模板拆除应遵循先支后拆，先非承重部位，后承重部位以及以上而下的原则，严禁用大锤和撬棍硬砸硬撬。拆除的模板和配件应及时清除粘结的灰浆，对变形和损坏的，进行修复及清理干净后并刷脱模剂待用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⑧、为了防止墙体渗漏，外墙严禁使用止水螺杆套PVC管，并且禁止管线随意穿墙。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1.6、偏差及检验方法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模板安装的允许偏差及检验方法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1871"/>
        <w:gridCol w:w="2049"/>
        <w:gridCol w:w="330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允许偏差m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检验方法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轴线位置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底模上表面标高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±5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水准仪或拉线、钢尺检查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2064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截面内部尺寸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基础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±10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</w:tbl>
    <w:p>
      <w:pPr>
        <w:sectPr>
          <w:headerReference w:type="even" r:id="rId93"/>
          <w:headerReference w:type="default" r:id="rId94"/>
          <w:footerReference w:type="even" r:id="rId95"/>
          <w:footerReference w:type="default" r:id="rId96"/>
          <w:headerReference w:type="first" r:id="rId97"/>
          <w:footerReference w:type="first" r:id="rId98"/>
          <w:type w:val="nextPage"/>
          <w:pgSz w:w="11906" w:h="16838"/>
          <w:pgMar w:top="1417" w:right="1417" w:bottom="1417" w:left="1417" w:header="851" w:footer="850" w:gutter="0"/>
          <w:pgNumType w:fmt="decimal" w:start="15"/>
          <w:cols w:num="1" w:space="425"/>
          <w:titlePg w:val="0"/>
          <w:docGrid w:type="lines" w:linePitch="326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1871"/>
        <w:gridCol w:w="2049"/>
        <w:gridCol w:w="330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206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墙、梁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+4，-5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206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层高垂直度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不大于5m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经纬仪或吊线、钢尺检查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2064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大于5m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经纬仪或吊线、钢尺检查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相邻两板表面高低差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/>
        </w:trPr>
        <w:tc>
          <w:tcPr>
            <w:tcW w:w="39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表面平整度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2m靠尺和塞尺检查</w:t>
            </w:r>
          </w:p>
        </w:tc>
      </w:tr>
    </w:tbl>
    <w:p>
      <w:pPr>
        <w:rPr>
          <w:rFonts w:ascii="宋体" w:hAnsi="宋体"/>
        </w:rPr>
      </w:pPr>
      <w:bookmarkStart w:id="118" w:name="_Toc19142"/>
      <w:bookmarkStart w:id="119" w:name="_Toc324584314"/>
    </w:p>
    <w:p>
      <w:pPr>
        <w:rPr>
          <w:rFonts w:ascii="宋体" w:hAnsi="宋体"/>
        </w:rPr>
      </w:pPr>
      <w:r>
        <w:rPr>
          <w:rFonts w:ascii="宋体" w:hAnsi="宋体" w:hint="eastAsia"/>
        </w:rPr>
        <w:t>2.2、钢筋工程</w:t>
      </w:r>
      <w:bookmarkEnd w:id="118"/>
      <w:bookmarkEnd w:id="119"/>
    </w:p>
    <w:p>
      <w:pPr>
        <w:rPr>
          <w:rFonts w:ascii="宋体" w:hAnsi="宋体"/>
        </w:rPr>
      </w:pPr>
      <w:r>
        <w:rPr>
          <w:rFonts w:ascii="宋体" w:hAnsi="宋体" w:hint="eastAsia"/>
        </w:rPr>
        <w:t>2.2.1、概况：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  本工程地下室车库部分为人防工程，基础为筏板基础。其主要钢筋分布情况如下表：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基础主要部位钢筋品种、规格如下表：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753"/>
        <w:gridCol w:w="2323"/>
        <w:gridCol w:w="4447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部位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钢筋类型</w:t>
            </w:r>
          </w:p>
        </w:tc>
        <w:tc>
          <w:tcPr>
            <w:tcW w:w="44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规格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底板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一、三级</w:t>
            </w:r>
          </w:p>
        </w:tc>
        <w:tc>
          <w:tcPr>
            <w:tcW w:w="44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16、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14、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20、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25、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剪力墙（框架柱）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一、三级</w:t>
            </w:r>
          </w:p>
        </w:tc>
        <w:tc>
          <w:tcPr>
            <w:tcW w:w="44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14、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16、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eastAsia="SJQY" w:hAnsi="宋体" w:hint="eastAsia"/>
              </w:rPr>
              <w:t>15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20、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25、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10、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8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/>
          <w:jc w:val="center"/>
        </w:trPr>
        <w:tc>
          <w:tcPr>
            <w:tcW w:w="55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75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顶板梁筋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一、三级</w:t>
            </w:r>
          </w:p>
        </w:tc>
        <w:tc>
          <w:tcPr>
            <w:tcW w:w="44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14、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20、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25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/>
          <w:jc w:val="center"/>
        </w:trPr>
        <w:tc>
          <w:tcPr>
            <w:tcW w:w="555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53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一、三级</w:t>
            </w:r>
          </w:p>
        </w:tc>
        <w:tc>
          <w:tcPr>
            <w:tcW w:w="44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8、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10、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12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/>
          <w:jc w:val="center"/>
        </w:trPr>
        <w:tc>
          <w:tcPr>
            <w:tcW w:w="55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顶板板筋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一、三级</w:t>
            </w:r>
          </w:p>
        </w:tc>
        <w:tc>
          <w:tcPr>
            <w:tcW w:w="44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10、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12、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14、</w:t>
            </w:r>
            <w:r>
              <w:rPr>
                <w:rFonts w:ascii="SJQY" w:eastAsia="SJQY" w:hAnsi="SJQY" w:hint="eastAsia"/>
              </w:rPr>
              <w:t>C</w:t>
            </w:r>
            <w:r>
              <w:rPr>
                <w:rFonts w:ascii="宋体" w:hAnsi="宋体" w:hint="eastAsia"/>
              </w:rPr>
              <w:t>16</w:t>
            </w:r>
          </w:p>
        </w:tc>
      </w:tr>
    </w:tbl>
    <w:p>
      <w:pPr>
        <w:rPr>
          <w:rFonts w:ascii="宋体" w:hAnsi="宋体"/>
        </w:rPr>
      </w:pPr>
      <w:r>
        <w:rPr>
          <w:rFonts w:ascii="宋体" w:hAnsi="宋体" w:hint="eastAsia"/>
        </w:rPr>
        <w:t>2.2.2、施工顺序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流程顺序：底板底层钢筋安装→安放保护层垫块→放置支撑马凳及底板上层钢筋安装→墙柱钢筋安装→安装预留模具及预埋件→自查→报验隐检→墙柱钢筋安装→防护门框安装→自查→报验隐检→梁板钢筋安装→自查→报验隐检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2.2.3、施工方法及施工要点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1）、施工准备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①、工程所需钢筋材料必须到场，且有合格证及复试报告，合格后使用。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②、工程所需各种机械、设备到场就位，而且保持完好能正常运转。</w:t>
      </w:r>
    </w:p>
    <w:p>
      <w:pPr>
        <w:ind w:firstLine="480" w:firstLineChars="200"/>
        <w:rPr>
          <w:rFonts w:ascii="宋体" w:hAnsi="宋体"/>
        </w:rPr>
        <w:sectPr>
          <w:headerReference w:type="even" r:id="rId99"/>
          <w:headerReference w:type="default" r:id="rId100"/>
          <w:footerReference w:type="even" r:id="rId101"/>
          <w:footerReference w:type="default" r:id="rId102"/>
          <w:headerReference w:type="first" r:id="rId103"/>
          <w:footerReference w:type="first" r:id="rId104"/>
          <w:type w:val="nextPage"/>
          <w:pgSz w:w="11906" w:h="16838"/>
          <w:pgMar w:top="1417" w:right="1417" w:bottom="1417" w:left="1417" w:header="851" w:footer="850" w:gutter="0"/>
          <w:pgNumType w:fmt="decimal" w:start="16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>③、各分项工程及各工种人员的配置必须满足需要。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2）、钢筋质量控制：钢筋工程在工程主体结构中起核心作用，必须在施工的全过程中采取动态控制，严格执行“三检制”，认真跟踪检查，其重点控制的内容为：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①、钢筋的长度：认真审查钢筋的配料单，保证钢筋下料长度符合设计要求。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②、钢筋的锚固：审查配料单使钢筋的弯折长度符合设计要求；现场检查钢筋的安装位置。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③、钢筋的接头：接头的位置、接头的形式、搭接长度等符合设计要求。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④、钢筋的位置：钢筋间距、排距、标高是否正确，纵向筋两端是否到位。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⑤、抗震要求：箍筋的弯钩的角度和长度，审查配料单进行把关，梁柱箍筋加密范围、受力筋的锚固长度、柱筋的接头类别等应符合设计要求及规范规定。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3）、钢筋原材的质量要求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①、钢筋进场应有出厂质量证明书或试验报告单，同时进行现场抽样,做复试检测。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②、钢筋外观应平直、无损伤、表面不得有裂纹、油污、颗粒状或片状老锈。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③、钢筋原材必须符合现行国家标准GB50204—20</w:t>
      </w:r>
      <w:r>
        <w:rPr>
          <w:rFonts w:ascii="宋体" w:hAnsi="宋体"/>
        </w:rPr>
        <w:t>15</w:t>
      </w:r>
      <w:r>
        <w:rPr>
          <w:rFonts w:ascii="宋体" w:hAnsi="宋体" w:hint="eastAsia"/>
        </w:rPr>
        <w:t>的规定。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4）、钢筋的配料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①、钢筋配料应根据设计图中构件配筋进行,先绘出各种形状、规格的单根钢筋简图并加以编号，然后分别计算下料长度和根数，最后进行汇总，填写正式配料单。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②、钢筋配料单必须经过复核无误后方可进行下料加工。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③、配料时，首先熟知图纸及规范，对搭接长度、锚固长度、弯钩形式、接头位置、图纸特殊要求等必须掌握，以便在配料过程中不出现数量及尺寸误差。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5）、钢筋的下料与加工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本工程的所有钢筋下料及加工成型工作全部在现场实施。这样可以做到长短搭配、合理运用，提高钢筋的利用率及成材率。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①、钢筋调直：采用卷扬机两端设置地锚的方法进行冷拉来调直钢筋。根据规范要求I级钢筋的冷拉率不宜大于4%。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②、钢筋切断采取切断机进行，根据配料单尺寸严格进行切断，切断后进行编号并分别堆放。</w:t>
      </w:r>
    </w:p>
    <w:p>
      <w:pPr>
        <w:ind w:firstLine="480" w:firstLineChars="200"/>
        <w:rPr>
          <w:rFonts w:ascii="宋体" w:hAnsi="宋体"/>
        </w:rPr>
        <w:sectPr>
          <w:headerReference w:type="even" r:id="rId105"/>
          <w:headerReference w:type="default" r:id="rId106"/>
          <w:footerReference w:type="even" r:id="rId107"/>
          <w:footerReference w:type="default" r:id="rId108"/>
          <w:headerReference w:type="first" r:id="rId109"/>
          <w:footerReference w:type="first" r:id="rId110"/>
          <w:type w:val="nextPage"/>
          <w:pgSz w:w="11906" w:h="16838"/>
          <w:pgMar w:top="1417" w:right="1417" w:bottom="1417" w:left="1417" w:header="851" w:footer="850" w:gutter="0"/>
          <w:pgNumType w:fmt="decimal" w:start="17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>③、钢筋的成型采取成型机及手动弯曲工具共同完成。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④、受力钢筋及箍筋按配料单长度进行切断加工，其偏差为±10mm，箍筋内净尺寸为±5mm,弯起钢筋的弯折位置为±20mm。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⑤、箍筋弯折角度为135度，封闭筋为焊接。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⑥、钢筋加工成型其钢筋的弯钩和弯折长度I级钢筋做135度弯钩，其弯弧内直径不应小于钢筋直径的4倍,弯钩后的平直部分长度应符合设计要求。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6）、钢筋接头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 xml:space="preserve">钢筋接头是钢筋工程中的一个重要环节,接头的好坏是保证钢筋能否正常受力的关键,因此对钢筋接头形式进行认真选择,选择的原则是可靠、方便、经济。本工程根据具体情况进行选择如下： 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 = 1 \* GB3 </w:instrText>
      </w:r>
      <w:r>
        <w:rPr>
          <w:rFonts w:ascii="宋体" w:hAnsi="宋体" w:hint="eastAsia"/>
        </w:rPr>
        <w:fldChar w:fldCharType="separate"/>
      </w:r>
      <w:r>
        <w:rPr>
          <w:rFonts w:ascii="宋体" w:hAnsi="宋体" w:hint="eastAsia"/>
        </w:rPr>
        <w:t>①</w:t>
      </w:r>
      <w:r>
        <w:rPr>
          <w:rFonts w:ascii="宋体" w:hAnsi="宋体" w:hint="eastAsia"/>
        </w:rPr>
        <w:fldChar w:fldCharType="end"/>
      </w:r>
      <w:r>
        <w:rPr>
          <w:rFonts w:ascii="宋体" w:hAnsi="宋体" w:hint="eastAsia"/>
        </w:rPr>
        <w:t>、接头方式：</w:t>
      </w:r>
      <w:r>
        <w:rPr>
          <w:rFonts w:ascii="SJQY" w:eastAsia="SJQY" w:hAnsi="SJQY" w:hint="eastAsia"/>
        </w:rPr>
        <w:t>C</w:t>
      </w:r>
      <w:r>
        <w:rPr>
          <w:rFonts w:ascii="宋体" w:hAnsi="宋体" w:hint="eastAsia"/>
        </w:rPr>
        <w:t>16以上（含</w:t>
      </w:r>
      <w:r>
        <w:rPr>
          <w:rFonts w:ascii="SJQY" w:eastAsia="SJQY" w:hAnsi="SJQY" w:cs="SJQY" w:hint="eastAsia"/>
        </w:rPr>
        <w:t>C</w:t>
      </w:r>
      <w:r>
        <w:rPr>
          <w:rFonts w:ascii="宋体" w:hAnsi="宋体" w:hint="eastAsia"/>
        </w:rPr>
        <w:t>16）水平钢筋采取螺纹套筒连接，</w:t>
      </w:r>
      <w:r>
        <w:rPr>
          <w:rFonts w:ascii="SJQY" w:eastAsia="SJQY" w:hAnsi="SJQY" w:hint="eastAsia"/>
        </w:rPr>
        <w:t>C</w:t>
      </w:r>
      <w:r>
        <w:rPr>
          <w:rFonts w:ascii="宋体" w:hAnsi="宋体" w:hint="eastAsia"/>
        </w:rPr>
        <w:t>16以下水平钢筋采取绑扎接头；</w:t>
      </w:r>
      <w:r>
        <w:rPr>
          <w:rFonts w:ascii="SJQY" w:eastAsia="SJQY" w:hAnsi="SJQY" w:hint="eastAsia"/>
        </w:rPr>
        <w:t>C</w:t>
      </w:r>
      <w:r>
        <w:rPr>
          <w:rFonts w:ascii="宋体" w:hAnsi="宋体" w:hint="eastAsia"/>
        </w:rPr>
        <w:t>16以上（含</w:t>
      </w:r>
      <w:r>
        <w:rPr>
          <w:rFonts w:ascii="SJQY" w:eastAsia="SJQY" w:hAnsi="SJQY" w:hint="eastAsia"/>
        </w:rPr>
        <w:t>C</w:t>
      </w:r>
      <w:r>
        <w:rPr>
          <w:rFonts w:ascii="宋体" w:hAnsi="宋体" w:hint="eastAsia"/>
        </w:rPr>
        <w:t>16）竖向钢筋采取螺纹套筒连接，</w:t>
      </w:r>
      <w:r>
        <w:rPr>
          <w:rFonts w:ascii="SJQY" w:eastAsia="SJQY" w:hAnsi="SJQY" w:hint="eastAsia"/>
        </w:rPr>
        <w:t>C</w:t>
      </w:r>
      <w:r>
        <w:rPr>
          <w:rFonts w:ascii="宋体" w:hAnsi="宋体" w:hint="eastAsia"/>
        </w:rPr>
        <w:t>16以下竖向钢筋采取电渣压力焊连接。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接头位置：钢筋接头位置应按照设计要求和施工规范的规定进行布置。一般钢筋接头位置宜在受力较小处设置，底板钢筋：底层钢筋布置在跨中，上层钢筋布置在支座处。柱墙接头布置在梁顶上层柱子的加密区以上（即：按接头率50%为：1.4LaE；按接头率25%为：1.2LaE）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③、钢筋接头应相互错开，其接头面积百分率：焊接接头不宜大于25%，绑扎接头不宜大于25%，焊接接头的连接区段长度为35d，且不小于500mm。绑扎接头在任一1.3倍搭接长度区段内 ，且不小于500mm。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④、钢筋锚固、搭接以及搭接率具体详见</w:t>
      </w:r>
      <w:r>
        <w:rPr>
          <w:rFonts w:ascii="宋体" w:hAnsi="宋体" w:hint="eastAsia"/>
          <w:lang w:val="en-US" w:eastAsia="zh-CN"/>
        </w:rPr>
        <w:t>22G101-1</w:t>
      </w:r>
      <w:r>
        <w:rPr>
          <w:rFonts w:ascii="宋体" w:hAnsi="宋体" w:hint="eastAsia"/>
        </w:rPr>
        <w:t>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7）、钢筋的堆放与运输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①、钢筋堆放:本工程所有钢筋在现场成型,堆放位置应选择在堆放场地应坚硬、平整，铺设垫木，防止钢筋锈蚀，成型的钢筋应按照规格、直径大小及钢筋形式分别堆放整齐，并标明型号，以便使用。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②、钢筋运输：主要以人工运输为主。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8）、钢筋的绑扎与安放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钢筋绑扎准备：</w:t>
      </w:r>
    </w:p>
    <w:p>
      <w:pPr>
        <w:ind w:firstLine="480" w:firstLineChars="200"/>
        <w:rPr>
          <w:rFonts w:ascii="宋体" w:hAnsi="宋体"/>
        </w:rPr>
        <w:sectPr>
          <w:headerReference w:type="even" r:id="rId111"/>
          <w:headerReference w:type="default" r:id="rId112"/>
          <w:footerReference w:type="even" r:id="rId113"/>
          <w:footerReference w:type="default" r:id="rId114"/>
          <w:headerReference w:type="first" r:id="rId115"/>
          <w:footerReference w:type="first" r:id="rId116"/>
          <w:type w:val="nextPage"/>
          <w:pgSz w:w="11906" w:h="16838"/>
          <w:pgMar w:top="1417" w:right="1417" w:bottom="1417" w:left="1417" w:header="851" w:footer="850" w:gutter="0"/>
          <w:pgNumType w:fmt="decimal" w:start="18"/>
          <w:cols w:num="1" w:space="425"/>
          <w:titlePg w:val="0"/>
          <w:docGrid w:type="lines" w:linePitch="326" w:charSpace="0"/>
        </w:sectPr>
      </w:pP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①、钢筋绑扎前，应核对成品的钢号、直径、形状、尺寸、数量等是否符合设计要求及与配料单是否相符，如有误差应及时进行纠正、增补，同时应弹好钢筋位置线，以方便钢筋的安放与绑扎。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②、保护层垫块应提前进行预制加工，本工程</w:t>
      </w:r>
      <w:r>
        <w:rPr>
          <w:rFonts w:ascii="宋体" w:hAnsi="宋体" w:hint="eastAsia"/>
          <w:lang w:val="en-US" w:eastAsia="zh-CN"/>
        </w:rPr>
        <w:t>底板</w:t>
      </w:r>
      <w:r>
        <w:rPr>
          <w:rFonts w:ascii="宋体" w:hAnsi="宋体" w:hint="eastAsia"/>
        </w:rPr>
        <w:t>钢筋及</w:t>
      </w:r>
      <w:r>
        <w:rPr>
          <w:rFonts w:ascii="宋体" w:hAnsi="宋体" w:hint="eastAsia"/>
          <w:lang w:val="en-US" w:eastAsia="zh-CN"/>
        </w:rPr>
        <w:t>挡土</w:t>
      </w:r>
      <w:r>
        <w:rPr>
          <w:rFonts w:ascii="宋体" w:hAnsi="宋体" w:hint="eastAsia"/>
        </w:rPr>
        <w:t>墙外侧钢筋保护层为</w:t>
      </w:r>
      <w:r>
        <w:rPr>
          <w:rFonts w:ascii="宋体" w:hAnsi="宋体" w:hint="eastAsia"/>
          <w:lang w:val="en-US" w:eastAsia="zh-CN"/>
        </w:rPr>
        <w:t>5</w:t>
      </w:r>
      <w:r>
        <w:rPr>
          <w:rFonts w:ascii="宋体" w:hAnsi="宋体" w:hint="eastAsia"/>
        </w:rPr>
        <w:t>0m，采用M10水泥砂浆垫块，其尺寸为60×60×40，间距为500mm～800mm，采取梅花形布置。板上层钢筋保护层为2</w:t>
      </w:r>
      <w:r>
        <w:rPr>
          <w:rFonts w:ascii="宋体" w:hAnsi="宋体" w:hint="eastAsia"/>
          <w:lang w:val="en-US" w:eastAsia="zh-CN"/>
        </w:rPr>
        <w:t>0</w:t>
      </w:r>
      <w:r>
        <w:rPr>
          <w:rFonts w:ascii="宋体" w:hAnsi="宋体" w:hint="eastAsia"/>
        </w:rPr>
        <w:t>mm，采用钢筋马凳，马凳用</w:t>
      </w:r>
      <w:r>
        <w:rPr>
          <w:rFonts w:ascii="SJQY" w:eastAsia="SJQY" w:hAnsi="SJQY" w:hint="eastAsia"/>
        </w:rPr>
        <w:t>C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  <w:lang w:val="en-US" w:eastAsia="zh-CN"/>
        </w:rPr>
        <w:t>4</w:t>
      </w:r>
      <w:r>
        <w:rPr>
          <w:rFonts w:ascii="宋体" w:hAnsi="宋体" w:hint="eastAsia"/>
        </w:rPr>
        <w:t>钢筋制作，间距为1000mm，采取梅花形布置，内墙钢筋保护层为15mm，采用M10水泥砂浆垫块，其尺寸为50×50×15，间距为500mm～800mm。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钢筋绑扎：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①、底板钢筋：按照事先弹好的边线进行安放，然后按图纸间距进行分尺，并在垫层上划线与安放，然后进行绑扎，绑扎时应逐扣绑扎并绑扎牢固。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 xml:space="preserve">②、柱钢筋必须按图纸就位，同时还应将底部钢筋进行点焊，确保柱钢筋位置的准确性，柱箍筋必须按图纸进行，在底板或范围内至少有三道箍筋，同时还要求在梁、板的上口绑扎一道。 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钢筋应在底板底层钢筋绑扎完毕后进行。首先将计算好的箍筋（箍筋数量）进行穿好，然后按图纸间距进行分尺，并在纵向主筋上划线，最后进行绑扎，箍筋在安放时应注意箍筋弯钩处要交叉错开，不得朝一个方向，同时在绑扎时用钢管搭设专用架，使其起架立作用，以方便安装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④、墙钢筋：当梁、板钢筋绑扎完毕后进行墙钢筋的绑扎。墙钢筋应锚固在底板底层钢筋上，并绑扎牢固。同时要求在梁的表面处必须设置箍筋。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⑤、楼层梁板钢筋的安装：当模板安装后即可进行。梁钢筋安装应按照设计图纸给定的规格、数量、位置进行布置，同时采用钢筋焊接的专用架做辅助安装，钢筋布置安装时应注意钢筋接头的位置，要符合设计及规范要求。其箍筋与绑扎方法同。板钢筋的安装同底板。在梁板交叉节点处，板钢筋在上，次梁钢筋居中，主梁钢筋在下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⑥防护门框处钢筋：根据设计及图集进行钢筋的布置与安装，同时要求柱子底部、梁上表面采用焊接固定。门下坎钢筋按照图集要求进行安装并进行钢连接固定。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2.2.4、质量要求</w:t>
      </w:r>
    </w:p>
    <w:p>
      <w:pPr>
        <w:ind w:firstLine="480" w:firstLineChars="200"/>
        <w:rPr>
          <w:rFonts w:ascii="宋体" w:hAnsi="宋体"/>
        </w:rPr>
        <w:sectPr>
          <w:headerReference w:type="even" r:id="rId117"/>
          <w:headerReference w:type="default" r:id="rId118"/>
          <w:footerReference w:type="even" r:id="rId119"/>
          <w:footerReference w:type="default" r:id="rId120"/>
          <w:headerReference w:type="first" r:id="rId121"/>
          <w:footerReference w:type="first" r:id="rId122"/>
          <w:type w:val="nextPage"/>
          <w:pgSz w:w="11906" w:h="16838"/>
          <w:pgMar w:top="1417" w:right="1417" w:bottom="1417" w:left="1417" w:header="851" w:footer="850" w:gutter="0"/>
          <w:pgNumType w:fmt="decimal" w:start="19"/>
          <w:cols w:num="1" w:space="425"/>
          <w:titlePg w:val="0"/>
          <w:docGrid w:type="lines" w:linePitch="326" w:charSpace="0"/>
        </w:sectPr>
      </w:pP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钢筋品种、规格、级别、数量、位置必须与图纸相符，而且应有合格证书及复试报告，钢筋外观良好，无损伤、裂纹、油污及片状老锈。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钢筋加工的形式及尺寸必须符合图纸及规范规定。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</w:t>
      </w:r>
      <w:r>
        <w:rPr>
          <w:rFonts w:ascii="宋体" w:hAnsi="宋体" w:hint="eastAsia"/>
          <w:lang w:val="en-US" w:eastAsia="zh-CN"/>
        </w:rPr>
        <w:t>机械连接</w:t>
      </w:r>
      <w:r>
        <w:rPr>
          <w:rFonts w:ascii="宋体" w:hAnsi="宋体" w:hint="eastAsia"/>
        </w:rPr>
        <w:t>必须符合JGJ107</w:t>
      </w:r>
      <w:r>
        <w:rPr>
          <w:rFonts w:ascii="宋体" w:hAnsi="宋体" w:hint="eastAsia"/>
          <w:lang w:val="en-US" w:eastAsia="zh-CN"/>
        </w:rPr>
        <w:t>-2016</w:t>
      </w:r>
      <w:r>
        <w:rPr>
          <w:rFonts w:ascii="宋体" w:hAnsi="宋体" w:hint="eastAsia"/>
        </w:rPr>
        <w:t>的规定。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钢筋接头应符合设计要求及国标GB50204-2015的规定。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钢筋绑扎应牢固,无松动、无漏绑。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钢筋的保护层符合设计及规范要求。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钢筋绑扎安放允许偏差: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钢筋安装位置的允许偏差和检验方法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32"/>
        <w:gridCol w:w="839"/>
        <w:gridCol w:w="1347"/>
        <w:gridCol w:w="2075"/>
        <w:gridCol w:w="2841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项目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允许偏差mm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检验方法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240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绑扎钢筋网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长、宽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+10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240" w:type="dxa"/>
            <w:gridSpan w:val="4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网眼尺寸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+20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受力钢筋</w:t>
            </w:r>
          </w:p>
        </w:tc>
        <w:tc>
          <w:tcPr>
            <w:tcW w:w="24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间距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+10</w:t>
            </w:r>
          </w:p>
        </w:tc>
        <w:tc>
          <w:tcPr>
            <w:tcW w:w="28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钢尺量两端、中间各一点，取最大值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/>
          <w:jc w:val="center"/>
        </w:trPr>
        <w:tc>
          <w:tcPr>
            <w:tcW w:w="822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+5</w:t>
            </w:r>
          </w:p>
        </w:tc>
        <w:tc>
          <w:tcPr>
            <w:tcW w:w="2841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/>
          <w:jc w:val="center"/>
        </w:trPr>
        <w:tc>
          <w:tcPr>
            <w:tcW w:w="822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保护层厚度</w:t>
            </w:r>
          </w:p>
        </w:tc>
        <w:tc>
          <w:tcPr>
            <w:tcW w:w="1347" w:type="dxa"/>
            <w:vMerge w:val="restart"/>
            <w:vAlign w:val="center"/>
          </w:tcPr>
          <w:p>
            <w:r>
              <w:rPr>
                <w:rFonts w:hint="eastAsia"/>
              </w:rPr>
              <w:t>基础</w:t>
            </w:r>
          </w:p>
        </w:tc>
        <w:tc>
          <w:tcPr>
            <w:tcW w:w="2075" w:type="dxa"/>
            <w:vMerge w:val="restart"/>
            <w:vAlign w:val="center"/>
          </w:tcPr>
          <w:p>
            <w:r>
              <w:rPr>
                <w:rFonts w:hint="eastAsia"/>
              </w:rPr>
              <w:t>+10</w:t>
            </w:r>
          </w:p>
        </w:tc>
        <w:tc>
          <w:tcPr>
            <w:tcW w:w="2841" w:type="dxa"/>
            <w:vMerge w:val="restart"/>
            <w:vAlign w:val="center"/>
          </w:tcPr>
          <w:p>
            <w:r>
              <w:rPr>
                <w:rFonts w:hint="eastAsia"/>
              </w:rPr>
              <w:t>钢尺检查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/>
          <w:jc w:val="center"/>
        </w:trPr>
        <w:tc>
          <w:tcPr>
            <w:tcW w:w="822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排距</w:t>
            </w:r>
          </w:p>
        </w:tc>
        <w:tc>
          <w:tcPr>
            <w:tcW w:w="1347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5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41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/>
          <w:jc w:val="center"/>
        </w:trPr>
        <w:tc>
          <w:tcPr>
            <w:tcW w:w="822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1" w:type="dxa"/>
            <w:gridSpan w:val="2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7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75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841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2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1" w:type="dxa"/>
            <w:gridSpan w:val="2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梁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+5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22" w:type="dxa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1" w:type="dxa"/>
            <w:gridSpan w:val="2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墙、板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+3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绑扎箍筋、横向钢筋间距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+20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钢尺连续量三档，取最大值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钢筋弯起点位置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预埋件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中心线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钢尺检查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54" w:type="dxa"/>
            <w:gridSpan w:val="2"/>
            <w:vMerge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水平高差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+3，0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钢尺和塞尺检查</w:t>
            </w:r>
          </w:p>
        </w:tc>
      </w:tr>
    </w:tbl>
    <w:p>
      <w:pPr>
        <w:rPr>
          <w:rFonts w:ascii="宋体" w:hAnsi="宋体"/>
        </w:rPr>
      </w:pPr>
      <w:bookmarkStart w:id="120" w:name="_Toc16794"/>
      <w:bookmarkStart w:id="121" w:name="_Toc324584315"/>
      <w:r>
        <w:rPr>
          <w:rFonts w:ascii="宋体" w:hAnsi="宋体" w:hint="eastAsia"/>
        </w:rPr>
        <w:t>2.3、混凝土工程</w:t>
      </w:r>
      <w:bookmarkEnd w:id="120"/>
      <w:bookmarkEnd w:id="121"/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2.3.1、混凝土方案的选择与确定  </w:t>
      </w:r>
    </w:p>
    <w:p>
      <w:pPr>
        <w:rPr>
          <w:rFonts w:ascii="宋体" w:hAnsi="宋体"/>
        </w:rPr>
        <w:sectPr>
          <w:headerReference w:type="even" r:id="rId123"/>
          <w:headerReference w:type="default" r:id="rId124"/>
          <w:footerReference w:type="even" r:id="rId125"/>
          <w:footerReference w:type="default" r:id="rId126"/>
          <w:headerReference w:type="first" r:id="rId127"/>
          <w:footerReference w:type="first" r:id="rId128"/>
          <w:type w:val="nextPage"/>
          <w:pgSz w:w="11906" w:h="16838"/>
          <w:pgMar w:top="1417" w:right="1417" w:bottom="1417" w:left="1417" w:header="851" w:footer="850" w:gutter="0"/>
          <w:pgNumType w:fmt="decimal" w:start="20"/>
          <w:cols w:num="1" w:space="425"/>
          <w:titlePg w:val="0"/>
          <w:docGrid w:type="lines" w:linePitch="326" w:charSpace="0"/>
        </w:sectPr>
      </w:pPr>
      <w:r>
        <w:rPr>
          <w:rFonts w:ascii="宋体" w:hAnsi="宋体" w:hint="eastAsia"/>
        </w:rPr>
        <w:t xml:space="preserve">    1）、本工程结构混凝土全部采用商品混凝土，同时采用混凝土汽车泵泵送到施工部位。混凝土塌落度控制在160～200mm之间。为满足抗渗要求，整个底板混凝土一次性浇筑完毕，不得间断。底板与地下室外墙体的施工缝设置在底板顶面上</w:t>
      </w:r>
      <w:r>
        <w:rPr>
          <w:rFonts w:ascii="宋体" w:hAnsi="宋体" w:hint="eastAsia"/>
          <w:lang w:val="en-US" w:eastAsia="zh-CN"/>
        </w:rPr>
        <w:t>3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00高处。混凝土振捣使用插入式振捣器振捣。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 xml:space="preserve">    2）、混凝土的浇筑分两次进行。第一次为地下室底板；第二次为地下室墙体、顶板混凝土浇筑。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2.3.2、工艺流程：基础底板混凝土→ 墙、柱混凝土→顶梁、板混凝土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2.3.3、对混凝土的技术及性能要求: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1）、水灰比控制0.24～0.38。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2）、水泥用量为300kg～500kg。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3）、骨料粒径为5～31.5mm。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4）、砂率为40%～50%。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5）、密度控制在2400～2500kg/m3。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6）、初凝时间为≮6小时。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7）、外加剂＜12%。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 xml:space="preserve"> 8）、底板及外墙抗渗等级P6。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2.3.4、预防混凝土工程碱集料反应、抗腐蚀性的技术措施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1）、混凝土所用的水泥、砂（河砂）、石子、外加剂、掺和料等材料，必须经法定检测单位出示的（碱含量和集料活性）检测报告。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2）、优先选用低碱含量的水泥、砂、石子等材料。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2.3.5、施工工艺及施工要点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1）、施工准备：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①、施工机具的准备:混凝土浇注前应对混凝土泵、振动器、振动棒、料斗等机具进行检查，并做好试运转工作，保持完好正常。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②、材料准备：施工所用的保温材料必须满足施工需要。</w:t>
      </w:r>
    </w:p>
    <w:p>
      <w:pPr>
        <w:ind w:firstLine="480" w:firstLineChars="200"/>
        <w:rPr>
          <w:rFonts w:ascii="宋体" w:hAnsi="宋体"/>
        </w:rPr>
      </w:pPr>
      <w:r>
        <w:rPr>
          <w:rFonts w:ascii="宋体" w:hAnsi="宋体" w:hint="eastAsia"/>
        </w:rPr>
        <w:t>③、现场准备：浇注前应对钢筋、模板、预留洞、预埋件等进行检查验收，合格后方可浇注。浇注前应检查和控制模板、钢筋、保护层和预埋件、预留洞等尺寸、规格、数量和位置，主要有模板的标高、位置和构件的截面尺寸是否符合设计要求，模板支撑与固定是否牢固可靠，模板内的杂物等是否清理干净等。（基础底板采取空压机气吹的方法进行清理，墙柱采用清扫的方法进行清理）</w:t>
      </w:r>
    </w:p>
    <w:p>
      <w:pPr>
        <w:rPr>
          <w:rFonts w:ascii="宋体" w:hAnsi="宋体"/>
        </w:rPr>
      </w:pPr>
      <w:r>
        <w:rPr>
          <w:rFonts w:ascii="宋体" w:hAnsi="宋体" w:hint="eastAsia"/>
        </w:rPr>
        <w:t>2）、混凝土的浇注方法与工艺要求</w:t>
      </w: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spacing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https://d.book118.com/188112024036006033</w:t>
        </w:r>
      </w:hyperlink>
    </w:p>
    <w:p>
      <w:pPr>
        <w:rPr>
          <w:rFonts w:ascii="宋体" w:hAnsi="宋体"/>
        </w:rPr>
      </w:pPr>
    </w:p>
    <w:sectPr>
      <w:headerReference w:type="even" r:id="rId130"/>
      <w:headerReference w:type="default" r:id="rId131"/>
      <w:footerReference w:type="even" r:id="rId132"/>
      <w:footerReference w:type="default" r:id="rId133"/>
      <w:headerReference w:type="first" r:id="rId134"/>
      <w:footerReference w:type="first" r:id="rId135"/>
      <w:type w:val="nextPage"/>
      <w:pgSz w:w="11906" w:h="16838"/>
      <w:pgMar w:top="1417" w:right="1417" w:bottom="1417" w:left="1417" w:header="851" w:footer="850" w:gutter="0"/>
      <w:pgNumType w:fmt="decimal" w:start="21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A1"/>
    <w:family w:val="auto"/>
    <w:pitch w:val="default"/>
    <w:sig w:usb0="00000003" w:usb1="288F0000" w:usb2="00000006" w:usb3="00000000" w:csb0="00040009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长城楷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篆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JQY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ind w:firstLine="810" w:firstLineChars="45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1" o:spid="_x0000_s205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592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方正小篆体" w:eastAsia="方正小篆体"/>
        <w:u w:val="single"/>
      </w:rPr>
      <w:pict>
        <v:shape id="_x0000_s1026" o:spid="_x0000_s2052" type="#_x0000_t202" style="width:19.4pt;height:20.05pt;margin-top:-0.35pt;margin-left:-17.4pt;mso-height-relative:page;mso-width-relative:page;mso-wrap-style:none;position:absolute;z-index:251658240" coordsize="21600,21600" stroked="f">
          <v:stroke joinstyle="miter"/>
          <v:textbox style="mso-fit-shape-to-text:t" inset="0,0,0,0">
            <w:txbxContent>
              <w:p>
                <w:pPr>
                  <w:ind w:firstLine="480"/>
                </w:pPr>
                <w:r>
                  <w:drawing>
                    <wp:inline distT="0" distB="0" distL="0" distR="0">
                      <wp:extent cx="304800" cy="262255"/>
                      <wp:effectExtent l="19050" t="0" r="0" b="0"/>
                      <wp:docPr id="35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5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xmlns:r="http://schemas.openxmlformats.org/officeDocument/2006/relationships"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4800" cy="26225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>
    <w:pPr>
      <w:ind w:right="-742" w:firstLine="910" w:rightChars="-309" w:firstLineChars="700"/>
      <w:rPr>
        <w:sz w:val="13"/>
        <w:szCs w:val="18"/>
      </w:rPr>
    </w:pPr>
    <w:r>
      <w:rPr>
        <w:rFonts w:hint="eastAsia"/>
        <w:sz w:val="13"/>
        <w:szCs w:val="18"/>
      </w:rPr>
      <w:t>Huaxin   Construction   Group   Co.,Ltd</w:t>
    </w:r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4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1312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5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54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40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86184531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5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3360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8911102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5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95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131014302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014302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49516255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6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67456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88415739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6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36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482875344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875344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8674925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6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1552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26852088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6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76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595847619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5847619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23120548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6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5648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2403541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7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179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051128727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1128727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80242819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7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79744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2357698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7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58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878776161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776161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73612059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7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3840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6530230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7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99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631678294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1678294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079195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8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87936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69137707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8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40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316531412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6531412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30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46266893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8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2032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920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82245100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8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81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08692762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692762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0061104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8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696128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6092501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9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22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352800575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800575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124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54468997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9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0224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739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908272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9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63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675717993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5717993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12572486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09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4320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114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01585030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09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04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914518036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4518036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094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3986207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0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08416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1558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90351656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0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45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191593422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593422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135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8804006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0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2512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94125512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0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86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508881938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8881938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1763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25339731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0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16608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2377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8638370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1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227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785815670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5815670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2172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4291503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1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20704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2787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32924520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15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2684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902521506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521506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2582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99233793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16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24800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3196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9919025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19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309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357945340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7945340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2992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977452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20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28896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360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26965844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23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350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561702782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702782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3401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500699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24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32992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401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0644451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27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391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12241142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1142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381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72735121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28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37088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4425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8697572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3" o:spid="_x0000_s2131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432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drawing>
        <wp:inline distT="0" distB="0" distL="114300" distR="114300">
          <wp:extent cx="1229995" cy="230505"/>
          <wp:effectExtent l="0" t="0" r="0" b="13335"/>
          <wp:docPr id="798743464" name="图片 6" descr="WPS图片-抠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8743464" name="图片 6" descr="WPS图片-抠图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29995" cy="23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74220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9220041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2" o:spid="_x0000_s2132" type="#_x0000_t202" style="width:2in;height:2in;margin-top:0;margin-left:0;mso-position-horizontal:right;mso-position-horizontal-relative:margin;mso-wrap-distance-bottom:0;mso-wrap-distance-left:9pt;mso-wrap-distance-right:9pt;mso-wrap-distance-top:0;mso-wrap-style:none;position:absolute;v-text-anchor:top;z-index:251741184" filled="f" fillcolor="this" stroked="f" strokeweight="0.5pt">
              <v:textbox style="mso-fit-shape-to-text:t" inset="0,0,0,0">
                <w:txbxContent>
                  <w:p/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right="-742" w:rightChars="-309"/>
      <w:rPr>
        <w:sz w:val="16"/>
        <w:szCs w:val="18"/>
      </w:rPr>
    </w:pPr>
    <w:r>
      <w:rPr>
        <w:rFonts w:hint="eastAsia"/>
        <w:sz w:val="18"/>
        <w:szCs w:val="18"/>
        <w:lang w:eastAsia="zh-CN"/>
      </w:rPr>
      <w:t>通州湾示范区TR20011地块一标段</w:t>
    </w:r>
    <w:r>
      <w:rPr>
        <w:rFonts w:hint="eastAsia"/>
        <w:sz w:val="18"/>
        <w:szCs w:val="18"/>
      </w:rPr>
      <w:t xml:space="preserve">                   铝合金模板施工方</w:t>
    </w:r>
    <w:r>
      <w:rPr>
        <w:rFonts w:hint="eastAsia"/>
        <w:sz w:val="16"/>
        <w:szCs w:val="18"/>
      </w:rPr>
      <w:t>案</w:t>
    </w:r>
  </w:p>
  <w:p>
    <w:pPr>
      <w:spacing w:line="0" w:lineRule="atLeast"/>
      <w:ind w:left="-600" w:right="-742" w:firstLine="360" w:leftChars="-250" w:rightChars="-309"/>
      <w:rPr>
        <w:sz w:val="13"/>
        <w:szCs w:val="13"/>
      </w:rPr>
    </w:pPr>
    <w:r>
      <w:rPr>
        <w:sz w:val="18"/>
        <w:szCs w:val="1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o:spid="_x0000_s2050" type="#_x0000_t32" style="width:484.45pt;height:0.05pt;margin-top:2pt;margin-left:-3.8pt;flip:y;mso-height-relative:page;mso-width-relative:page;position:absolute;z-index:251658240" coordsize="21600,21600" o:connectortype="straight" filled="f">
          <v:path arrowok="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37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54" type="#_x0000_t32" style="width:452.5pt;height:0.05pt;margin-top:13.6pt;margin-left:0.1pt;mso-wrap-distance-bottom:0;mso-wrap-distance-left:9pt;mso-wrap-distance-right:9pt;mso-wrap-distance-top:0;position:absolute;v-text-anchor:top;z-index:25166131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9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53" type="#_x0000_t32" style="width:452.5pt;height:0.05pt;margin-top:13.6pt;margin-left:0.1pt;mso-wrap-distance-bottom:0;mso-wrap-distance-left:9pt;mso-wrap-distance-right:9pt;mso-wrap-distance-top:0;position:absolute;v-text-anchor:top;z-index:25165926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562465282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58" type="#_x0000_t32" style="width:452.5pt;height:0.05pt;margin-top:13.6pt;margin-left:0.1pt;mso-wrap-distance-bottom:0;mso-wrap-distance-left:9pt;mso-wrap-distance-right:9pt;mso-wrap-distance-top:0;position:absolute;v-text-anchor:top;z-index:25166540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741526877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57" type="#_x0000_t32" style="width:452.5pt;height:0.05pt;margin-top:13.6pt;margin-left:0.1pt;mso-wrap-distance-bottom:0;mso-wrap-distance-left:9pt;mso-wrap-distance-right:9pt;mso-wrap-distance-top:0;position:absolute;v-text-anchor:top;z-index:25166336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961607463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62" type="#_x0000_t32" style="width:452.5pt;height:0.05pt;margin-top:13.6pt;margin-left:0.1pt;mso-wrap-distance-bottom:0;mso-wrap-distance-left:9pt;mso-wrap-distance-right:9pt;mso-wrap-distance-top:0;position:absolute;v-text-anchor:top;z-index:25166950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727840008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61" type="#_x0000_t32" style="width:452.5pt;height:0.05pt;margin-top:13.6pt;margin-left:0.1pt;mso-wrap-distance-bottom:0;mso-wrap-distance-left:9pt;mso-wrap-distance-right:9pt;mso-wrap-distance-top:0;position:absolute;v-text-anchor:top;z-index:25166745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413138750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66" type="#_x0000_t32" style="width:452.5pt;height:0.05pt;margin-top:13.6pt;margin-left:0.1pt;mso-wrap-distance-bottom:0;mso-wrap-distance-left:9pt;mso-wrap-distance-right:9pt;mso-wrap-distance-top:0;position:absolute;v-text-anchor:top;z-index:25167360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908689911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65" type="#_x0000_t32" style="width:452.5pt;height:0.05pt;margin-top:13.6pt;margin-left:0.1pt;mso-wrap-distance-bottom:0;mso-wrap-distance-left:9pt;mso-wrap-distance-right:9pt;mso-wrap-distance-top:0;position:absolute;v-text-anchor:top;z-index:25167155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2138673238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70" type="#_x0000_t32" style="width:452.5pt;height:0.05pt;margin-top:13.6pt;margin-left:0.1pt;mso-wrap-distance-bottom:0;mso-wrap-distance-left:9pt;mso-wrap-distance-right:9pt;mso-wrap-distance-top:0;position:absolute;v-text-anchor:top;z-index:25167769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846465600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69" type="#_x0000_t32" style="width:452.5pt;height:0.05pt;margin-top:13.6pt;margin-left:0.1pt;mso-wrap-distance-bottom:0;mso-wrap-distance-left:9pt;mso-wrap-distance-right:9pt;mso-wrap-distance-top:0;position:absolute;v-text-anchor:top;z-index:25167564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301355502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74" type="#_x0000_t32" style="width:452.5pt;height:0.05pt;margin-top:13.6pt;margin-left:0.1pt;mso-wrap-distance-bottom:0;mso-wrap-distance-left:9pt;mso-wrap-distance-right:9pt;mso-wrap-distance-top:0;position:absolute;v-text-anchor:top;z-index:25168179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828137175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73" type="#_x0000_t32" style="width:452.5pt;height:0.05pt;margin-top:13.6pt;margin-left:0.1pt;mso-wrap-distance-bottom:0;mso-wrap-distance-left:9pt;mso-wrap-distance-right:9pt;mso-wrap-distance-top:0;position:absolute;v-text-anchor:top;z-index:25167974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235877834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78" type="#_x0000_t32" style="width:452.5pt;height:0.05pt;margin-top:13.6pt;margin-left:0.1pt;mso-wrap-distance-bottom:0;mso-wrap-distance-left:9pt;mso-wrap-distance-right:9pt;mso-wrap-distance-top:0;position:absolute;v-text-anchor:top;z-index:25168588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545004055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77" type="#_x0000_t32" style="width:452.5pt;height:0.05pt;margin-top:13.6pt;margin-left:0.1pt;mso-wrap-distance-bottom:0;mso-wrap-distance-left:9pt;mso-wrap-distance-right:9pt;mso-wrap-distance-top:0;position:absolute;v-text-anchor:top;z-index:25168384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475227166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82" type="#_x0000_t32" style="width:452.5pt;height:0.05pt;margin-top:13.6pt;margin-left:0.1pt;mso-wrap-distance-bottom:0;mso-wrap-distance-left:9pt;mso-wrap-distance-right:9pt;mso-wrap-distance-top:0;position:absolute;v-text-anchor:top;z-index:25168998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406113852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81" type="#_x0000_t32" style="width:452.5pt;height:0.05pt;margin-top:13.6pt;margin-left:0.1pt;mso-wrap-distance-bottom:0;mso-wrap-distance-left:9pt;mso-wrap-distance-right:9pt;mso-wrap-distance-top:0;position:absolute;v-text-anchor:top;z-index:25168793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63267204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86" type="#_x0000_t32" style="width:452.5pt;height:0.05pt;margin-top:13.6pt;margin-left:0.1pt;mso-wrap-distance-bottom:0;mso-wrap-distance-left:9pt;mso-wrap-distance-right:9pt;mso-wrap-distance-top:0;position:absolute;v-text-anchor:top;z-index:25169408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971907137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85" type="#_x0000_t32" style="width:452.5pt;height:0.05pt;margin-top:13.6pt;margin-left:0.1pt;mso-wrap-distance-bottom:0;mso-wrap-distance-left:9pt;mso-wrap-distance-right:9pt;mso-wrap-distance-top:0;position:absolute;v-text-anchor:top;z-index:25169203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9920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320148972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90" type="#_x0000_t32" style="width:452.5pt;height:0.05pt;margin-top:13.6pt;margin-left:0.1pt;mso-wrap-distance-bottom:0;mso-wrap-distance-left:9pt;mso-wrap-distance-right:9pt;mso-wrap-distance-top:0;position:absolute;v-text-anchor:top;z-index:25169817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266056170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89" type="#_x0000_t32" style="width:452.5pt;height:0.05pt;margin-top:13.6pt;margin-left:0.1pt;mso-wrap-distance-bottom:0;mso-wrap-distance-left:9pt;mso-wrap-distance-right:9pt;mso-wrap-distance-top:0;position:absolute;v-text-anchor:top;z-index:25169612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845104616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94" type="#_x0000_t32" style="width:452.5pt;height:0.05pt;margin-top:13.6pt;margin-left:0.1pt;mso-wrap-distance-bottom:0;mso-wrap-distance-left:9pt;mso-wrap-distance-right:9pt;mso-wrap-distance-top:0;position:absolute;v-text-anchor:top;z-index:25170227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406493026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93" type="#_x0000_t32" style="width:452.5pt;height:0.05pt;margin-top:13.6pt;margin-left:0.1pt;mso-wrap-distance-bottom:0;mso-wrap-distance-left:9pt;mso-wrap-distance-right:9pt;mso-wrap-distance-top:0;position:absolute;v-text-anchor:top;z-index:25170022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078732259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98" type="#_x0000_t32" style="width:452.5pt;height:0.05pt;margin-top:13.6pt;margin-left:0.1pt;mso-wrap-distance-bottom:0;mso-wrap-distance-left:9pt;mso-wrap-distance-right:9pt;mso-wrap-distance-top:0;position:absolute;v-text-anchor:top;z-index:25170636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653370788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097" type="#_x0000_t32" style="width:452.5pt;height:0.05pt;margin-top:13.6pt;margin-left:0.1pt;mso-wrap-distance-bottom:0;mso-wrap-distance-left:9pt;mso-wrap-distance-right:9pt;mso-wrap-distance-top:0;position:absolute;v-text-anchor:top;z-index:25170432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891605869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02" type="#_x0000_t32" style="width:452.5pt;height:0.05pt;margin-top:13.6pt;margin-left:0.1pt;mso-wrap-distance-bottom:0;mso-wrap-distance-left:9pt;mso-wrap-distance-right:9pt;mso-wrap-distance-top:0;position:absolute;v-text-anchor:top;z-index:25171046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538268387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01" type="#_x0000_t32" style="width:452.5pt;height:0.05pt;margin-top:13.6pt;margin-left:0.1pt;mso-wrap-distance-bottom:0;mso-wrap-distance-left:9pt;mso-wrap-distance-right:9pt;mso-wrap-distance-top:0;position:absolute;v-text-anchor:top;z-index:25170841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1558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144989419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06" type="#_x0000_t32" style="width:452.5pt;height:0.05pt;margin-top:13.6pt;margin-left:0.1pt;mso-wrap-distance-bottom:0;mso-wrap-distance-left:9pt;mso-wrap-distance-right:9pt;mso-wrap-distance-top:0;position:absolute;v-text-anchor:top;z-index:25171456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1353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309656851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05" type="#_x0000_t32" style="width:452.5pt;height:0.05pt;margin-top:13.6pt;margin-left:0.1pt;mso-wrap-distance-bottom:0;mso-wrap-distance-left:9pt;mso-wrap-distance-right:9pt;mso-wrap-distance-top:0;position:absolute;v-text-anchor:top;z-index:25171251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681656152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10" type="#_x0000_t32" style="width:452.5pt;height:0.05pt;margin-top:13.6pt;margin-left:0.1pt;mso-wrap-distance-bottom:0;mso-wrap-distance-left:9pt;mso-wrap-distance-right:9pt;mso-wrap-distance-top:0;position:absolute;v-text-anchor:top;z-index:25171865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1763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309612288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09" type="#_x0000_t32" style="width:452.5pt;height:0.05pt;margin-top:13.6pt;margin-left:0.1pt;mso-wrap-distance-bottom:0;mso-wrap-distance-left:9pt;mso-wrap-distance-right:9pt;mso-wrap-distance-top:0;position:absolute;v-text-anchor:top;z-index:25171660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2377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841622271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14" type="#_x0000_t32" style="width:452.5pt;height:0.05pt;margin-top:13.6pt;margin-left:0.1pt;mso-wrap-distance-bottom:0;mso-wrap-distance-left:9pt;mso-wrap-distance-right:9pt;mso-wrap-distance-top:0;position:absolute;v-text-anchor:top;z-index:25172275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2172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973555206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13" type="#_x0000_t32" style="width:452.5pt;height:0.05pt;margin-top:13.6pt;margin-left:0.1pt;mso-wrap-distance-bottom:0;mso-wrap-distance-left:9pt;mso-wrap-distance-right:9pt;mso-wrap-distance-top:0;position:absolute;v-text-anchor:top;z-index:25172070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2787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668188524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18" type="#_x0000_t32" style="width:452.5pt;height:0.05pt;margin-top:13.6pt;margin-left:0.1pt;mso-wrap-distance-bottom:0;mso-wrap-distance-left:9pt;mso-wrap-distance-right:9pt;mso-wrap-distance-top:0;position:absolute;v-text-anchor:top;z-index:25172684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2582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180378328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17" type="#_x0000_t32" style="width:452.5pt;height:0.05pt;margin-top:13.6pt;margin-left:0.1pt;mso-wrap-distance-bottom:0;mso-wrap-distance-left:9pt;mso-wrap-distance-right:9pt;mso-wrap-distance-top:0;position:absolute;v-text-anchor:top;z-index:25172480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31968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52481093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22" type="#_x0000_t32" style="width:452.5pt;height:0.05pt;margin-top:13.6pt;margin-left:0.1pt;mso-wrap-distance-bottom:0;mso-wrap-distance-left:9pt;mso-wrap-distance-right:9pt;mso-wrap-distance-top:0;position:absolute;v-text-anchor:top;z-index:251730944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2992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7318401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21" type="#_x0000_t32" style="width:452.5pt;height:0.05pt;margin-top:13.6pt;margin-left:0.1pt;mso-wrap-distance-bottom:0;mso-wrap-distance-left:9pt;mso-wrap-distance-right:9pt;mso-wrap-distance-top:0;position:absolute;v-text-anchor:top;z-index:25172889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36064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986855717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26" type="#_x0000_t32" style="width:452.5pt;height:0.05pt;margin-top:13.6pt;margin-left:0.1pt;mso-wrap-distance-bottom:0;mso-wrap-distance-left:9pt;mso-wrap-distance-right:9pt;mso-wrap-distance-top:0;position:absolute;v-text-anchor:top;z-index:251735040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34016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533414823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25" type="#_x0000_t32" style="width:452.5pt;height:0.05pt;margin-top:13.6pt;margin-left:0.1pt;mso-wrap-distance-bottom:0;mso-wrap-distance-left:9pt;mso-wrap-distance-right:9pt;mso-wrap-distance-top:0;position:absolute;v-text-anchor:top;z-index:251732992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40160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796990224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30" type="#_x0000_t32" style="width:452.5pt;height:0.05pt;margin-top:13.6pt;margin-left:0.1pt;mso-wrap-distance-bottom:0;mso-wrap-distance-left:9pt;mso-wrap-distance-right:9pt;mso-wrap-distance-top:0;position:absolute;v-text-anchor:top;z-index:251739136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napToGrid w:val="0"/>
      <w:ind w:right="-742" w:firstLine="0" w:rightChars="-309" w:firstLineChars="0"/>
      <w:rPr>
        <w:rFonts w:ascii="宋体" w:hAnsi="宋体" w:hint="default"/>
        <w:sz w:val="16"/>
        <w:szCs w:val="18"/>
      </w:rPr>
    </w:pPr>
    <w:r>
      <w:rPr>
        <w:rFonts w:ascii="宋体" w:hAnsi="宋体" w:hint="default"/>
        <w:sz w:val="18"/>
        <w:szCs w:val="22"/>
        <w:lang w:val="en-US"/>
      </w:rPr>
      <mc:AlternateContent>
        <mc:Choice Requires="wps">
          <w:drawing>
            <wp:anchor distT="0" distB="0" distL="114300" distR="114300" simplePos="0" relativeHeight="251738112" behindDoc="0" locked="0" layoutInCell="1" allowOverlap="1">
              <wp:simplePos x="0" y="0"/>
              <wp:positionH relativeFrom="column">
                <wp:posOffset>1270</wp:posOffset>
              </wp:positionH>
              <wp:positionV relativeFrom="paragraph">
                <wp:posOffset>172720</wp:posOffset>
              </wp:positionV>
              <wp:extent cx="5746750" cy="635"/>
              <wp:effectExtent l="0" t="9525" r="13970" b="12700"/>
              <wp:wrapNone/>
              <wp:docPr id="1019357490" name="自选图形 20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635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自选图形 2049" o:spid="_x0000_s2129" type="#_x0000_t32" style="width:452.5pt;height:0.05pt;margin-top:13.6pt;margin-left:0.1pt;mso-wrap-distance-bottom:0;mso-wrap-distance-left:9pt;mso-wrap-distance-right:9pt;mso-wrap-distance-top:0;position:absolute;v-text-anchor:top;z-index:251737088" filled="f" fillcolor="this" stroked="t" strokecolor="black" strokeweight="1.5pt">
              <v:stroke joinstyle="round"/>
            </v:shape>
          </w:pict>
        </mc:Fallback>
      </mc:AlternateContent>
    </w:r>
    <w:r>
      <w:rPr>
        <w:rFonts w:ascii="宋体" w:hAnsi="宋体" w:hint="eastAsia"/>
        <w:sz w:val="18"/>
        <w:szCs w:val="22"/>
        <w:lang w:val="en-US" w:eastAsia="zh-CN"/>
      </w:rPr>
      <w:t>通州湾示范区TR20011地块一标段</w:t>
    </w:r>
    <w:r>
      <w:rPr>
        <w:rFonts w:ascii="宋体" w:hAnsi="宋体" w:hint="eastAsia"/>
        <w:sz w:val="18"/>
        <w:szCs w:val="18"/>
      </w:rPr>
      <w:t xml:space="preserve">               </w:t>
    </w:r>
    <w:r>
      <w:rPr>
        <w:rFonts w:ascii="宋体" w:hAnsi="宋体" w:hint="eastAsia"/>
        <w:sz w:val="18"/>
        <w:szCs w:val="18"/>
        <w:lang w:val="en-US" w:eastAsia="zh-CN"/>
      </w:rPr>
      <w:t xml:space="preserve">                                </w:t>
    </w:r>
    <w:r>
      <w:rPr>
        <w:rFonts w:ascii="宋体" w:hAnsi="宋体" w:hint="eastAsia"/>
        <w:sz w:val="18"/>
        <w:szCs w:val="18"/>
      </w:rPr>
      <w:t xml:space="preserve">   </w:t>
    </w:r>
    <w:r>
      <w:rPr>
        <w:rFonts w:ascii="宋体" w:hAnsi="宋体" w:hint="eastAsia"/>
        <w:sz w:val="18"/>
        <w:szCs w:val="18"/>
        <w:lang w:val="en-US" w:eastAsia="zh-CN"/>
      </w:rPr>
      <w:t xml:space="preserve"> 人防工程施工组织设计</w:t>
    </w:r>
  </w:p>
  <w:p>
    <w:pPr>
      <w:pStyle w:val="Header"/>
      <w:pBdr>
        <w:bottom w:val="none" w:sz="0" w:space="0" w:color="auto"/>
      </w:pBdr>
      <w:spacing w:line="240" w:lineRule="auto"/>
      <w:ind w:firstLine="0" w:firstLineChars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138"/>
    <w:rsid w:val="00005F59"/>
    <w:rsid w:val="00020421"/>
    <w:rsid w:val="000211C6"/>
    <w:rsid w:val="0002661B"/>
    <w:rsid w:val="000464BA"/>
    <w:rsid w:val="00047D80"/>
    <w:rsid w:val="00061D12"/>
    <w:rsid w:val="000730B4"/>
    <w:rsid w:val="000809D4"/>
    <w:rsid w:val="000A03B6"/>
    <w:rsid w:val="000A0CF1"/>
    <w:rsid w:val="000B5EFD"/>
    <w:rsid w:val="000F3E53"/>
    <w:rsid w:val="000F412F"/>
    <w:rsid w:val="001116DB"/>
    <w:rsid w:val="00114026"/>
    <w:rsid w:val="00124127"/>
    <w:rsid w:val="001262EB"/>
    <w:rsid w:val="001356E7"/>
    <w:rsid w:val="00135EFA"/>
    <w:rsid w:val="00147C3F"/>
    <w:rsid w:val="00153A20"/>
    <w:rsid w:val="00155C87"/>
    <w:rsid w:val="00173D3B"/>
    <w:rsid w:val="001750BB"/>
    <w:rsid w:val="00177280"/>
    <w:rsid w:val="00185556"/>
    <w:rsid w:val="0018655E"/>
    <w:rsid w:val="001A1558"/>
    <w:rsid w:val="001C64F8"/>
    <w:rsid w:val="001C6A1E"/>
    <w:rsid w:val="001E2E6D"/>
    <w:rsid w:val="001E3BA4"/>
    <w:rsid w:val="00204CD8"/>
    <w:rsid w:val="00233C0D"/>
    <w:rsid w:val="002347F1"/>
    <w:rsid w:val="00237C6D"/>
    <w:rsid w:val="00242E5C"/>
    <w:rsid w:val="00244FF0"/>
    <w:rsid w:val="00260812"/>
    <w:rsid w:val="00265432"/>
    <w:rsid w:val="00271E83"/>
    <w:rsid w:val="00281F60"/>
    <w:rsid w:val="002861B7"/>
    <w:rsid w:val="00293131"/>
    <w:rsid w:val="00293CE0"/>
    <w:rsid w:val="002B37D0"/>
    <w:rsid w:val="002B545F"/>
    <w:rsid w:val="002D40CE"/>
    <w:rsid w:val="002D4BF4"/>
    <w:rsid w:val="002D68AF"/>
    <w:rsid w:val="00315B25"/>
    <w:rsid w:val="00315FF9"/>
    <w:rsid w:val="003210B4"/>
    <w:rsid w:val="003227C9"/>
    <w:rsid w:val="00342170"/>
    <w:rsid w:val="003550B2"/>
    <w:rsid w:val="0035612E"/>
    <w:rsid w:val="00361AE7"/>
    <w:rsid w:val="00361FCB"/>
    <w:rsid w:val="00372C09"/>
    <w:rsid w:val="00377BBA"/>
    <w:rsid w:val="00385366"/>
    <w:rsid w:val="003868F9"/>
    <w:rsid w:val="0039144F"/>
    <w:rsid w:val="00391A8F"/>
    <w:rsid w:val="003A1CB3"/>
    <w:rsid w:val="003B2C2E"/>
    <w:rsid w:val="003D3362"/>
    <w:rsid w:val="003D3B7E"/>
    <w:rsid w:val="003E0EB7"/>
    <w:rsid w:val="003E2138"/>
    <w:rsid w:val="003F2DC9"/>
    <w:rsid w:val="0040559C"/>
    <w:rsid w:val="00406237"/>
    <w:rsid w:val="004169D8"/>
    <w:rsid w:val="00425352"/>
    <w:rsid w:val="0043784D"/>
    <w:rsid w:val="00453EAC"/>
    <w:rsid w:val="004544FD"/>
    <w:rsid w:val="0046418C"/>
    <w:rsid w:val="00476B7D"/>
    <w:rsid w:val="00477CB0"/>
    <w:rsid w:val="00492CF9"/>
    <w:rsid w:val="004959A9"/>
    <w:rsid w:val="004D0F6A"/>
    <w:rsid w:val="004E1491"/>
    <w:rsid w:val="004E50D5"/>
    <w:rsid w:val="004F4C32"/>
    <w:rsid w:val="0050488B"/>
    <w:rsid w:val="0050729F"/>
    <w:rsid w:val="005140AD"/>
    <w:rsid w:val="00516D5F"/>
    <w:rsid w:val="00541B9A"/>
    <w:rsid w:val="00545C4B"/>
    <w:rsid w:val="005518C0"/>
    <w:rsid w:val="0056509A"/>
    <w:rsid w:val="005A0215"/>
    <w:rsid w:val="005B3F9A"/>
    <w:rsid w:val="005D52ED"/>
    <w:rsid w:val="005E0DB2"/>
    <w:rsid w:val="005F0611"/>
    <w:rsid w:val="00605C6B"/>
    <w:rsid w:val="00626B20"/>
    <w:rsid w:val="0063780F"/>
    <w:rsid w:val="00666FD5"/>
    <w:rsid w:val="00671C93"/>
    <w:rsid w:val="0067710C"/>
    <w:rsid w:val="006779C2"/>
    <w:rsid w:val="00681951"/>
    <w:rsid w:val="00692B67"/>
    <w:rsid w:val="006A0992"/>
    <w:rsid w:val="006A6356"/>
    <w:rsid w:val="006B287E"/>
    <w:rsid w:val="006B688E"/>
    <w:rsid w:val="006C2743"/>
    <w:rsid w:val="006D08AC"/>
    <w:rsid w:val="006D7C3E"/>
    <w:rsid w:val="006E5D91"/>
    <w:rsid w:val="00700A06"/>
    <w:rsid w:val="007233C6"/>
    <w:rsid w:val="00723C10"/>
    <w:rsid w:val="00726728"/>
    <w:rsid w:val="0074361E"/>
    <w:rsid w:val="007461F2"/>
    <w:rsid w:val="00747DC8"/>
    <w:rsid w:val="007517E7"/>
    <w:rsid w:val="007774C5"/>
    <w:rsid w:val="00786F9A"/>
    <w:rsid w:val="007B132D"/>
    <w:rsid w:val="007B3908"/>
    <w:rsid w:val="007C1C52"/>
    <w:rsid w:val="007C3BB8"/>
    <w:rsid w:val="007D23D0"/>
    <w:rsid w:val="007E1F02"/>
    <w:rsid w:val="007E6751"/>
    <w:rsid w:val="007F0384"/>
    <w:rsid w:val="007F650F"/>
    <w:rsid w:val="00804B65"/>
    <w:rsid w:val="00820481"/>
    <w:rsid w:val="00842006"/>
    <w:rsid w:val="00843B92"/>
    <w:rsid w:val="00844554"/>
    <w:rsid w:val="008462E8"/>
    <w:rsid w:val="00866485"/>
    <w:rsid w:val="008801B4"/>
    <w:rsid w:val="00880C3F"/>
    <w:rsid w:val="00894C24"/>
    <w:rsid w:val="0089720C"/>
    <w:rsid w:val="008B28D7"/>
    <w:rsid w:val="008B7DE2"/>
    <w:rsid w:val="008C17DB"/>
    <w:rsid w:val="008C3377"/>
    <w:rsid w:val="008D6A26"/>
    <w:rsid w:val="008E64F6"/>
    <w:rsid w:val="008F2CF9"/>
    <w:rsid w:val="00901185"/>
    <w:rsid w:val="00903B1E"/>
    <w:rsid w:val="009179C4"/>
    <w:rsid w:val="0092168C"/>
    <w:rsid w:val="0092653C"/>
    <w:rsid w:val="00935150"/>
    <w:rsid w:val="00942B9A"/>
    <w:rsid w:val="00942F60"/>
    <w:rsid w:val="00943186"/>
    <w:rsid w:val="00946602"/>
    <w:rsid w:val="00962562"/>
    <w:rsid w:val="00972C99"/>
    <w:rsid w:val="00986FA7"/>
    <w:rsid w:val="009B15F1"/>
    <w:rsid w:val="009B2595"/>
    <w:rsid w:val="009B2E2F"/>
    <w:rsid w:val="009C6629"/>
    <w:rsid w:val="009D3E95"/>
    <w:rsid w:val="00A20543"/>
    <w:rsid w:val="00A23C38"/>
    <w:rsid w:val="00A255B3"/>
    <w:rsid w:val="00A3034F"/>
    <w:rsid w:val="00A36281"/>
    <w:rsid w:val="00A41F89"/>
    <w:rsid w:val="00A56437"/>
    <w:rsid w:val="00A573B9"/>
    <w:rsid w:val="00A66B7E"/>
    <w:rsid w:val="00A77096"/>
    <w:rsid w:val="00A90DD9"/>
    <w:rsid w:val="00A9654F"/>
    <w:rsid w:val="00AA7299"/>
    <w:rsid w:val="00AB5579"/>
    <w:rsid w:val="00AB6201"/>
    <w:rsid w:val="00AC2DAE"/>
    <w:rsid w:val="00AD3EBD"/>
    <w:rsid w:val="00AE5DA9"/>
    <w:rsid w:val="00AE7D95"/>
    <w:rsid w:val="00AF040E"/>
    <w:rsid w:val="00AF295F"/>
    <w:rsid w:val="00B17780"/>
    <w:rsid w:val="00B5018C"/>
    <w:rsid w:val="00B62051"/>
    <w:rsid w:val="00B77857"/>
    <w:rsid w:val="00B82222"/>
    <w:rsid w:val="00B953C4"/>
    <w:rsid w:val="00B9775F"/>
    <w:rsid w:val="00BA5931"/>
    <w:rsid w:val="00BB47B0"/>
    <w:rsid w:val="00BC32F0"/>
    <w:rsid w:val="00BE40C6"/>
    <w:rsid w:val="00BE5C97"/>
    <w:rsid w:val="00BE6691"/>
    <w:rsid w:val="00BF3608"/>
    <w:rsid w:val="00BF6B99"/>
    <w:rsid w:val="00C513A7"/>
    <w:rsid w:val="00C614E1"/>
    <w:rsid w:val="00C7392B"/>
    <w:rsid w:val="00C75B12"/>
    <w:rsid w:val="00C97C26"/>
    <w:rsid w:val="00CA218E"/>
    <w:rsid w:val="00CA656D"/>
    <w:rsid w:val="00CB16D5"/>
    <w:rsid w:val="00CB1737"/>
    <w:rsid w:val="00CE4AAA"/>
    <w:rsid w:val="00CE637A"/>
    <w:rsid w:val="00D145D7"/>
    <w:rsid w:val="00D23646"/>
    <w:rsid w:val="00D375F5"/>
    <w:rsid w:val="00D40A11"/>
    <w:rsid w:val="00D40B54"/>
    <w:rsid w:val="00D76A6C"/>
    <w:rsid w:val="00D93B7F"/>
    <w:rsid w:val="00DB4DB5"/>
    <w:rsid w:val="00DB623D"/>
    <w:rsid w:val="00DC1145"/>
    <w:rsid w:val="00DD2877"/>
    <w:rsid w:val="00DD3B3E"/>
    <w:rsid w:val="00DE67D0"/>
    <w:rsid w:val="00E179BB"/>
    <w:rsid w:val="00E20B69"/>
    <w:rsid w:val="00E230EE"/>
    <w:rsid w:val="00E2386E"/>
    <w:rsid w:val="00E24B46"/>
    <w:rsid w:val="00E27F1A"/>
    <w:rsid w:val="00E31736"/>
    <w:rsid w:val="00E3177B"/>
    <w:rsid w:val="00E43344"/>
    <w:rsid w:val="00E50F17"/>
    <w:rsid w:val="00E521EC"/>
    <w:rsid w:val="00E5492B"/>
    <w:rsid w:val="00E67347"/>
    <w:rsid w:val="00E752AE"/>
    <w:rsid w:val="00E764E5"/>
    <w:rsid w:val="00E76550"/>
    <w:rsid w:val="00E8435B"/>
    <w:rsid w:val="00E92CA5"/>
    <w:rsid w:val="00E93BE4"/>
    <w:rsid w:val="00EA10B9"/>
    <w:rsid w:val="00EA1876"/>
    <w:rsid w:val="00EA367F"/>
    <w:rsid w:val="00EA38F6"/>
    <w:rsid w:val="00EB028B"/>
    <w:rsid w:val="00EB39E9"/>
    <w:rsid w:val="00EB5EE1"/>
    <w:rsid w:val="00EC422E"/>
    <w:rsid w:val="00ED1329"/>
    <w:rsid w:val="00EF2241"/>
    <w:rsid w:val="00F301FE"/>
    <w:rsid w:val="00F30293"/>
    <w:rsid w:val="00F32E1B"/>
    <w:rsid w:val="00F51692"/>
    <w:rsid w:val="00F7065F"/>
    <w:rsid w:val="00F74DCC"/>
    <w:rsid w:val="00F770F7"/>
    <w:rsid w:val="00F90FEB"/>
    <w:rsid w:val="00F91F69"/>
    <w:rsid w:val="00FB222C"/>
    <w:rsid w:val="00FC44C0"/>
    <w:rsid w:val="00FC6DE3"/>
    <w:rsid w:val="00FC6E28"/>
    <w:rsid w:val="00FD6C54"/>
    <w:rsid w:val="00FD72C3"/>
    <w:rsid w:val="24C25F5A"/>
    <w:rsid w:val="2B47164F"/>
    <w:rsid w:val="30C360DB"/>
    <w:rsid w:val="4C0308C5"/>
    <w:rsid w:val="50D64748"/>
    <w:rsid w:val="546540A7"/>
    <w:rsid w:val="5C8C7F93"/>
    <w:rsid w:val="5E547F79"/>
    <w:rsid w:val="66AF63F9"/>
    <w:rsid w:val="7D7844D1"/>
  </w:rsids>
  <w:docVars>
    <w:docVar w:name="commondata" w:val="eyJoZGlkIjoiNTk1MzhlODgzN2IxZWJiNTcwYzdkMWQ4OTRlODRiN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 w:qFormat="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qFormat="1"/>
    <w:lsdException w:name="toc 3" w:semiHidden="0" w:uiPriority="39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unhideWhenUsed="0" w:qFormat="1"/>
    <w:lsdException w:name="footnote text"/>
    <w:lsdException w:name="annotation text"/>
    <w:lsdException w:name="header" w:semiHidden="0" w:unhideWhenUsed="0" w:qFormat="1"/>
    <w:lsdException w:name="footer" w:semiHidden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semiHidden="0" w:uiPriority="0" w:unhideWhenUsed="0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 w:semiHidden="0" w:uiPriority="0" w:unhideWhenUsed="0" w:qFormat="1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Default"/>
    <w:qFormat/>
    <w:pPr>
      <w:widowControl w:val="0"/>
      <w:spacing w:line="360" w:lineRule="auto"/>
    </w:pPr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"/>
    <w:link w:val="1"/>
    <w:qFormat/>
    <w:pPr>
      <w:keepNext/>
      <w:keepLines/>
      <w:spacing w:before="0" w:after="0" w:line="240" w:lineRule="auto"/>
      <w:jc w:val="left"/>
      <w:outlineLvl w:val="0"/>
    </w:pPr>
    <w:rPr>
      <w:rFonts w:ascii="Times New Roman" w:hAnsi="Times New Roman"/>
      <w:bCs/>
      <w:kern w:val="44"/>
      <w:sz w:val="28"/>
      <w:szCs w:val="44"/>
    </w:rPr>
  </w:style>
  <w:style w:type="paragraph" w:styleId="Heading2">
    <w:name w:val="heading 2"/>
    <w:basedOn w:val="Normal"/>
    <w:next w:val="Normal"/>
    <w:link w:val="2"/>
    <w:qFormat/>
    <w:pPr>
      <w:keepNext/>
      <w:keepLines/>
      <w:adjustRightInd w:val="0"/>
      <w:textAlignment w:val="baseline"/>
      <w:outlineLvl w:val="1"/>
    </w:pPr>
    <w:rPr>
      <w:rFonts w:ascii="Arial" w:hAnsi="Arial"/>
      <w:b/>
      <w:spacing w:val="30"/>
      <w:kern w:val="0"/>
      <w:szCs w:val="20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basedOn w:val="Normal"/>
    <w:qFormat/>
    <w:pPr>
      <w:autoSpaceDE w:val="0"/>
      <w:autoSpaceDN w:val="0"/>
      <w:jc w:val="left"/>
    </w:pPr>
    <w:rPr>
      <w:rFonts w:hint="eastAsia"/>
      <w:color w:val="000000"/>
      <w:kern w:val="0"/>
    </w:rPr>
  </w:style>
  <w:style w:type="paragraph" w:styleId="Title">
    <w:name w:val="Title"/>
    <w:basedOn w:val="Normal"/>
    <w:link w:val="a1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TOC7">
    <w:name w:val="toc 7"/>
    <w:basedOn w:val="Normal"/>
    <w:next w:val="Normal"/>
    <w:qFormat/>
    <w:pPr>
      <w:ind w:left="2520" w:leftChars="1200"/>
    </w:pPr>
  </w:style>
  <w:style w:type="paragraph" w:styleId="NormalIndent">
    <w:name w:val="Normal Indent"/>
    <w:basedOn w:val="Normal"/>
    <w:link w:val="a"/>
    <w:qFormat/>
    <w:pPr>
      <w:ind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styleId="BodyTextIndent">
    <w:name w:val="Body Text Indent"/>
    <w:basedOn w:val="Normal"/>
    <w:link w:val="a2"/>
    <w:qFormat/>
    <w:pPr>
      <w:ind w:firstLine="420"/>
    </w:pPr>
    <w:rPr>
      <w:color w:val="000000"/>
    </w:rPr>
  </w:style>
  <w:style w:type="paragraph" w:styleId="TOC5">
    <w:name w:val="toc 5"/>
    <w:basedOn w:val="Normal"/>
    <w:next w:val="Normal"/>
    <w:qFormat/>
    <w:pPr>
      <w:ind w:left="1680" w:leftChars="800"/>
    </w:p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PlainText">
    <w:name w:val="Plain Text"/>
    <w:basedOn w:val="Normal"/>
    <w:link w:val="a6"/>
    <w:qFormat/>
    <w:rPr>
      <w:rFonts w:ascii="宋体" w:hAnsi="Courier New"/>
      <w:szCs w:val="20"/>
    </w:rPr>
  </w:style>
  <w:style w:type="paragraph" w:styleId="TOC8">
    <w:name w:val="toc 8"/>
    <w:basedOn w:val="Normal"/>
    <w:next w:val="Normal"/>
    <w:qFormat/>
    <w:pPr>
      <w:ind w:left="2940" w:leftChars="1400"/>
    </w:pPr>
  </w:style>
  <w:style w:type="paragraph" w:styleId="Date">
    <w:name w:val="Date"/>
    <w:basedOn w:val="Normal"/>
    <w:next w:val="Normal"/>
    <w:link w:val="a3"/>
    <w:qFormat/>
    <w:rPr>
      <w:rFonts w:eastAsia="仿宋_GB2312"/>
      <w:b/>
      <w:sz w:val="28"/>
      <w:szCs w:val="20"/>
    </w:rPr>
  </w:style>
  <w:style w:type="paragraph" w:styleId="BodyTextIndent2">
    <w:name w:val="Body Text Indent 2"/>
    <w:basedOn w:val="Normal"/>
    <w:link w:val="20"/>
    <w:qFormat/>
    <w:pPr>
      <w:spacing w:after="120" w:line="480" w:lineRule="auto"/>
      <w:ind w:left="420" w:leftChars="200"/>
    </w:pPr>
  </w:style>
  <w:style w:type="paragraph" w:styleId="BalloonText">
    <w:name w:val="Balloon Text"/>
    <w:basedOn w:val="Normal"/>
    <w:link w:val="a0"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5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</w:style>
  <w:style w:type="paragraph" w:styleId="TOC4">
    <w:name w:val="toc 4"/>
    <w:basedOn w:val="Normal"/>
    <w:next w:val="Normal"/>
    <w:qFormat/>
    <w:pPr>
      <w:ind w:left="1260" w:leftChars="600"/>
    </w:pPr>
  </w:style>
  <w:style w:type="paragraph" w:styleId="TOC6">
    <w:name w:val="toc 6"/>
    <w:basedOn w:val="Normal"/>
    <w:next w:val="Normal"/>
    <w:qFormat/>
    <w:pPr>
      <w:ind w:left="2100" w:leftChars="1000"/>
    </w:p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TOC9">
    <w:name w:val="toc 9"/>
    <w:basedOn w:val="Normal"/>
    <w:next w:val="Normal"/>
    <w:qFormat/>
    <w:pPr>
      <w:ind w:left="3360" w:leftChars="1600"/>
    </w:p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</w:pPr>
    <w:rPr>
      <w:rFonts w:ascii="宋体" w:hAnsi="宋体" w:cs="宋体"/>
      <w:kern w:val="0"/>
    </w:rPr>
  </w:style>
  <w:style w:type="paragraph" w:styleId="Index1">
    <w:name w:val="index 1"/>
    <w:basedOn w:val="Normal"/>
    <w:next w:val="Normal"/>
    <w:semiHidden/>
    <w:qFormat/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qFormat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">
    <w:name w:val="标题 2 字符"/>
    <w:basedOn w:val="DefaultParagraphFont"/>
    <w:link w:val="Heading2"/>
    <w:qFormat/>
    <w:rPr>
      <w:rFonts w:ascii="Arial" w:eastAsia="宋体" w:hAnsi="Arial" w:cs="Times New Roman"/>
      <w:b/>
      <w:spacing w:val="30"/>
      <w:kern w:val="0"/>
      <w:sz w:val="24"/>
      <w:szCs w:val="20"/>
    </w:rPr>
  </w:style>
  <w:style w:type="character" w:customStyle="1" w:styleId="3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">
    <w:name w:val="正文缩进 字符"/>
    <w:basedOn w:val="DefaultParagraphFont"/>
    <w:link w:val="NormalIndent"/>
    <w:qFormat/>
  </w:style>
  <w:style w:type="character" w:customStyle="1" w:styleId="AAAChar">
    <w:name w:val="样式AAA Char"/>
    <w:basedOn w:val="DefaultParagraphFont"/>
    <w:link w:val="AAA"/>
    <w:qFormat/>
    <w:rPr>
      <w:rFonts w:ascii="宋体" w:eastAsia="仿宋_GB2312" w:hAnsi="宋体" w:cs="宋体"/>
      <w:sz w:val="24"/>
    </w:rPr>
  </w:style>
  <w:style w:type="paragraph" w:customStyle="1" w:styleId="AAA">
    <w:name w:val="样式AAA"/>
    <w:basedOn w:val="Normal"/>
    <w:link w:val="AAAChar"/>
    <w:qFormat/>
    <w:pPr>
      <w:spacing w:line="400" w:lineRule="exact"/>
      <w:ind w:firstLine="480" w:firstLineChars="200"/>
    </w:pPr>
    <w:rPr>
      <w:rFonts w:ascii="宋体" w:eastAsia="仿宋_GB2312" w:hAnsi="宋体" w:cs="宋体"/>
      <w:szCs w:val="22"/>
    </w:rPr>
  </w:style>
  <w:style w:type="character" w:customStyle="1" w:styleId="2Char">
    <w:name w:val="标题 2 Char"/>
    <w:basedOn w:val="DefaultParagraphFont"/>
    <w:qFormat/>
    <w:rPr>
      <w:rFonts w:ascii="宋体" w:eastAsia="宋体"/>
      <w:b/>
      <w:bCs/>
      <w:kern w:val="2"/>
      <w:sz w:val="32"/>
      <w:lang w:val="en-US" w:eastAsia="zh-CN" w:bidi="ar-SA"/>
    </w:rPr>
  </w:style>
  <w:style w:type="character" w:customStyle="1" w:styleId="a0">
    <w:name w:val="批注框文本 字符"/>
    <w:basedOn w:val="DefaultParagraphFont"/>
    <w:link w:val="BalloonText"/>
    <w:qFormat/>
    <w:rPr>
      <w:sz w:val="18"/>
      <w:szCs w:val="18"/>
    </w:rPr>
  </w:style>
  <w:style w:type="paragraph" w:customStyle="1" w:styleId="1AAA">
    <w:name w:val="样式1AAA"/>
    <w:basedOn w:val="Normal"/>
    <w:qFormat/>
    <w:pPr>
      <w:spacing w:line="400" w:lineRule="exact"/>
      <w:ind w:firstLine="200" w:firstLineChars="200"/>
    </w:pPr>
    <w:rPr>
      <w:rFonts w:ascii="仿宋_GB2312" w:eastAsia="仿宋_GB2312"/>
    </w:rPr>
  </w:style>
  <w:style w:type="paragraph" w:customStyle="1" w:styleId="10">
    <w:name w:val="称呼1"/>
    <w:basedOn w:val="Normal"/>
    <w:next w:val="Normal"/>
    <w:qFormat/>
    <w:rPr>
      <w:rFonts w:ascii="长城楷体" w:eastAsia="长城楷体"/>
      <w:sz w:val="28"/>
      <w:szCs w:val="20"/>
    </w:rPr>
  </w:style>
  <w:style w:type="paragraph" w:customStyle="1" w:styleId="11">
    <w:name w:val="正文文本缩进1"/>
    <w:basedOn w:val="Normal"/>
    <w:qFormat/>
    <w:pPr>
      <w:tabs>
        <w:tab w:val="center" w:pos="4153"/>
      </w:tabs>
      <w:ind w:firstLine="540" w:firstLineChars="257"/>
    </w:pPr>
    <w:rPr>
      <w:rFonts w:ascii="宋体" w:hAnsi="宋体"/>
      <w:szCs w:val="21"/>
    </w:rPr>
  </w:style>
  <w:style w:type="paragraph" w:customStyle="1" w:styleId="09922">
    <w:name w:val="样式 四号 首行缩进:  0.99 厘米 行距: 固定值 22 磅"/>
    <w:basedOn w:val="Normal"/>
    <w:qFormat/>
    <w:pPr>
      <w:spacing w:line="520" w:lineRule="exact"/>
      <w:ind w:firstLine="567"/>
      <w:jc w:val="both"/>
    </w:pPr>
    <w:rPr>
      <w:rFonts w:cs="宋体"/>
      <w:sz w:val="28"/>
      <w:szCs w:val="20"/>
    </w:rPr>
  </w:style>
  <w:style w:type="character" w:customStyle="1" w:styleId="a1">
    <w:name w:val="标题 字符"/>
    <w:basedOn w:val="DefaultParagraphFont"/>
    <w:link w:val="Title"/>
    <w:qFormat/>
    <w:rPr>
      <w:rFonts w:ascii="Arial" w:eastAsia="宋体" w:hAnsi="Arial" w:cs="Times New Roman"/>
      <w:b/>
      <w:sz w:val="32"/>
      <w:szCs w:val="24"/>
    </w:rPr>
  </w:style>
  <w:style w:type="character" w:customStyle="1" w:styleId="a2">
    <w:name w:val="正文文本缩进 字符"/>
    <w:basedOn w:val="DefaultParagraphFont"/>
    <w:link w:val="BodyTextIndent"/>
    <w:qFormat/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xl59">
    <w:name w:val="xl59"/>
    <w:basedOn w:val="Normal"/>
    <w:qFormat/>
    <w:pPr>
      <w:widowControl/>
      <w:spacing w:before="100" w:after="100"/>
      <w:jc w:val="center"/>
    </w:pPr>
    <w:rPr>
      <w:kern w:val="0"/>
    </w:rPr>
  </w:style>
  <w:style w:type="paragraph" w:customStyle="1" w:styleId="12">
    <w:name w:val="纯文本1"/>
    <w:basedOn w:val="Normal"/>
    <w:qFormat/>
    <w:rPr>
      <w:rFonts w:ascii="宋体" w:hAnsi="Courier New"/>
      <w:szCs w:val="20"/>
    </w:rPr>
  </w:style>
  <w:style w:type="paragraph" w:customStyle="1" w:styleId="TOC10">
    <w:name w:val="TOC 标题1"/>
    <w:basedOn w:val="Heading1"/>
    <w:next w:val="Normal"/>
    <w:uiPriority w:val="39"/>
    <w:qFormat/>
    <w:pPr>
      <w:widowControl/>
      <w:spacing w:before="480" w:line="276" w:lineRule="auto"/>
      <w:outlineLvl w:val="9"/>
    </w:pPr>
    <w:rPr>
      <w:rFonts w:ascii="Cambria" w:hAnsi="Cambria"/>
      <w:color w:val="365F91"/>
      <w:kern w:val="0"/>
      <w:szCs w:val="28"/>
    </w:rPr>
  </w:style>
  <w:style w:type="character" w:customStyle="1" w:styleId="20">
    <w:name w:val="正文文本缩进 2 字符"/>
    <w:basedOn w:val="DefaultParagraphFont"/>
    <w:link w:val="BodyTextIndent2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3315">
    <w:name w:val="样式 标题 3标题3 + 行距: 1.5 倍行距"/>
    <w:basedOn w:val="Heading3"/>
    <w:qFormat/>
    <w:pPr>
      <w:spacing w:before="160" w:after="160" w:line="240" w:lineRule="auto"/>
    </w:pPr>
    <w:rPr>
      <w:rFonts w:eastAsia="仿宋_GB2312" w:cs="宋体"/>
      <w:sz w:val="28"/>
      <w:szCs w:val="20"/>
    </w:rPr>
  </w:style>
  <w:style w:type="character" w:customStyle="1" w:styleId="a3">
    <w:name w:val="日期 字符"/>
    <w:basedOn w:val="DefaultParagraphFont"/>
    <w:link w:val="Date"/>
    <w:qFormat/>
    <w:rPr>
      <w:rFonts w:ascii="Times New Roman" w:eastAsia="仿宋_GB2312" w:hAnsi="Times New Roman" w:cs="Times New Roman"/>
      <w:b/>
      <w:sz w:val="28"/>
      <w:szCs w:val="20"/>
    </w:rPr>
  </w:style>
  <w:style w:type="paragraph" w:customStyle="1" w:styleId="13">
    <w:name w:val="正文1"/>
    <w:basedOn w:val="Normal"/>
    <w:qFormat/>
    <w:pPr>
      <w:widowControl/>
      <w:snapToGrid w:val="0"/>
      <w:spacing w:line="580" w:lineRule="exact"/>
      <w:ind w:firstLine="560" w:firstLineChars="200"/>
      <w:jc w:val="both"/>
      <w:textAlignment w:val="baseline"/>
    </w:pPr>
    <w:rPr>
      <w:rFonts w:ascii="宋体" w:hAnsi="宋体"/>
      <w:color w:val="000000"/>
      <w:kern w:val="0"/>
      <w:sz w:val="28"/>
      <w:szCs w:val="28"/>
      <w:u w:color="000000"/>
    </w:rPr>
  </w:style>
  <w:style w:type="paragraph" w:customStyle="1" w:styleId="14">
    <w:name w:val="样式 标题 1 + 四号 居中"/>
    <w:basedOn w:val="Heading1"/>
    <w:qFormat/>
    <w:pPr>
      <w:spacing w:after="330" w:line="578" w:lineRule="auto"/>
      <w:jc w:val="center"/>
    </w:pPr>
    <w:rPr>
      <w:rFonts w:cs="宋体"/>
      <w:szCs w:val="20"/>
    </w:rPr>
  </w:style>
  <w:style w:type="paragraph" w:customStyle="1" w:styleId="a4">
    <w:name w:val="列出段落"/>
    <w:basedOn w:val="Normal"/>
    <w:uiPriority w:val="34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15">
    <w:name w:val="日期1"/>
    <w:basedOn w:val="Normal"/>
    <w:next w:val="Normal"/>
    <w:qFormat/>
    <w:rPr>
      <w:rFonts w:ascii="宋体" w:hAnsi="Courier New"/>
      <w:szCs w:val="20"/>
    </w:rPr>
  </w:style>
  <w:style w:type="paragraph" w:customStyle="1" w:styleId="16">
    <w:name w:val="正文缩进1"/>
    <w:basedOn w:val="Normal"/>
    <w:qFormat/>
    <w:pPr>
      <w:ind w:firstLine="420" w:firstLineChars="200"/>
    </w:pPr>
  </w:style>
  <w:style w:type="character" w:customStyle="1" w:styleId="a5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纯文本 字符"/>
    <w:basedOn w:val="DefaultParagraphFont"/>
    <w:link w:val="PlainText"/>
    <w:qFormat/>
    <w:rPr>
      <w:rFonts w:ascii="宋体" w:eastAsia="宋体" w:hAnsi="Courier New" w:cs="Times New Roman"/>
      <w:sz w:val="24"/>
      <w:szCs w:val="20"/>
    </w:rPr>
  </w:style>
  <w:style w:type="paragraph" w:customStyle="1" w:styleId="150">
    <w:name w:val="样式 (西文) 宋体 小四 行距: 1.5 倍行距"/>
    <w:basedOn w:val="Normal"/>
    <w:qFormat/>
    <w:pPr>
      <w:snapToGrid w:val="0"/>
      <w:ind w:firstLine="200" w:firstLineChars="200"/>
    </w:pPr>
    <w:rPr>
      <w:rFonts w:ascii="宋体" w:hAnsi="宋体" w:cs="宋体"/>
      <w:color w:val="333399"/>
      <w:szCs w:val="20"/>
    </w:rPr>
  </w:style>
  <w:style w:type="paragraph" w:customStyle="1" w:styleId="4">
    <w:name w:val="表(小4)"/>
    <w:basedOn w:val="Normal"/>
    <w:qFormat/>
    <w:pPr>
      <w:spacing w:line="240" w:lineRule="auto"/>
      <w:jc w:val="center"/>
    </w:pPr>
    <w:rPr>
      <w:sz w:val="21"/>
      <w:szCs w:val="21"/>
    </w:rPr>
  </w:style>
  <w:style w:type="paragraph" w:customStyle="1" w:styleId="AAA0">
    <w:name w:val="标题AAA"/>
    <w:basedOn w:val="Normal"/>
    <w:qFormat/>
    <w:pPr>
      <w:tabs>
        <w:tab w:val="left" w:pos="630"/>
      </w:tabs>
      <w:spacing w:before="160" w:after="160"/>
      <w:outlineLvl w:val="2"/>
    </w:pPr>
    <w:rPr>
      <w:rFonts w:ascii="仿宋_GB2312" w:eastAsia="仿宋_GB2312" w:hAnsi="Arial" w:cs="宋体"/>
      <w:b/>
      <w:bCs/>
      <w:sz w:val="28"/>
      <w:szCs w:val="20"/>
    </w:rPr>
  </w:style>
  <w:style w:type="character" w:customStyle="1" w:styleId="17">
    <w:name w:val="批注框文本 字符1"/>
    <w:basedOn w:val="DefaultParagraphFont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标准"/>
    <w:basedOn w:val="Normal"/>
    <w:qFormat/>
    <w:pPr>
      <w:adjustRightInd w:val="0"/>
      <w:spacing w:line="312" w:lineRule="atLeast"/>
      <w:jc w:val="center"/>
      <w:textAlignment w:val="baseline"/>
    </w:pPr>
    <w:rPr>
      <w:kern w:val="24"/>
      <w:szCs w:val="20"/>
    </w:rPr>
  </w:style>
  <w:style w:type="character" w:customStyle="1" w:styleId="a8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8">
    <w:name w:val="页脚 字符1"/>
    <w:basedOn w:val="DefaultParagraphFont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30">
    <w:name w:val="样式3"/>
    <w:basedOn w:val="Normal"/>
    <w:link w:val="3Char"/>
    <w:pPr>
      <w:jc w:val="both"/>
    </w:pPr>
  </w:style>
  <w:style w:type="character" w:customStyle="1" w:styleId="3Char">
    <w:name w:val="样式3 Char"/>
    <w:basedOn w:val="DefaultParagraphFont"/>
    <w:link w:val="30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header" Target="header47.xml" /><Relationship Id="rId101" Type="http://schemas.openxmlformats.org/officeDocument/2006/relationships/footer" Target="footer46.xml" /><Relationship Id="rId102" Type="http://schemas.openxmlformats.org/officeDocument/2006/relationships/footer" Target="footer47.xml" /><Relationship Id="rId103" Type="http://schemas.openxmlformats.org/officeDocument/2006/relationships/header" Target="header48.xml" /><Relationship Id="rId104" Type="http://schemas.openxmlformats.org/officeDocument/2006/relationships/footer" Target="footer48.xml" /><Relationship Id="rId105" Type="http://schemas.openxmlformats.org/officeDocument/2006/relationships/header" Target="header49.xml" /><Relationship Id="rId106" Type="http://schemas.openxmlformats.org/officeDocument/2006/relationships/header" Target="header50.xml" /><Relationship Id="rId107" Type="http://schemas.openxmlformats.org/officeDocument/2006/relationships/footer" Target="footer49.xml" /><Relationship Id="rId108" Type="http://schemas.openxmlformats.org/officeDocument/2006/relationships/footer" Target="footer50.xml" /><Relationship Id="rId109" Type="http://schemas.openxmlformats.org/officeDocument/2006/relationships/header" Target="header51.xml" /><Relationship Id="rId11" Type="http://schemas.openxmlformats.org/officeDocument/2006/relationships/header" Target="header3.xml" /><Relationship Id="rId110" Type="http://schemas.openxmlformats.org/officeDocument/2006/relationships/footer" Target="footer51.xml" /><Relationship Id="rId111" Type="http://schemas.openxmlformats.org/officeDocument/2006/relationships/header" Target="header52.xml" /><Relationship Id="rId112" Type="http://schemas.openxmlformats.org/officeDocument/2006/relationships/header" Target="header53.xml" /><Relationship Id="rId113" Type="http://schemas.openxmlformats.org/officeDocument/2006/relationships/footer" Target="footer52.xml" /><Relationship Id="rId114" Type="http://schemas.openxmlformats.org/officeDocument/2006/relationships/footer" Target="footer53.xml" /><Relationship Id="rId115" Type="http://schemas.openxmlformats.org/officeDocument/2006/relationships/header" Target="header54.xml" /><Relationship Id="rId116" Type="http://schemas.openxmlformats.org/officeDocument/2006/relationships/footer" Target="footer54.xml" /><Relationship Id="rId117" Type="http://schemas.openxmlformats.org/officeDocument/2006/relationships/header" Target="header55.xml" /><Relationship Id="rId118" Type="http://schemas.openxmlformats.org/officeDocument/2006/relationships/header" Target="header56.xml" /><Relationship Id="rId119" Type="http://schemas.openxmlformats.org/officeDocument/2006/relationships/footer" Target="footer55.xml" /><Relationship Id="rId12" Type="http://schemas.openxmlformats.org/officeDocument/2006/relationships/footer" Target="footer3.xml" /><Relationship Id="rId120" Type="http://schemas.openxmlformats.org/officeDocument/2006/relationships/footer" Target="footer56.xml" /><Relationship Id="rId121" Type="http://schemas.openxmlformats.org/officeDocument/2006/relationships/header" Target="header57.xml" /><Relationship Id="rId122" Type="http://schemas.openxmlformats.org/officeDocument/2006/relationships/footer" Target="footer57.xml" /><Relationship Id="rId123" Type="http://schemas.openxmlformats.org/officeDocument/2006/relationships/header" Target="header58.xml" /><Relationship Id="rId124" Type="http://schemas.openxmlformats.org/officeDocument/2006/relationships/header" Target="header59.xml" /><Relationship Id="rId125" Type="http://schemas.openxmlformats.org/officeDocument/2006/relationships/footer" Target="footer58.xml" /><Relationship Id="rId126" Type="http://schemas.openxmlformats.org/officeDocument/2006/relationships/footer" Target="footer59.xml" /><Relationship Id="rId127" Type="http://schemas.openxmlformats.org/officeDocument/2006/relationships/header" Target="header60.xml" /><Relationship Id="rId128" Type="http://schemas.openxmlformats.org/officeDocument/2006/relationships/footer" Target="footer60.xml" /><Relationship Id="rId129" Type="http://schemas.openxmlformats.org/officeDocument/2006/relationships/hyperlink" Target="https://d.book118.com/188112024036006033" TargetMode="External" /><Relationship Id="rId13" Type="http://schemas.openxmlformats.org/officeDocument/2006/relationships/header" Target="header4.xml" /><Relationship Id="rId130" Type="http://schemas.openxmlformats.org/officeDocument/2006/relationships/header" Target="header61.xml" /><Relationship Id="rId131" Type="http://schemas.openxmlformats.org/officeDocument/2006/relationships/header" Target="header62.xml" /><Relationship Id="rId132" Type="http://schemas.openxmlformats.org/officeDocument/2006/relationships/footer" Target="footer61.xml" /><Relationship Id="rId133" Type="http://schemas.openxmlformats.org/officeDocument/2006/relationships/footer" Target="footer62.xml" /><Relationship Id="rId134" Type="http://schemas.openxmlformats.org/officeDocument/2006/relationships/header" Target="header63.xml" /><Relationship Id="rId135" Type="http://schemas.openxmlformats.org/officeDocument/2006/relationships/footer" Target="footer63.xml" /><Relationship Id="rId136" Type="http://schemas.openxmlformats.org/officeDocument/2006/relationships/theme" Target="theme/theme1.xml" /><Relationship Id="rId137" Type="http://schemas.openxmlformats.org/officeDocument/2006/relationships/styles" Target="styles.xml" /><Relationship Id="rId14" Type="http://schemas.openxmlformats.org/officeDocument/2006/relationships/header" Target="header5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10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header" Target="header14.xml" /><Relationship Id="rId33" Type="http://schemas.openxmlformats.org/officeDocument/2006/relationships/footer" Target="footer13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image" Target="media/image4.png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customXml" Target="../customXml/item2.xml" /><Relationship Id="rId50" Type="http://schemas.openxmlformats.org/officeDocument/2006/relationships/image" Target="media/image5.png" /><Relationship Id="rId51" Type="http://schemas.openxmlformats.org/officeDocument/2006/relationships/header" Target="header22.xml" /><Relationship Id="rId52" Type="http://schemas.openxmlformats.org/officeDocument/2006/relationships/header" Target="header23.xml" /><Relationship Id="rId53" Type="http://schemas.openxmlformats.org/officeDocument/2006/relationships/footer" Target="footer22.xml" /><Relationship Id="rId54" Type="http://schemas.openxmlformats.org/officeDocument/2006/relationships/footer" Target="footer23.xml" /><Relationship Id="rId55" Type="http://schemas.openxmlformats.org/officeDocument/2006/relationships/header" Target="header24.xml" /><Relationship Id="rId56" Type="http://schemas.openxmlformats.org/officeDocument/2006/relationships/footer" Target="footer24.xml" /><Relationship Id="rId57" Type="http://schemas.openxmlformats.org/officeDocument/2006/relationships/header" Target="header25.xml" /><Relationship Id="rId58" Type="http://schemas.openxmlformats.org/officeDocument/2006/relationships/header" Target="header26.xml" /><Relationship Id="rId59" Type="http://schemas.openxmlformats.org/officeDocument/2006/relationships/footer" Target="footer25.xml" /><Relationship Id="rId6" Type="http://schemas.openxmlformats.org/officeDocument/2006/relationships/image" Target="media/image1.png" /><Relationship Id="rId60" Type="http://schemas.openxmlformats.org/officeDocument/2006/relationships/footer" Target="footer26.xml" /><Relationship Id="rId61" Type="http://schemas.openxmlformats.org/officeDocument/2006/relationships/header" Target="header27.xml" /><Relationship Id="rId62" Type="http://schemas.openxmlformats.org/officeDocument/2006/relationships/footer" Target="footer27.xml" /><Relationship Id="rId63" Type="http://schemas.openxmlformats.org/officeDocument/2006/relationships/header" Target="header28.xml" /><Relationship Id="rId64" Type="http://schemas.openxmlformats.org/officeDocument/2006/relationships/header" Target="header29.xml" /><Relationship Id="rId65" Type="http://schemas.openxmlformats.org/officeDocument/2006/relationships/footer" Target="footer28.xml" /><Relationship Id="rId66" Type="http://schemas.openxmlformats.org/officeDocument/2006/relationships/footer" Target="footer29.xml" /><Relationship Id="rId67" Type="http://schemas.openxmlformats.org/officeDocument/2006/relationships/header" Target="header30.xml" /><Relationship Id="rId68" Type="http://schemas.openxmlformats.org/officeDocument/2006/relationships/footer" Target="footer30.xml" /><Relationship Id="rId69" Type="http://schemas.openxmlformats.org/officeDocument/2006/relationships/header" Target="header31.xml" /><Relationship Id="rId7" Type="http://schemas.openxmlformats.org/officeDocument/2006/relationships/header" Target="header1.xml" /><Relationship Id="rId70" Type="http://schemas.openxmlformats.org/officeDocument/2006/relationships/header" Target="header32.xml" /><Relationship Id="rId71" Type="http://schemas.openxmlformats.org/officeDocument/2006/relationships/footer" Target="footer31.xml" /><Relationship Id="rId72" Type="http://schemas.openxmlformats.org/officeDocument/2006/relationships/footer" Target="footer32.xml" /><Relationship Id="rId73" Type="http://schemas.openxmlformats.org/officeDocument/2006/relationships/header" Target="header33.xml" /><Relationship Id="rId74" Type="http://schemas.openxmlformats.org/officeDocument/2006/relationships/footer" Target="footer33.xml" /><Relationship Id="rId75" Type="http://schemas.openxmlformats.org/officeDocument/2006/relationships/header" Target="header34.xml" /><Relationship Id="rId76" Type="http://schemas.openxmlformats.org/officeDocument/2006/relationships/header" Target="header35.xml" /><Relationship Id="rId77" Type="http://schemas.openxmlformats.org/officeDocument/2006/relationships/footer" Target="footer34.xml" /><Relationship Id="rId78" Type="http://schemas.openxmlformats.org/officeDocument/2006/relationships/footer" Target="footer35.xml" /><Relationship Id="rId79" Type="http://schemas.openxmlformats.org/officeDocument/2006/relationships/header" Target="header36.xml" /><Relationship Id="rId8" Type="http://schemas.openxmlformats.org/officeDocument/2006/relationships/header" Target="header2.xml" /><Relationship Id="rId80" Type="http://schemas.openxmlformats.org/officeDocument/2006/relationships/footer" Target="footer36.xml" /><Relationship Id="rId81" Type="http://schemas.openxmlformats.org/officeDocument/2006/relationships/header" Target="header37.xml" /><Relationship Id="rId82" Type="http://schemas.openxmlformats.org/officeDocument/2006/relationships/header" Target="header38.xml" /><Relationship Id="rId83" Type="http://schemas.openxmlformats.org/officeDocument/2006/relationships/footer" Target="footer37.xml" /><Relationship Id="rId84" Type="http://schemas.openxmlformats.org/officeDocument/2006/relationships/footer" Target="footer38.xml" /><Relationship Id="rId85" Type="http://schemas.openxmlformats.org/officeDocument/2006/relationships/header" Target="header39.xml" /><Relationship Id="rId86" Type="http://schemas.openxmlformats.org/officeDocument/2006/relationships/footer" Target="footer39.xml" /><Relationship Id="rId87" Type="http://schemas.openxmlformats.org/officeDocument/2006/relationships/header" Target="header40.xml" /><Relationship Id="rId88" Type="http://schemas.openxmlformats.org/officeDocument/2006/relationships/header" Target="header41.xml" /><Relationship Id="rId89" Type="http://schemas.openxmlformats.org/officeDocument/2006/relationships/footer" Target="footer40.xml" /><Relationship Id="rId9" Type="http://schemas.openxmlformats.org/officeDocument/2006/relationships/footer" Target="footer1.xml" /><Relationship Id="rId90" Type="http://schemas.openxmlformats.org/officeDocument/2006/relationships/footer" Target="footer41.xml" /><Relationship Id="rId91" Type="http://schemas.openxmlformats.org/officeDocument/2006/relationships/header" Target="header42.xml" /><Relationship Id="rId92" Type="http://schemas.openxmlformats.org/officeDocument/2006/relationships/footer" Target="footer42.xml" /><Relationship Id="rId93" Type="http://schemas.openxmlformats.org/officeDocument/2006/relationships/header" Target="header43.xml" /><Relationship Id="rId94" Type="http://schemas.openxmlformats.org/officeDocument/2006/relationships/header" Target="header44.xml" /><Relationship Id="rId95" Type="http://schemas.openxmlformats.org/officeDocument/2006/relationships/footer" Target="footer43.xml" /><Relationship Id="rId96" Type="http://schemas.openxmlformats.org/officeDocument/2006/relationships/footer" Target="footer44.xml" /><Relationship Id="rId97" Type="http://schemas.openxmlformats.org/officeDocument/2006/relationships/header" Target="header45.xml" /><Relationship Id="rId98" Type="http://schemas.openxmlformats.org/officeDocument/2006/relationships/footer" Target="footer45.xml" /><Relationship Id="rId99" Type="http://schemas.openxmlformats.org/officeDocument/2006/relationships/header" Target="header46.xm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4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4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4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6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86CBAF-782F-4455-90B4-99E3A773FA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23</Pages>
  <Words>24026</Words>
  <Characters>25432</Characters>
  <Application>Microsoft Office Word</Application>
  <DocSecurity>0</DocSecurity>
  <Lines>207</Lines>
  <Paragraphs>58</Paragraphs>
  <ScaleCrop>false</ScaleCrop>
  <Company/>
  <LinksUpToDate>false</LinksUpToDate>
  <CharactersWithSpaces>25854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yong</dc:creator>
  <cp:lastModifiedBy>谷文</cp:lastModifiedBy>
  <cp:revision>28</cp:revision>
  <dcterms:created xsi:type="dcterms:W3CDTF">2022-09-15T01:28:00Z</dcterms:created>
  <dcterms:modified xsi:type="dcterms:W3CDTF">2023-03-18T09:05:43Z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77DFF10DA4B543C587A047486C950E01</vt:lpwstr>
  </property>
  <property fmtid="{D5CDD505-2E9C-101B-9397-08002B2CF9AE}" pid="3" name="KSOProductBuildVer">
    <vt:lpwstr>2052-11.1.0.13703</vt:lpwstr>
  </property>
</Properties>
</file>