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  <w:jc w:val="center"/>
        <w:rPr>
          <w:rFonts w:hint="eastAsia"/>
          <w:spacing w:val="20"/>
          <w:sz w:val="36"/>
          <w:lang w:val="en-US" w:eastAsia="zh-CN"/>
        </w:rPr>
      </w:pPr>
      <w:bookmarkStart w:id="0" w:name="_Toc4379"/>
      <w:bookmarkStart w:id="1" w:name="_Toc24511"/>
      <w:bookmarkStart w:id="2" w:name="_Toc18749"/>
      <w:bookmarkStart w:id="3" w:name="_Toc4444"/>
      <w:bookmarkStart w:id="4" w:name="_Toc822"/>
      <w:bookmarkStart w:id="5" w:name="_Toc12988"/>
      <w:r>
        <w:rPr>
          <w:rFonts w:hint="eastAsia"/>
          <w:b/>
          <w:bCs/>
          <w:spacing w:val="20"/>
          <w:sz w:val="36"/>
          <w:lang w:val="en-US" w:eastAsia="zh-CN"/>
        </w:rPr>
        <w:t>施工组织设计</w:t>
      </w:r>
    </w:p>
    <w:p>
      <w:pPr>
        <w:pStyle w:val="Heading2"/>
        <w:rPr>
          <w:rFonts w:hint="eastAsia"/>
        </w:rPr>
      </w:pPr>
      <w:r>
        <w:rPr>
          <w:rFonts w:ascii="宋体" w:eastAsia="宋体" w:hAnsi="宋体" w:cs="宋体" w:hint="eastAsia"/>
          <w:color w:val="000000"/>
          <w:sz w:val="26"/>
          <w:lang w:val="en-US" w:eastAsia="zh-CN"/>
        </w:rPr>
        <w:t>1</w:t>
      </w:r>
      <w:r>
        <w:rPr>
          <w:rFonts w:ascii="宋体" w:eastAsia="宋体" w:hAnsi="宋体" w:cs="宋体" w:hint="eastAsia"/>
          <w:color w:val="000000"/>
          <w:sz w:val="26"/>
        </w:rPr>
        <w:t>、</w:t>
      </w:r>
      <w:r>
        <w:rPr>
          <w:rFonts w:ascii="宋体" w:eastAsia="宋体" w:hAnsi="宋体" w:cs="宋体" w:hint="eastAsia"/>
          <w:color w:val="000000"/>
          <w:sz w:val="26"/>
          <w:lang w:eastAsia="zh-CN"/>
        </w:rPr>
        <w:t>工程概况与编制依据</w:t>
      </w:r>
      <w:bookmarkEnd w:id="0"/>
      <w:bookmarkEnd w:id="1"/>
      <w:bookmarkEnd w:id="2"/>
      <w:bookmarkEnd w:id="3"/>
      <w:bookmarkEnd w:id="4"/>
      <w:bookmarkEnd w:id="5"/>
      <w:r>
        <w:rPr>
          <w:rFonts w:ascii="宋体" w:eastAsia="宋体" w:hAnsi="宋体" w:cs="宋体" w:hint="eastAsia"/>
          <w:color w:val="000000"/>
          <w:sz w:val="26"/>
        </w:rPr>
        <w:t xml:space="preserve"> </w:t>
      </w:r>
      <w:bookmarkStart w:id="6" w:name="_Toc501809799"/>
      <w:bookmarkStart w:id="7" w:name="_Toc501823326"/>
    </w:p>
    <w:p>
      <w:pPr>
        <w:pStyle w:val="Heading3"/>
        <w:rPr>
          <w:rFonts w:hint="eastAsia"/>
          <w:lang w:val="en-US" w:eastAsia="zh-CN"/>
        </w:rPr>
      </w:pPr>
      <w:bookmarkStart w:id="8" w:name="_Toc5246"/>
      <w:bookmarkStart w:id="9" w:name="_Toc17934"/>
      <w:bookmarkStart w:id="10" w:name="_Toc10233"/>
      <w:bookmarkStart w:id="11" w:name="_Toc6361"/>
      <w:bookmarkStart w:id="12" w:name="_Toc28884"/>
      <w:bookmarkStart w:id="13" w:name="_Toc20653"/>
      <w:r>
        <w:rPr>
          <w:rFonts w:ascii="宋体" w:eastAsia="宋体" w:hAnsi="宋体" w:cs="宋体" w:hint="eastAsia"/>
          <w:color w:val="000000"/>
          <w:sz w:val="26"/>
          <w:lang w:val="en-US" w:eastAsia="zh-CN"/>
        </w:rPr>
        <w:t>1.1工程</w:t>
      </w:r>
      <w:bookmarkEnd w:id="6"/>
      <w:bookmarkEnd w:id="7"/>
      <w:bookmarkEnd w:id="8"/>
      <w:bookmarkEnd w:id="9"/>
      <w:bookmarkEnd w:id="10"/>
      <w:r>
        <w:rPr>
          <w:rFonts w:ascii="宋体" w:eastAsia="宋体" w:hAnsi="宋体" w:cs="宋体" w:hint="eastAsia"/>
          <w:color w:val="000000"/>
          <w:sz w:val="26"/>
          <w:lang w:val="en-US" w:eastAsia="zh-CN"/>
        </w:rPr>
        <w:t>概况</w:t>
      </w:r>
      <w:bookmarkEnd w:id="11"/>
      <w:bookmarkEnd w:id="12"/>
      <w:bookmarkEnd w:id="13"/>
      <w:bookmarkStart w:id="14" w:name="_GoBack"/>
      <w:bookmarkEnd w:id="14"/>
    </w:p>
    <w:p>
      <w:pPr>
        <w:numPr>
          <w:ilvl w:val="0"/>
          <w:numId w:val="1"/>
        </w:numPr>
        <w:snapToGrid w:val="0"/>
        <w:spacing w:line="480" w:lineRule="exact"/>
        <w:ind w:left="2707" w:hanging="2160"/>
        <w:rPr>
          <w:rFonts w:ascii="宋体" w:hAnsi="宋体" w:hint="eastAsia"/>
          <w:bCs/>
          <w:kern w:val="0"/>
        </w:rPr>
      </w:pPr>
      <w:bookmarkStart w:id="15" w:name="_Toc292549318"/>
      <w:bookmarkStart w:id="16" w:name="_Toc367636522"/>
      <w:bookmarkStart w:id="17" w:name="_Toc409426097"/>
      <w:r>
        <w:rPr>
          <w:rFonts w:ascii="宋体" w:eastAsia="宋体" w:hAnsi="宋体" w:cs="宋体" w:hint="eastAsia"/>
          <w:bCs/>
          <w:color w:val="000000"/>
          <w:kern w:val="0"/>
          <w:sz w:val="26"/>
          <w:szCs w:val="24"/>
        </w:rPr>
        <w:t>工程名称：</w:t>
      </w:r>
      <w:r>
        <w:rPr>
          <w:rFonts w:ascii="宋体" w:eastAsia="宋体" w:hAnsi="宋体" w:cs="宋体" w:hint="eastAsia"/>
          <w:bCs/>
          <w:color w:val="000000"/>
          <w:kern w:val="0"/>
          <w:sz w:val="26"/>
          <w:szCs w:val="21"/>
        </w:rPr>
        <w:t>学校运动场塑胶面层</w:t>
      </w:r>
      <w:r>
        <w:rPr>
          <w:rFonts w:ascii="宋体" w:eastAsia="宋体" w:hAnsi="宋体" w:cs="宋体" w:hint="eastAsia"/>
          <w:bCs/>
          <w:color w:val="000000"/>
          <w:kern w:val="0"/>
          <w:sz w:val="26"/>
          <w:szCs w:val="21"/>
        </w:rPr>
        <w:t>选购</w:t>
        <w:tab/>
      </w:r>
      <w:r>
        <w:rPr>
          <w:rFonts w:ascii="宋体" w:eastAsia="宋体" w:hAnsi="宋体" w:cs="宋体" w:hint="eastAsia"/>
          <w:bCs/>
          <w:color w:val="000000"/>
          <w:kern w:val="0"/>
          <w:sz w:val="26"/>
          <w:szCs w:val="21"/>
        </w:rPr>
        <w:t>与铺设工程</w:t>
      </w:r>
    </w:p>
    <w:p>
      <w:pPr>
        <w:numPr>
          <w:ilvl w:val="0"/>
          <w:numId w:val="1"/>
        </w:numPr>
        <w:snapToGrid w:val="0"/>
        <w:spacing w:line="480" w:lineRule="exact"/>
        <w:ind w:left="2707" w:hanging="2160"/>
        <w:rPr>
          <w:rFonts w:asciiTheme="minorEastAsia" w:hAnsiTheme="minorEastAsia" w:cs="宋体"/>
          <w:kern w:val="0"/>
          <w:szCs w:val="24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26"/>
          <w:szCs w:val="24"/>
        </w:rPr>
        <w:t>建设地点：</w:t>
      </w:r>
      <w:r>
        <w:rPr>
          <w:rFonts w:ascii="宋体" w:eastAsia="宋体" w:hAnsi="宋体" w:cs="宋体" w:hint="eastAsia"/>
          <w:bCs/>
          <w:color w:val="000000"/>
          <w:kern w:val="0"/>
          <w:sz w:val="26"/>
          <w:szCs w:val="21"/>
          <w:lang w:eastAsia="zh-CN"/>
        </w:rPr>
        <w:t>绵竹市</w:t>
      </w:r>
    </w:p>
    <w:p>
      <w:pPr>
        <w:numPr>
          <w:ilvl w:val="0"/>
          <w:numId w:val="1"/>
        </w:numPr>
        <w:spacing w:line="360" w:lineRule="auto"/>
        <w:ind w:left="2707" w:hanging="2160"/>
        <w:rPr>
          <w:rFonts w:asciiTheme="minorEastAsia" w:hAnsiTheme="minorEastAsia" w:hint="eastAsia"/>
          <w:bCs/>
          <w:szCs w:val="24"/>
        </w:rPr>
      </w:pPr>
      <w:r>
        <w:rPr>
          <w:rFonts w:ascii="宋体" w:eastAsia="宋体" w:hAnsi="宋体" w:cs="宋体" w:hint="eastAsia"/>
          <w:bCs/>
          <w:color w:val="000000"/>
          <w:sz w:val="26"/>
          <w:szCs w:val="24"/>
        </w:rPr>
        <w:t>建设规模：</w:t>
      </w:r>
    </w:p>
    <w:p>
      <w:pPr>
        <w:spacing w:line="480" w:lineRule="exact"/>
        <w:ind w:left="1" w:firstLine="70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bCs/>
          <w:color w:val="000000"/>
          <w:kern w:val="44"/>
          <w:sz w:val="26"/>
        </w:rPr>
        <w:t>1</w:t>
      </w:r>
      <w:r>
        <w:rPr>
          <w:rFonts w:ascii="宋体" w:eastAsia="宋体" w:hAnsi="宋体" w:cs="宋体" w:hint="eastAsia"/>
          <w:bCs/>
          <w:color w:val="000000"/>
          <w:kern w:val="44"/>
          <w:sz w:val="26"/>
          <w:lang w:val="en-US" w:eastAsia="zh-CN"/>
        </w:rPr>
        <w:t>)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....中学：原运动场塑胶面层拆除清理....㎡（其中塑胶跑道...00㎡，篮球场2....㎡），拆除物由中标单位外运并按环保要求自行处理。新铺设运动场塑胶面层9750㎡（其中塑胶跑道...0㎡，篮球场硅PU面层...50㎡），场地划线。</w:t>
      </w:r>
    </w:p>
    <w:p>
      <w:pPr>
        <w:spacing w:line="480" w:lineRule="exact"/>
        <w:ind w:left="1" w:firstLine="70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2)....小学：原运动场塑胶面层拆除清理..10㎡（其中塑胶跑道1...0㎡，足球场人造草坪2700㎡），拆除物由中标单位外运并按环保要求自行处理。新铺设运动场塑胶面层4210㎡（其中塑胶跑道...0㎡，足球场人造草坪...0㎡），场地划线。</w:t>
      </w:r>
    </w:p>
    <w:p>
      <w:pPr>
        <w:spacing w:line="480" w:lineRule="exact"/>
        <w:ind w:left="1" w:firstLine="70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3)....小学：原运动场塑胶面层拆除清理...0㎡（其中塑胶运动场和跑道...0㎡），拆除物由中标单位外运并按环保要求自行处理。新铺设运动场塑胶面层...㎡（其中塑胶跑道...5㎡），场地划线。</w:t>
      </w:r>
    </w:p>
    <w:p>
      <w:pPr>
        <w:spacing w:line="480" w:lineRule="exact"/>
        <w:ind w:left="1" w:firstLine="700"/>
        <w:rPr>
          <w:rFonts w:asciiTheme="minorEastAsia" w:hAnsiTheme="minorEastAsia" w:cs="宋体"/>
          <w:kern w:val="0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4)绵竹中学初中部：塑胶跑道翻新...㎡（翻新部分与原跑道视觉效果保持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一样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），拆除物由中标单位外运并按环保要求自行处理。冲洗现有塑胶跑道......0㎡，现有塑胶跑道重新划线（400m跑道）。</w:t>
      </w:r>
    </w:p>
    <w:p>
      <w:pPr>
        <w:widowControl/>
        <w:adjustRightInd w:val="0"/>
        <w:snapToGrid w:val="0"/>
        <w:spacing w:line="480" w:lineRule="exact"/>
        <w:ind w:firstLine="480"/>
        <w:jc w:val="left"/>
        <w:rPr>
          <w:rFonts w:asciiTheme="minorEastAsia" w:hAnsiTheme="minorEastAsia"/>
          <w:szCs w:val="24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26"/>
          <w:szCs w:val="24"/>
          <w:lang w:val="en-US" w:eastAsia="zh-CN"/>
        </w:rPr>
        <w:t>(4)</w:t>
      </w:r>
      <w:r>
        <w:rPr>
          <w:rFonts w:ascii="宋体" w:eastAsia="宋体" w:hAnsi="宋体" w:cs="宋体" w:hint="eastAsia"/>
          <w:bCs/>
          <w:color w:val="000000"/>
          <w:kern w:val="0"/>
          <w:sz w:val="26"/>
          <w:szCs w:val="24"/>
        </w:rPr>
        <w:t xml:space="preserve"> 工期：</w:t>
      </w:r>
      <w:r>
        <w:rPr>
          <w:rFonts w:ascii="宋体" w:eastAsia="宋体" w:hAnsi="宋体" w:cs="宋体" w:hint="eastAsia"/>
          <w:bCs/>
          <w:color w:val="000000"/>
          <w:kern w:val="0"/>
          <w:sz w:val="26"/>
          <w:szCs w:val="24"/>
          <w:lang w:val="en-US" w:eastAsia="zh-CN"/>
        </w:rPr>
        <w:t>2018年0月0日之前完成</w:t>
      </w:r>
    </w:p>
    <w:p>
      <w:pPr>
        <w:widowControl/>
        <w:adjustRightInd w:val="0"/>
        <w:snapToGrid w:val="0"/>
        <w:spacing w:line="480" w:lineRule="exact"/>
        <w:ind w:firstLine="480"/>
        <w:jc w:val="left"/>
        <w:rPr>
          <w:rFonts w:asciiTheme="minorEastAsia" w:hAnsiTheme="minorEastAsia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6"/>
          <w:szCs w:val="24"/>
          <w:lang w:val="en-US" w:eastAsia="zh-CN"/>
        </w:rPr>
        <w:t>(5)</w:t>
      </w:r>
      <w:r>
        <w:rPr>
          <w:rFonts w:ascii="宋体" w:eastAsia="宋体" w:hAnsi="宋体" w:cs="宋体" w:hint="eastAsia"/>
          <w:color w:val="000000"/>
          <w:kern w:val="0"/>
          <w:sz w:val="26"/>
          <w:szCs w:val="24"/>
        </w:rPr>
        <w:t xml:space="preserve"> 招标范围</w:t>
      </w:r>
      <w:r>
        <w:rPr>
          <w:rFonts w:ascii="宋体" w:eastAsia="宋体" w:hAnsi="宋体" w:cs="宋体" w:hint="eastAsia"/>
          <w:bCs/>
          <w:color w:val="000000"/>
          <w:kern w:val="0"/>
          <w:sz w:val="26"/>
          <w:szCs w:val="24"/>
        </w:rPr>
        <w:t>：工程量清单范围内的全部工作内容</w:t>
      </w:r>
    </w:p>
    <w:p>
      <w:pPr>
        <w:adjustRightInd w:val="0"/>
        <w:snapToGrid w:val="0"/>
        <w:spacing w:line="480" w:lineRule="exact"/>
        <w:rPr>
          <w:rFonts w:asciiTheme="minorEastAsia" w:hAnsiTheme="minorEastAsia" w:cs="宋体"/>
          <w:kern w:val="0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</w:rPr>
        <w:t xml:space="preserve">  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 xml:space="preserve">  </w:t>
      </w:r>
      <w:r>
        <w:rPr>
          <w:rFonts w:ascii="宋体" w:eastAsia="宋体" w:hAnsi="宋体" w:cs="宋体" w:hint="eastAsia"/>
          <w:color w:val="000000"/>
          <w:kern w:val="0"/>
          <w:sz w:val="26"/>
          <w:szCs w:val="24"/>
          <w:lang w:val="en-US" w:eastAsia="zh-CN"/>
        </w:rPr>
        <w:t>(6)</w:t>
      </w:r>
      <w:r>
        <w:rPr>
          <w:rFonts w:ascii="宋体" w:eastAsia="宋体" w:hAnsi="宋体" w:cs="宋体" w:hint="eastAsia"/>
          <w:color w:val="000000"/>
          <w:kern w:val="0"/>
          <w:sz w:val="26"/>
          <w:szCs w:val="24"/>
        </w:rPr>
        <w:t xml:space="preserve"> 质量标准：</w:t>
      </w:r>
      <w:r>
        <w:rPr>
          <w:rFonts w:ascii="宋体" w:eastAsia="宋体" w:hAnsi="宋体" w:cs="宋体" w:hint="eastAsia"/>
          <w:bCs/>
          <w:color w:val="000000"/>
          <w:kern w:val="0"/>
          <w:sz w:val="26"/>
          <w:szCs w:val="24"/>
        </w:rPr>
        <w:t xml:space="preserve">合格 </w:t>
      </w:r>
    </w:p>
    <w:p>
      <w:pPr>
        <w:widowControl/>
        <w:adjustRightInd w:val="0"/>
        <w:snapToGrid w:val="0"/>
        <w:spacing w:line="480" w:lineRule="exact"/>
        <w:ind w:firstLine="480"/>
        <w:jc w:val="left"/>
        <w:rPr>
          <w:rFonts w:asciiTheme="minorEastAsia" w:hAnsiTheme="minorEastAsia" w:cs="宋体" w:hint="eastAsia"/>
          <w:bCs/>
          <w:kern w:val="0"/>
          <w:szCs w:val="24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26"/>
          <w:szCs w:val="24"/>
          <w:lang w:val="en-US" w:eastAsia="zh-CN"/>
        </w:rPr>
        <w:t xml:space="preserve">(7) </w:t>
      </w:r>
      <w:r>
        <w:rPr>
          <w:rFonts w:ascii="宋体" w:eastAsia="宋体" w:hAnsi="宋体" w:cs="宋体" w:hint="eastAsia"/>
          <w:bCs/>
          <w:color w:val="000000"/>
          <w:kern w:val="0"/>
          <w:sz w:val="26"/>
          <w:szCs w:val="24"/>
        </w:rPr>
        <w:t>承包方式：施工总承包</w:t>
      </w:r>
    </w:p>
    <w:p>
      <w:pPr>
        <w:pStyle w:val="Heading3"/>
        <w:rPr>
          <w:rFonts w:hint="eastAsia"/>
          <w:lang w:val="en-US" w:eastAsia="zh-CN"/>
        </w:rPr>
      </w:pPr>
      <w:bookmarkEnd w:id="15"/>
      <w:bookmarkEnd w:id="16"/>
      <w:bookmarkEnd w:id="17"/>
      <w:bookmarkStart w:id="18" w:name="_Toc7428"/>
      <w:bookmarkStart w:id="19" w:name="_Toc8907"/>
      <w:bookmarkStart w:id="20" w:name="_Toc19369"/>
      <w:bookmarkStart w:id="21" w:name="_Toc24898"/>
      <w:bookmarkStart w:id="22" w:name="_Toc24438"/>
      <w:bookmarkStart w:id="23" w:name="_Toc1536"/>
      <w:r>
        <w:rPr>
          <w:rFonts w:ascii="宋体" w:eastAsia="宋体" w:hAnsi="宋体" w:cs="宋体" w:hint="eastAsia"/>
          <w:color w:val="000000"/>
          <w:sz w:val="26"/>
          <w:lang w:val="en-US" w:eastAsia="zh-CN"/>
        </w:rPr>
        <w:t>1.2场地</w:t>
      </w:r>
      <w:r>
        <w:rPr>
          <w:rFonts w:ascii="宋体" w:eastAsia="宋体" w:hAnsi="宋体" w:cs="宋体" w:hint="eastAsia"/>
          <w:color w:val="000000"/>
          <w:sz w:val="26"/>
          <w:lang w:val="en-US" w:eastAsia="zh-CN"/>
        </w:rPr>
        <w:t>状况</w:t>
      </w:r>
      <w:r>
        <w:rPr>
          <w:rFonts w:ascii="宋体" w:eastAsia="宋体" w:hAnsi="宋体" w:cs="宋体" w:hint="eastAsia"/>
          <w:color w:val="000000"/>
          <w:sz w:val="26"/>
          <w:lang w:val="en-US" w:eastAsia="zh-CN"/>
        </w:rPr>
        <w:t>与编制依据</w:t>
      </w:r>
      <w:bookmarkEnd w:id="18"/>
      <w:bookmarkEnd w:id="19"/>
      <w:bookmarkEnd w:id="20"/>
      <w:bookmarkEnd w:id="21"/>
      <w:bookmarkEnd w:id="22"/>
      <w:bookmarkEnd w:id="23"/>
    </w:p>
    <w:p>
      <w:pPr>
        <w:pStyle w:val="Heading4"/>
        <w:rPr>
          <w:rFonts w:hint="eastAsia"/>
          <w:lang w:val="en-US" w:eastAsia="zh-CN"/>
        </w:rPr>
      </w:pPr>
      <w:r>
        <w:rPr>
          <w:rFonts w:ascii="宋体" w:eastAsia="宋体" w:hAnsi="宋体" w:cs="宋体" w:hint="eastAsia"/>
          <w:color w:val="000000"/>
          <w:sz w:val="26"/>
          <w:lang w:val="en-US" w:eastAsia="zh-CN"/>
        </w:rPr>
        <w:t>1.2.1场地</w:t>
      </w:r>
      <w:r>
        <w:rPr>
          <w:rFonts w:ascii="宋体" w:eastAsia="宋体" w:hAnsi="宋体" w:cs="宋体" w:hint="eastAsia"/>
          <w:color w:val="000000"/>
          <w:sz w:val="26"/>
          <w:lang w:val="en-US" w:eastAsia="zh-CN"/>
        </w:rPr>
        <w:t>状况</w:t>
      </w:r>
    </w:p>
    <w:p>
      <w:pPr>
        <w:numPr>
          <w:ilvl w:val="0"/>
          <w:numId w:val="0"/>
        </w:numPr>
        <w:tabs>
          <w:tab w:val="left" w:pos="720"/>
        </w:tabs>
        <w:spacing w:line="480" w:lineRule="exact"/>
        <w:ind w:right="-94"/>
        <w:jc w:val="left"/>
        <w:rPr>
          <w:rFonts w:asciiTheme="minorEastAsia" w:hAnsiTheme="minorEastAsia"/>
          <w:szCs w:val="24"/>
        </w:rPr>
        <w:sectPr>
          <w:pgSz w:w="11907" w:h="16839"/>
          <w:pgMar w:top="1134" w:right="1157" w:bottom="1134" w:left="1418" w:header="851" w:footer="771" w:gutter="0"/>
          <w:pgNumType w:fmt="decimalFullWidth" w:start="1"/>
          <w:cols w:num="1" w:space="720"/>
          <w:titlePg w:val="0"/>
          <w:docGrid w:type="lines" w:linePitch="286" w:charSpace="0"/>
        </w:sect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(1)</w:t>
      </w:r>
      <w:r>
        <w:rPr>
          <w:rFonts w:ascii="宋体" w:eastAsia="宋体" w:hAnsi="宋体" w:cs="宋体" w:hint="eastAsia"/>
          <w:color w:val="000000"/>
          <w:sz w:val="26"/>
          <w:szCs w:val="24"/>
        </w:rPr>
        <w:t>施工现场</w:t>
      </w:r>
      <w:r>
        <w:rPr>
          <w:rFonts w:ascii="宋体" w:eastAsia="宋体" w:hAnsi="宋体" w:cs="宋体" w:hint="eastAsia"/>
          <w:color w:val="000000"/>
          <w:sz w:val="26"/>
          <w:szCs w:val="24"/>
          <w:lang w:eastAsia="zh-CN"/>
        </w:rPr>
        <w:t>实现“三通一平”，</w:t>
      </w:r>
      <w:r>
        <w:rPr>
          <w:rFonts w:ascii="宋体" w:eastAsia="宋体" w:hAnsi="宋体" w:cs="宋体" w:hint="eastAsia"/>
          <w:color w:val="000000"/>
          <w:sz w:val="26"/>
          <w:szCs w:val="24"/>
        </w:rPr>
        <w:t>具体</w:t>
      </w:r>
      <w:r>
        <w:rPr>
          <w:rFonts w:ascii="宋体" w:eastAsia="宋体" w:hAnsi="宋体" w:cs="宋体" w:hint="eastAsia"/>
          <w:color w:val="000000"/>
          <w:sz w:val="26"/>
          <w:szCs w:val="24"/>
        </w:rPr>
        <w:t>平面位置与可交付施工单位的用地范围见总平面图；</w:t>
      </w:r>
    </w:p>
    <w:p>
      <w:pPr>
        <w:numPr>
          <w:ilvl w:val="0"/>
          <w:numId w:val="0"/>
        </w:numPr>
        <w:tabs>
          <w:tab w:val="left" w:pos="720"/>
        </w:tabs>
        <w:spacing w:line="480" w:lineRule="exact"/>
        <w:ind w:right="-94"/>
        <w:jc w:val="left"/>
        <w:rPr>
          <w:rFonts w:asciiTheme="minorEastAsia" w:hAnsiTheme="minor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(2)</w:t>
      </w:r>
      <w:r>
        <w:rPr>
          <w:rFonts w:ascii="宋体" w:eastAsia="宋体" w:hAnsi="宋体" w:cs="宋体" w:hint="eastAsia"/>
          <w:color w:val="000000"/>
          <w:sz w:val="26"/>
          <w:szCs w:val="24"/>
        </w:rPr>
        <w:t>建筑红线与施工</w:t>
      </w:r>
      <w:r>
        <w:rPr>
          <w:rFonts w:ascii="宋体" w:eastAsia="宋体" w:hAnsi="宋体" w:cs="宋体" w:hint="eastAsia"/>
          <w:color w:val="000000"/>
          <w:sz w:val="26"/>
          <w:szCs w:val="24"/>
        </w:rPr>
        <w:t>限制</w:t>
      </w:r>
      <w:r>
        <w:rPr>
          <w:rFonts w:ascii="宋体" w:eastAsia="宋体" w:hAnsi="宋体" w:cs="宋体" w:hint="eastAsia"/>
          <w:color w:val="000000"/>
          <w:sz w:val="26"/>
          <w:szCs w:val="24"/>
        </w:rPr>
        <w:t>基准点由业主</w:t>
      </w:r>
      <w:r>
        <w:rPr>
          <w:rFonts w:ascii="宋体" w:eastAsia="宋体" w:hAnsi="宋体" w:cs="宋体" w:hint="eastAsia"/>
          <w:color w:val="000000"/>
          <w:sz w:val="26"/>
          <w:szCs w:val="24"/>
        </w:rPr>
        <w:t>供应</w:t>
      </w:r>
      <w:r>
        <w:rPr>
          <w:rFonts w:ascii="宋体" w:eastAsia="宋体" w:hAnsi="宋体" w:cs="宋体" w:hint="eastAsia"/>
          <w:color w:val="000000"/>
          <w:sz w:val="26"/>
          <w:szCs w:val="24"/>
        </w:rPr>
        <w:t>；</w:t>
      </w:r>
    </w:p>
    <w:p>
      <w:pPr>
        <w:numPr>
          <w:ilvl w:val="0"/>
          <w:numId w:val="0"/>
        </w:numPr>
        <w:tabs>
          <w:tab w:val="left" w:pos="720"/>
        </w:tabs>
        <w:spacing w:line="480" w:lineRule="exact"/>
        <w:ind w:right="-94"/>
        <w:jc w:val="left"/>
        <w:rPr>
          <w:rFonts w:asciiTheme="minorEastAsia" w:hAnsiTheme="minor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(3)</w:t>
      </w:r>
      <w:r>
        <w:rPr>
          <w:rFonts w:ascii="宋体" w:eastAsia="宋体" w:hAnsi="宋体" w:cs="宋体" w:hint="eastAsia"/>
          <w:color w:val="000000"/>
          <w:sz w:val="26"/>
          <w:szCs w:val="24"/>
        </w:rPr>
        <w:t>由业主</w:t>
      </w:r>
      <w:r>
        <w:rPr>
          <w:rFonts w:ascii="宋体" w:eastAsia="宋体" w:hAnsi="宋体" w:cs="宋体" w:hint="eastAsia"/>
          <w:color w:val="000000"/>
          <w:sz w:val="26"/>
          <w:szCs w:val="24"/>
        </w:rPr>
        <w:t>供应</w:t>
      </w:r>
      <w:r>
        <w:rPr>
          <w:rFonts w:ascii="宋体" w:eastAsia="宋体" w:hAnsi="宋体" w:cs="宋体" w:hint="eastAsia"/>
          <w:color w:val="000000"/>
          <w:sz w:val="26"/>
          <w:szCs w:val="24"/>
        </w:rPr>
        <w:t>施工用电、用水接口，施工场地范围内水电管线由</w:t>
      </w:r>
      <w:r>
        <w:rPr>
          <w:rFonts w:ascii="宋体" w:eastAsia="宋体" w:hAnsi="宋体" w:cs="宋体" w:hint="eastAsia"/>
          <w:color w:val="000000"/>
          <w:sz w:val="26"/>
          <w:szCs w:val="24"/>
          <w:lang w:eastAsia="zh-CN"/>
        </w:rPr>
        <w:t>我</w:t>
      </w:r>
      <w:r>
        <w:rPr>
          <w:rFonts w:ascii="宋体" w:eastAsia="宋体" w:hAnsi="宋体" w:cs="宋体" w:hint="eastAsia"/>
          <w:color w:val="000000"/>
          <w:sz w:val="26"/>
          <w:szCs w:val="24"/>
        </w:rPr>
        <w:t>单位</w:t>
      </w:r>
      <w:r>
        <w:rPr>
          <w:rFonts w:ascii="宋体" w:eastAsia="宋体" w:hAnsi="宋体" w:cs="宋体" w:hint="eastAsia"/>
          <w:color w:val="000000"/>
          <w:sz w:val="26"/>
          <w:szCs w:val="24"/>
        </w:rPr>
        <w:t>依据</w:t>
      </w:r>
      <w:r>
        <w:rPr>
          <w:rFonts w:ascii="宋体" w:eastAsia="宋体" w:hAnsi="宋体" w:cs="宋体" w:hint="eastAsia"/>
          <w:color w:val="000000"/>
          <w:sz w:val="26"/>
          <w:szCs w:val="24"/>
        </w:rPr>
        <w:t>施工</w:t>
      </w:r>
      <w:r>
        <w:rPr>
          <w:rFonts w:ascii="宋体" w:eastAsia="宋体" w:hAnsi="宋体" w:cs="宋体" w:hint="eastAsia"/>
          <w:color w:val="000000"/>
          <w:sz w:val="26"/>
          <w:szCs w:val="24"/>
        </w:rPr>
        <w:t>须要</w:t>
      </w:r>
      <w:r>
        <w:rPr>
          <w:rFonts w:ascii="宋体" w:eastAsia="宋体" w:hAnsi="宋体" w:cs="宋体" w:hint="eastAsia"/>
          <w:color w:val="000000"/>
          <w:sz w:val="26"/>
          <w:szCs w:val="24"/>
        </w:rPr>
        <w:t>自行解决。</w:t>
      </w:r>
    </w:p>
    <w:p>
      <w:pPr>
        <w:pStyle w:val="Heading4"/>
        <w:rPr>
          <w:rFonts w:hint="eastAsia"/>
          <w:lang w:val="en-US" w:eastAsia="zh-CN"/>
        </w:rPr>
      </w:pPr>
      <w:r>
        <w:rPr>
          <w:rFonts w:ascii="宋体" w:eastAsia="宋体" w:hAnsi="宋体" w:cs="宋体" w:hint="eastAsia"/>
          <w:color w:val="000000"/>
          <w:sz w:val="26"/>
          <w:lang w:val="en-US" w:eastAsia="zh-CN"/>
        </w:rPr>
        <w:t>1.2.2编制依据</w:t>
      </w:r>
    </w:p>
    <w:p>
      <w:pPr>
        <w:numPr>
          <w:ilvl w:val="0"/>
          <w:numId w:val="2"/>
        </w:numPr>
        <w:snapToGrid w:val="0"/>
        <w:spacing w:line="480" w:lineRule="exact"/>
        <w:ind w:left="425" w:hanging="425"/>
        <w:jc w:val="left"/>
        <w:rPr>
          <w:rFonts w:asciiTheme="minorEastAsia" w:hAnsiTheme="minorEastAsia" w:cs="宋体" w:hint="eastAsia"/>
          <w:bCs/>
          <w:kern w:val="0"/>
          <w:szCs w:val="24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26"/>
          <w:szCs w:val="24"/>
          <w:lang w:val="en-US" w:eastAsia="zh-CN"/>
        </w:rPr>
        <w:t xml:space="preserve"> 招标公司组织的会议、</w:t>
      </w:r>
      <w:r>
        <w:rPr>
          <w:rFonts w:ascii="宋体" w:eastAsia="宋体" w:hAnsi="宋体" w:cs="宋体" w:hint="eastAsia"/>
          <w:bCs/>
          <w:color w:val="000000"/>
          <w:kern w:val="0"/>
          <w:sz w:val="26"/>
          <w:szCs w:val="24"/>
          <w:lang w:val="en-US" w:eastAsia="zh-CN"/>
        </w:rPr>
        <w:t>询问</w:t>
      </w:r>
      <w:r>
        <w:rPr>
          <w:rFonts w:ascii="宋体" w:eastAsia="宋体" w:hAnsi="宋体" w:cs="宋体" w:hint="eastAsia"/>
          <w:bCs/>
          <w:color w:val="000000"/>
          <w:kern w:val="0"/>
          <w:sz w:val="26"/>
          <w:szCs w:val="24"/>
          <w:lang w:val="en-US" w:eastAsia="zh-CN"/>
        </w:rPr>
        <w:t>信息记录；</w:t>
      </w:r>
    </w:p>
    <w:p>
      <w:pPr>
        <w:numPr>
          <w:ilvl w:val="0"/>
          <w:numId w:val="2"/>
        </w:numPr>
        <w:snapToGrid w:val="0"/>
        <w:spacing w:line="480" w:lineRule="exact"/>
        <w:ind w:left="425" w:hanging="425"/>
        <w:jc w:val="left"/>
        <w:rPr>
          <w:rFonts w:asciiTheme="minorEastAsia" w:hAnsiTheme="minorEastAsia" w:cs="宋体" w:hint="eastAsia"/>
          <w:bCs/>
          <w:kern w:val="0"/>
          <w:szCs w:val="24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26"/>
          <w:szCs w:val="24"/>
          <w:lang w:val="en-US" w:eastAsia="zh-CN"/>
        </w:rPr>
        <w:t xml:space="preserve"> 招标文件与工程施工设计图纸与相关资料；</w:t>
      </w:r>
    </w:p>
    <w:p>
      <w:pPr>
        <w:numPr>
          <w:ilvl w:val="0"/>
          <w:numId w:val="2"/>
        </w:numPr>
        <w:snapToGrid w:val="0"/>
        <w:spacing w:line="480" w:lineRule="exact"/>
        <w:ind w:left="425" w:hanging="425"/>
        <w:jc w:val="left"/>
        <w:rPr>
          <w:rFonts w:asciiTheme="minorEastAsia" w:hAnsiTheme="minorEastAsia" w:cs="宋体" w:hint="eastAsia"/>
          <w:bCs/>
          <w:kern w:val="0"/>
          <w:szCs w:val="24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26"/>
          <w:szCs w:val="24"/>
          <w:lang w:val="en-US" w:eastAsia="zh-CN"/>
        </w:rPr>
        <w:t>《建设工程工程量清单计价规范》（GB50500-2013）；</w:t>
      </w:r>
    </w:p>
    <w:p>
      <w:pPr>
        <w:numPr>
          <w:ilvl w:val="0"/>
          <w:numId w:val="2"/>
        </w:numPr>
        <w:snapToGrid w:val="0"/>
        <w:spacing w:line="480" w:lineRule="exact"/>
        <w:ind w:left="425" w:hanging="425"/>
        <w:jc w:val="left"/>
        <w:rPr>
          <w:rFonts w:asciiTheme="minorEastAsia" w:hAnsiTheme="minorEastAsia" w:cs="宋体" w:hint="eastAsia"/>
          <w:bCs/>
          <w:kern w:val="0"/>
          <w:szCs w:val="24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26"/>
          <w:szCs w:val="24"/>
          <w:lang w:val="en-US" w:eastAsia="zh-CN"/>
        </w:rPr>
        <w:t>《市政工程工程量计算规范》（GB 50857-2013）；</w:t>
      </w:r>
    </w:p>
    <w:p>
      <w:pPr>
        <w:numPr>
          <w:ilvl w:val="0"/>
          <w:numId w:val="2"/>
        </w:numPr>
        <w:snapToGrid w:val="0"/>
        <w:spacing w:line="480" w:lineRule="exact"/>
        <w:ind w:left="425" w:hanging="425"/>
        <w:jc w:val="left"/>
        <w:rPr>
          <w:rFonts w:asciiTheme="minorEastAsia" w:hAnsiTheme="minorEastAsia" w:cs="宋体" w:hint="eastAsia"/>
          <w:bCs/>
          <w:kern w:val="0"/>
          <w:szCs w:val="24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26"/>
          <w:szCs w:val="24"/>
          <w:lang w:val="en-US" w:eastAsia="zh-CN"/>
        </w:rPr>
        <w:t>《四川省建设工程工程量清单计价规则》（2011）；</w:t>
      </w:r>
    </w:p>
    <w:p>
      <w:pPr>
        <w:numPr>
          <w:ilvl w:val="0"/>
          <w:numId w:val="2"/>
        </w:numPr>
        <w:snapToGrid w:val="0"/>
        <w:spacing w:line="480" w:lineRule="exact"/>
        <w:ind w:left="425" w:hanging="425"/>
        <w:jc w:val="left"/>
        <w:rPr>
          <w:rFonts w:asciiTheme="minorEastAsia" w:hAnsiTheme="minorEastAsia" w:cs="宋体" w:hint="eastAsia"/>
          <w:bCs/>
          <w:kern w:val="0"/>
          <w:szCs w:val="24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26"/>
          <w:szCs w:val="24"/>
          <w:lang w:val="en-US" w:eastAsia="zh-CN"/>
        </w:rPr>
        <w:t xml:space="preserve"> 执行2002年《四川省市政工程消耗量定额》、《四川省市政工程价目表》（16年）、《四川省建筑工程消耗量定额》、《四川省建筑工程价目表》（16年）与其相应的计算规则、规范、技术资料；</w:t>
      </w:r>
    </w:p>
    <w:p>
      <w:pPr>
        <w:numPr>
          <w:ilvl w:val="0"/>
          <w:numId w:val="2"/>
        </w:numPr>
        <w:snapToGrid w:val="0"/>
        <w:spacing w:line="480" w:lineRule="exact"/>
        <w:ind w:left="425" w:hanging="425"/>
        <w:jc w:val="left"/>
        <w:rPr>
          <w:rFonts w:asciiTheme="minorEastAsia" w:hAnsiTheme="minorEastAsia" w:cs="宋体" w:hint="eastAsia"/>
          <w:bCs/>
          <w:kern w:val="0"/>
          <w:szCs w:val="24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26"/>
          <w:szCs w:val="24"/>
          <w:lang w:val="en-US" w:eastAsia="zh-CN"/>
        </w:rPr>
        <w:t xml:space="preserve"> 建设项目相关的标准、规范、技术资料；</w:t>
      </w:r>
    </w:p>
    <w:p>
      <w:pPr>
        <w:numPr>
          <w:ilvl w:val="0"/>
          <w:numId w:val="2"/>
        </w:numPr>
        <w:snapToGrid w:val="0"/>
        <w:spacing w:line="480" w:lineRule="exact"/>
        <w:ind w:left="425" w:hanging="425"/>
        <w:jc w:val="left"/>
        <w:rPr>
          <w:rFonts w:asciiTheme="minorEastAsia" w:hAnsiTheme="minorEastAsia" w:cs="宋体" w:hint="eastAsia"/>
          <w:bCs/>
          <w:kern w:val="0"/>
          <w:szCs w:val="24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26"/>
          <w:szCs w:val="24"/>
          <w:lang w:val="en-US" w:eastAsia="zh-CN"/>
        </w:rPr>
        <w:t xml:space="preserve"> 现行技术规范、图集、建筑法规文件；</w:t>
      </w:r>
    </w:p>
    <w:p>
      <w:pPr>
        <w:numPr>
          <w:ilvl w:val="0"/>
          <w:numId w:val="2"/>
        </w:numPr>
        <w:snapToGrid w:val="0"/>
        <w:spacing w:line="480" w:lineRule="exact"/>
        <w:ind w:left="425" w:hanging="425"/>
        <w:jc w:val="left"/>
        <w:rPr>
          <w:rFonts w:asciiTheme="minorEastAsia" w:hAnsiTheme="minorEastAsia" w:cs="宋体" w:hint="eastAsia"/>
          <w:bCs/>
          <w:kern w:val="0"/>
          <w:szCs w:val="24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26"/>
          <w:szCs w:val="24"/>
          <w:lang w:val="en-US" w:eastAsia="zh-CN"/>
        </w:rPr>
        <w:t>道路、管线、绿化、塑胶跑道等工程施工规范、规程与标准；</w:t>
      </w:r>
    </w:p>
    <w:p>
      <w:pPr>
        <w:numPr>
          <w:ilvl w:val="0"/>
          <w:numId w:val="2"/>
        </w:numPr>
        <w:snapToGrid w:val="0"/>
        <w:spacing w:line="480" w:lineRule="exact"/>
        <w:ind w:left="425" w:hanging="425"/>
        <w:jc w:val="left"/>
        <w:rPr>
          <w:rFonts w:asciiTheme="minorEastAsia" w:hAnsiTheme="minorEastAsia" w:cs="宋体" w:hint="eastAsia"/>
          <w:bCs/>
          <w:kern w:val="0"/>
          <w:szCs w:val="24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26"/>
          <w:szCs w:val="24"/>
          <w:lang w:val="en-US" w:eastAsia="zh-CN"/>
        </w:rPr>
        <w:t>《工程测量规范》  （GB50026-93）；</w:t>
      </w:r>
    </w:p>
    <w:p>
      <w:pPr>
        <w:numPr>
          <w:ilvl w:val="0"/>
          <w:numId w:val="2"/>
        </w:numPr>
        <w:snapToGrid w:val="0"/>
        <w:spacing w:line="480" w:lineRule="exact"/>
        <w:ind w:left="425" w:hanging="425"/>
        <w:jc w:val="left"/>
        <w:rPr>
          <w:rFonts w:asciiTheme="minorEastAsia" w:hAnsiTheme="minorEastAsia" w:cs="宋体" w:hint="eastAsia"/>
          <w:bCs/>
          <w:kern w:val="0"/>
          <w:szCs w:val="24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26"/>
          <w:szCs w:val="24"/>
          <w:lang w:val="en-US" w:eastAsia="zh-CN"/>
        </w:rPr>
        <w:t>《砌体工程施工与验收规范》  （GB50203-98）；</w:t>
      </w:r>
    </w:p>
    <w:p>
      <w:pPr>
        <w:numPr>
          <w:ilvl w:val="0"/>
          <w:numId w:val="2"/>
        </w:numPr>
        <w:snapToGrid w:val="0"/>
        <w:spacing w:line="480" w:lineRule="exact"/>
        <w:ind w:left="425" w:hanging="425"/>
        <w:jc w:val="left"/>
        <w:rPr>
          <w:rFonts w:asciiTheme="minorEastAsia" w:hAnsiTheme="minorEastAsia" w:cs="宋体" w:hint="eastAsia"/>
          <w:bCs/>
          <w:kern w:val="0"/>
          <w:szCs w:val="24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26"/>
          <w:szCs w:val="24"/>
          <w:lang w:val="en-US" w:eastAsia="zh-CN"/>
        </w:rPr>
        <w:t xml:space="preserve"> 有关建筑法规文件</w:t>
      </w:r>
    </w:p>
    <w:p>
      <w:pPr>
        <w:pStyle w:val="Heading2"/>
        <w:rPr>
          <w:rFonts w:hint="eastAsia"/>
        </w:rPr>
      </w:pPr>
      <w:bookmarkStart w:id="24" w:name="_Toc32576"/>
      <w:bookmarkStart w:id="25" w:name="_Toc28302"/>
      <w:bookmarkStart w:id="26" w:name="_Toc31908"/>
      <w:r>
        <w:rPr>
          <w:rFonts w:ascii="宋体" w:eastAsia="宋体" w:hAnsi="宋体" w:cs="宋体" w:hint="eastAsia"/>
          <w:color w:val="000000"/>
          <w:sz w:val="26"/>
          <w:lang w:val="en-US" w:eastAsia="zh-CN"/>
        </w:rPr>
        <w:t>2、</w:t>
      </w:r>
      <w:r>
        <w:rPr>
          <w:rFonts w:ascii="宋体" w:eastAsia="宋体" w:hAnsi="宋体" w:cs="宋体" w:hint="eastAsia"/>
          <w:color w:val="000000"/>
          <w:sz w:val="26"/>
        </w:rPr>
        <w:t>施工</w:t>
      </w:r>
      <w:r>
        <w:rPr>
          <w:rFonts w:ascii="宋体" w:eastAsia="宋体" w:hAnsi="宋体" w:cs="宋体" w:hint="eastAsia"/>
          <w:color w:val="000000"/>
          <w:sz w:val="26"/>
        </w:rPr>
        <w:t>打算</w:t>
      </w:r>
      <w:r>
        <w:rPr>
          <w:rFonts w:ascii="宋体" w:eastAsia="宋体" w:hAnsi="宋体" w:cs="宋体" w:hint="eastAsia"/>
          <w:color w:val="000000"/>
          <w:sz w:val="26"/>
        </w:rPr>
        <w:t>与施工部署</w:t>
      </w:r>
      <w:bookmarkEnd w:id="24"/>
      <w:bookmarkEnd w:id="25"/>
      <w:bookmarkEnd w:id="26"/>
    </w:p>
    <w:p>
      <w:pPr>
        <w:pStyle w:val="Heading3"/>
        <w:rPr>
          <w:rFonts w:hint="eastAsia"/>
        </w:rPr>
      </w:pPr>
      <w:bookmarkStart w:id="27" w:name="_Toc2942"/>
      <w:bookmarkStart w:id="28" w:name="_Toc10432"/>
      <w:bookmarkStart w:id="29" w:name="_Toc17314"/>
      <w:r>
        <w:rPr>
          <w:rFonts w:ascii="宋体" w:eastAsia="宋体" w:hAnsi="宋体" w:cs="宋体" w:hint="eastAsia"/>
          <w:color w:val="000000"/>
          <w:sz w:val="26"/>
          <w:lang w:val="en-US" w:eastAsia="zh-CN"/>
        </w:rPr>
        <w:t>2.1</w:t>
      </w:r>
      <w:r>
        <w:rPr>
          <w:rFonts w:ascii="宋体" w:eastAsia="宋体" w:hAnsi="宋体" w:cs="宋体" w:hint="eastAsia"/>
          <w:color w:val="000000"/>
          <w:sz w:val="26"/>
        </w:rPr>
        <w:t>技术</w:t>
      </w:r>
      <w:r>
        <w:rPr>
          <w:rFonts w:ascii="宋体" w:eastAsia="宋体" w:hAnsi="宋体" w:cs="宋体" w:hint="eastAsia"/>
          <w:color w:val="000000"/>
          <w:sz w:val="26"/>
        </w:rPr>
        <w:t>打算</w:t>
      </w:r>
      <w:r>
        <w:rPr>
          <w:rFonts w:ascii="宋体" w:eastAsia="宋体" w:hAnsi="宋体" w:cs="宋体" w:hint="eastAsia"/>
          <w:color w:val="000000"/>
          <w:sz w:val="26"/>
        </w:rPr>
        <w:t>工作</w:t>
      </w:r>
      <w:bookmarkEnd w:id="27"/>
      <w:bookmarkEnd w:id="28"/>
      <w:bookmarkEnd w:id="29"/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 xml:space="preserve"> 1）公司项目经理部组织图纸会审，与时解决图纸中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全部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存在的各种技术问题。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 xml:space="preserve"> 2）有公司项目部牵头，工程部，质安部、合同预算部组织项目部有关人员进行技术、经济、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平安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交底。重点项目、关键部位编制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特地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的单向施工方案。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3）做好顶点位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限制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，绘出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限制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网，以便施工放样时用。并按设计单位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供应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的永久水准点，沿线自引临时水准点，施工中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常常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进行校核。临时水准点、导线桩应按要求埋没。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4）绘制临时工程与施工非标准设备工具图纸，对管线埋深、挡墙进行校核放样。</w:t>
      </w:r>
    </w:p>
    <w:p>
      <w:pPr>
        <w:spacing w:line="480" w:lineRule="exact"/>
        <w:ind w:left="1" w:firstLine="460"/>
        <w:rPr>
          <w:rFonts w:ascii="黑体" w:eastAsia="黑体" w:hint="eastAsia"/>
          <w:sz w:val="32"/>
          <w:szCs w:val="32"/>
        </w:rPr>
        <w:sectPr>
          <w:type w:val="nextPage"/>
          <w:pgSz w:w="11907" w:h="16839"/>
          <w:pgMar w:top="1134" w:right="1157" w:bottom="1134" w:left="1418" w:header="851" w:footer="771" w:gutter="0"/>
          <w:pgNumType w:fmt="decimalFullWidth" w:start="2"/>
          <w:cols w:num="1" w:space="720"/>
          <w:titlePg w:val="0"/>
          <w:docGrid w:type="lines" w:linePitch="286" w:charSpace="0"/>
        </w:sect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5）对全范围内的河道水位和架空线进行实地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具体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调查，如对施工有影响，</w:t>
      </w:r>
    </w:p>
    <w:p>
      <w:pPr>
        <w:spacing w:line="480" w:lineRule="exact"/>
        <w:ind w:left="1" w:firstLine="460"/>
        <w:rPr>
          <w:rFonts w:ascii="黑体" w:eastAsia="黑体" w:hint="eastAsia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马上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打算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必要的应对措施。</w:t>
      </w:r>
    </w:p>
    <w:p>
      <w:pPr>
        <w:pStyle w:val="Heading3"/>
        <w:rPr>
          <w:rFonts w:hint="eastAsia"/>
          <w:lang w:val="en-US" w:eastAsia="zh-CN"/>
        </w:rPr>
      </w:pPr>
      <w:bookmarkStart w:id="30" w:name="_Toc1138"/>
      <w:bookmarkStart w:id="31" w:name="_Toc32346"/>
      <w:bookmarkStart w:id="32" w:name="_Toc2500"/>
      <w:r>
        <w:rPr>
          <w:rFonts w:ascii="宋体" w:eastAsia="宋体" w:hAnsi="宋体" w:cs="宋体" w:hint="eastAsia"/>
          <w:color w:val="000000"/>
          <w:sz w:val="26"/>
          <w:lang w:val="en-US" w:eastAsia="zh-CN"/>
        </w:rPr>
        <w:t>2.2机械与材料进场</w:t>
      </w:r>
      <w:r>
        <w:rPr>
          <w:rFonts w:ascii="宋体" w:eastAsia="宋体" w:hAnsi="宋体" w:cs="宋体" w:hint="eastAsia"/>
          <w:color w:val="000000"/>
          <w:sz w:val="26"/>
          <w:lang w:val="en-US" w:eastAsia="zh-CN"/>
        </w:rPr>
        <w:t>打算</w:t>
      </w:r>
      <w:bookmarkEnd w:id="30"/>
      <w:bookmarkEnd w:id="31"/>
      <w:bookmarkEnd w:id="32"/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1）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依据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机械设备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运用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支配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，对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全部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机械与设备进行检修与调试，并定时保养，使其保持良好的待用状态。对工程中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全部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的各种计量设备送有关部门进行标定并取得合格证书。</w:t>
      </w:r>
    </w:p>
    <w:p>
      <w:pPr>
        <w:spacing w:line="480" w:lineRule="exact"/>
        <w:ind w:left="1" w:firstLine="460"/>
        <w:rPr>
          <w:rFonts w:ascii="黑体" w:eastAsia="黑体" w:hint="eastAsia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2）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依据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材料与机械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支配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编制分批进场，组织施工机械进场，并合理调配资金，分期分批组织材料进场。</w:t>
      </w:r>
    </w:p>
    <w:p>
      <w:pPr>
        <w:pStyle w:val="Heading3"/>
        <w:rPr>
          <w:rFonts w:hint="eastAsia"/>
          <w:lang w:val="en-US" w:eastAsia="zh-CN"/>
        </w:rPr>
      </w:pPr>
      <w:bookmarkStart w:id="33" w:name="_Toc18716"/>
      <w:bookmarkStart w:id="34" w:name="_Toc11718"/>
      <w:bookmarkStart w:id="35" w:name="_Toc24310"/>
      <w:r>
        <w:rPr>
          <w:rFonts w:ascii="宋体" w:eastAsia="宋体" w:hAnsi="宋体" w:cs="宋体" w:hint="eastAsia"/>
          <w:color w:val="000000"/>
          <w:sz w:val="26"/>
          <w:lang w:val="en-US" w:eastAsia="zh-CN"/>
        </w:rPr>
        <w:t>2.3生产</w:t>
      </w:r>
      <w:r>
        <w:rPr>
          <w:rFonts w:ascii="宋体" w:eastAsia="宋体" w:hAnsi="宋体" w:cs="宋体" w:hint="eastAsia"/>
          <w:color w:val="000000"/>
          <w:sz w:val="26"/>
          <w:lang w:val="en-US" w:eastAsia="zh-CN"/>
        </w:rPr>
        <w:t>打算</w:t>
      </w:r>
      <w:r>
        <w:rPr>
          <w:rFonts w:ascii="宋体" w:eastAsia="宋体" w:hAnsi="宋体" w:cs="宋体" w:hint="eastAsia"/>
          <w:color w:val="000000"/>
          <w:sz w:val="26"/>
          <w:lang w:val="en-US" w:eastAsia="zh-CN"/>
        </w:rPr>
        <w:t>工作</w:t>
      </w:r>
      <w:bookmarkEnd w:id="33"/>
      <w:bookmarkEnd w:id="34"/>
      <w:bookmarkEnd w:id="35"/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1）要取得建设单位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协作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，与时办理施工许可证与制作施工标牌，施工现场设六牌一图。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2）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依据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业主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供应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的工程定位桩进行接测。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3）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依据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经审核批准的临电、临水布置图，建立临时供电、供水系统，系统敷设完毕后就依手续办理验收与备案待查。</w:t>
      </w:r>
    </w:p>
    <w:p>
      <w:pPr>
        <w:spacing w:line="480" w:lineRule="exact"/>
        <w:ind w:left="1" w:firstLine="460"/>
        <w:rPr>
          <w:rFonts w:ascii="黑体" w:eastAsia="黑体" w:hint="eastAsia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4）按施工组织设计确定所需的机械设备进行检查、保养，作进场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打算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。</w:t>
      </w:r>
    </w:p>
    <w:p>
      <w:pPr>
        <w:pStyle w:val="Heading3"/>
        <w:rPr>
          <w:rFonts w:hint="eastAsia"/>
        </w:rPr>
      </w:pPr>
      <w:bookmarkStart w:id="36" w:name="_Toc8508"/>
      <w:bookmarkStart w:id="37" w:name="_Toc5301"/>
      <w:bookmarkStart w:id="38" w:name="_Toc12533"/>
      <w:r>
        <w:rPr>
          <w:rFonts w:ascii="宋体" w:eastAsia="宋体" w:hAnsi="宋体" w:cs="宋体" w:hint="eastAsia"/>
          <w:color w:val="000000"/>
          <w:sz w:val="26"/>
          <w:lang w:val="en-US" w:eastAsia="zh-CN"/>
        </w:rPr>
        <w:t>2.4</w:t>
      </w:r>
      <w:r>
        <w:rPr>
          <w:rFonts w:ascii="宋体" w:eastAsia="宋体" w:hAnsi="宋体" w:cs="宋体" w:hint="eastAsia"/>
          <w:color w:val="000000"/>
          <w:sz w:val="26"/>
        </w:rPr>
        <w:t>工程施工部署</w:t>
      </w:r>
      <w:bookmarkEnd w:id="36"/>
      <w:bookmarkEnd w:id="37"/>
      <w:bookmarkEnd w:id="38"/>
    </w:p>
    <w:p>
      <w:pPr>
        <w:spacing w:line="480" w:lineRule="exact"/>
        <w:ind w:left="1" w:firstLine="70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施工前组织有关单位做好现场交接工作，布设施工用电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路途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，用水管线和临建设施。做好图纸会审工作，组织工程技术人员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细致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熟识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图纸，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领悟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设计意图，全面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驾驭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施工图纸内容，检查多专业管线的位置是否正确，提出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便利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施工的合理化建议。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 xml:space="preserve"> 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依据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本工程的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具体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状况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，编制切实可行的单项施工工艺措施和施工方案，重点阐明重要项目的施工方法、施工工艺、工程进度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支配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、劳动力组织、质量与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平安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保证措施，以利于有效指导现场施工。</w:t>
      </w:r>
    </w:p>
    <w:p>
      <w:pPr>
        <w:pStyle w:val="Heading2"/>
        <w:rPr>
          <w:rFonts w:ascii="黑体" w:hint="eastAsia"/>
          <w:sz w:val="32"/>
        </w:rPr>
      </w:pPr>
      <w:bookmarkStart w:id="39" w:name="_Toc7175"/>
      <w:bookmarkStart w:id="40" w:name="_Toc1151"/>
      <w:bookmarkStart w:id="41" w:name="_Toc16169"/>
      <w:r>
        <w:rPr>
          <w:rFonts w:ascii="宋体" w:eastAsia="宋体" w:hAnsi="宋体" w:cs="宋体" w:hint="eastAsia"/>
          <w:color w:val="000000"/>
          <w:sz w:val="26"/>
          <w:lang w:val="en-US" w:eastAsia="zh-CN"/>
        </w:rPr>
        <w:t>3、</w:t>
      </w:r>
      <w:r>
        <w:rPr>
          <w:rFonts w:ascii="宋体" w:eastAsia="宋体" w:hAnsi="宋体" w:cs="宋体" w:hint="eastAsia"/>
          <w:color w:val="000000"/>
          <w:sz w:val="26"/>
        </w:rPr>
        <w:t>施工现场平面布置</w:t>
      </w:r>
      <w:bookmarkEnd w:id="39"/>
      <w:bookmarkEnd w:id="40"/>
      <w:bookmarkEnd w:id="41"/>
    </w:p>
    <w:p>
      <w:pPr>
        <w:pStyle w:val="Heading3"/>
        <w:rPr>
          <w:rFonts w:hint="eastAsia"/>
        </w:rPr>
      </w:pPr>
      <w:bookmarkStart w:id="42" w:name="_Toc26777"/>
      <w:bookmarkStart w:id="43" w:name="_Toc2607"/>
      <w:bookmarkStart w:id="44" w:name="_Toc31438"/>
      <w:r>
        <w:rPr>
          <w:rFonts w:ascii="宋体" w:eastAsia="宋体" w:hAnsi="宋体" w:cs="宋体" w:hint="eastAsia"/>
          <w:color w:val="000000"/>
          <w:sz w:val="26"/>
          <w:lang w:val="en-US" w:eastAsia="zh-CN"/>
        </w:rPr>
        <w:t>3.1</w:t>
      </w:r>
      <w:r>
        <w:rPr>
          <w:rFonts w:ascii="宋体" w:eastAsia="宋体" w:hAnsi="宋体" w:cs="宋体" w:hint="eastAsia"/>
          <w:color w:val="000000"/>
          <w:sz w:val="26"/>
        </w:rPr>
        <w:t>施工现场总平面管理</w:t>
      </w:r>
      <w:r>
        <w:rPr>
          <w:rFonts w:ascii="宋体" w:eastAsia="宋体" w:hAnsi="宋体" w:cs="宋体" w:hint="eastAsia"/>
          <w:color w:val="000000"/>
          <w:sz w:val="26"/>
          <w:lang w:eastAsia="zh-CN"/>
        </w:rPr>
        <w:t>方法</w:t>
      </w:r>
      <w:bookmarkEnd w:id="42"/>
      <w:bookmarkEnd w:id="43"/>
      <w:bookmarkEnd w:id="44"/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1）平面管理原则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  <w:sectPr>
          <w:type w:val="nextPage"/>
          <w:pgSz w:w="11907" w:h="16839"/>
          <w:pgMar w:top="1134" w:right="1157" w:bottom="1134" w:left="1418" w:header="851" w:footer="771" w:gutter="0"/>
          <w:pgNumType w:fmt="decimalFullWidth" w:start="3"/>
          <w:cols w:num="1" w:space="720"/>
          <w:titlePg w:val="0"/>
          <w:docGrid w:type="lines" w:linePitch="286" w:charSpace="0"/>
        </w:sect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依据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施工总平面设计和各分阶段施工平面布置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须要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，以充分保障阶段性施工重点，确保进度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支配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的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顺当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实施为目的，在工程实施前，制定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具体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的大型机具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运用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、进退场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支配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，主材与周转材料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选购</w:t>
        <w:tab/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。加工、堆放。运输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支配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，以与各工种施工队伍进退场调整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支配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。同时制定以上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支配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的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具体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实施方案，严格执行标准与奖罚条例，实施施工平面布置的科学、文明管理。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2）平面管理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支配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由技术总负责负责总平面的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运用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管理，阶段性现场总平面调整与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运用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采纳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调度制度，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依据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工程进度、施工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须要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对总平面的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运用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进行协调和合理的调整，总平面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运用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的日常管理工作由施工组负责实施。施工平面管理的关键是科学的规划和周密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具体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的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具体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支配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，在工程进度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支配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的基础上形成主材、机械的进退场与水平运输设备的有序进行，以确保工程进度，充分。均衡地利用平面为目标，制定出适合实际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状况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的总平面管理实施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支配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。同时将该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支配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输入电脑，进行动态调控管理。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3）平面管理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支配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的实施</w:t>
      </w:r>
    </w:p>
    <w:p>
      <w:pPr>
        <w:spacing w:line="480" w:lineRule="exact"/>
        <w:ind w:left="1" w:firstLine="460"/>
        <w:rPr>
          <w:rFonts w:ascii="黑体" w:eastAsia="黑体" w:hint="eastAsia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依据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工程进度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支配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的实施调整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状况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，分阶段发布平面管理实施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支配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，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支配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执行中，不定期召开调度会，经充分协调、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探讨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后，发布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支配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调整书。施工组负责组织阶段性的和不定期的检查监督，确保平面管理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支配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的实施。</w:t>
      </w:r>
    </w:p>
    <w:p>
      <w:pPr>
        <w:pStyle w:val="Heading3"/>
        <w:rPr>
          <w:rFonts w:hint="eastAsia"/>
        </w:rPr>
      </w:pPr>
      <w:bookmarkStart w:id="45" w:name="_Toc11282"/>
      <w:bookmarkStart w:id="46" w:name="_Toc27785"/>
      <w:bookmarkStart w:id="47" w:name="_Toc3668"/>
      <w:r>
        <w:rPr>
          <w:rFonts w:ascii="宋体" w:eastAsia="宋体" w:hAnsi="宋体" w:cs="宋体" w:hint="eastAsia"/>
          <w:color w:val="000000"/>
          <w:sz w:val="26"/>
          <w:lang w:val="en-US" w:eastAsia="zh-CN"/>
        </w:rPr>
        <w:t>3.2</w:t>
      </w:r>
      <w:r>
        <w:rPr>
          <w:rFonts w:ascii="宋体" w:eastAsia="宋体" w:hAnsi="宋体" w:cs="宋体" w:hint="eastAsia"/>
          <w:color w:val="000000"/>
          <w:sz w:val="26"/>
        </w:rPr>
        <w:t>施工现场</w:t>
      </w:r>
      <w:r>
        <w:rPr>
          <w:rFonts w:ascii="宋体" w:eastAsia="宋体" w:hAnsi="宋体" w:cs="宋体" w:hint="eastAsia"/>
          <w:color w:val="000000"/>
          <w:sz w:val="26"/>
        </w:rPr>
        <w:t>具体</w:t>
      </w:r>
      <w:r>
        <w:rPr>
          <w:rFonts w:ascii="宋体" w:eastAsia="宋体" w:hAnsi="宋体" w:cs="宋体" w:hint="eastAsia"/>
          <w:color w:val="000000"/>
          <w:sz w:val="26"/>
        </w:rPr>
        <w:t>布置</w:t>
      </w:r>
      <w:bookmarkEnd w:id="45"/>
      <w:bookmarkEnd w:id="46"/>
      <w:bookmarkEnd w:id="47"/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1）临时设施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现场办公室、宿舍拟就近租借。本工程拟租借用房包括甲方办公室、监理办公室、项目部办公室与会议室、职工宿舍、食堂、厕所、浴室等，内设洗涤池。租借的临时设施内按每二间房间布置一只灭火器。在临时设施内设置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宣扬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标语和黑板报，起到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宣扬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、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教化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、表扬先进、促进后进等作用。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施工现场搭建值班室、材料仓库、机修间与钢筋模板家棚等，并适当位置设置机械停放场地，设洗车区。桥梁空心板梁预制场地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依据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实际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状况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设置在现场或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采纳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预制厂预制。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各种生产设施便于工人的生产开展，且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满意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平安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防火，劳动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爱护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的要求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按施工阶段划分施工区域和堆场场地，保证交通的畅通和临设位置的合理布局并在施工阶段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满意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材料运输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便利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。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现场临时用地占用需与业主与有关部门协商好。施工现场平面布置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具体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详见施工总平面图。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  <w:sectPr>
          <w:type w:val="nextPage"/>
          <w:pgSz w:w="11907" w:h="16839"/>
          <w:pgMar w:top="1134" w:right="1157" w:bottom="1134" w:left="1418" w:header="851" w:footer="771" w:gutter="0"/>
          <w:pgNumType w:fmt="decimalFullWidth" w:start="4"/>
          <w:cols w:num="1" w:space="720"/>
          <w:titlePg w:val="0"/>
          <w:docGrid w:type="lines" w:linePitch="286" w:charSpace="0"/>
        </w:sect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2）施工用水：水管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采纳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2.5镀锌管，流量为10T/小时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3）施工用电：电线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采纳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三箱五线制，木杆架设，并每间隔100m设一配电箱。为防止停电对施工造成影响，施工现场因沿线长度较长，拟配备发电机组1台。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4）施工道路：利用已有道路进入施工现场，必要时场内需修筑便道。</w:t>
      </w:r>
    </w:p>
    <w:p>
      <w:pPr>
        <w:pStyle w:val="Heading3"/>
        <w:rPr>
          <w:rFonts w:hint="eastAsia"/>
        </w:rPr>
      </w:pPr>
      <w:bookmarkStart w:id="48" w:name="_Toc26707"/>
      <w:bookmarkStart w:id="49" w:name="_Toc20997"/>
      <w:bookmarkStart w:id="50" w:name="_Toc29682"/>
      <w:r>
        <w:rPr>
          <w:rFonts w:ascii="宋体" w:eastAsia="宋体" w:hAnsi="宋体" w:cs="宋体" w:hint="eastAsia"/>
          <w:color w:val="000000"/>
          <w:sz w:val="26"/>
          <w:lang w:val="en-US" w:eastAsia="zh-CN"/>
        </w:rPr>
        <w:t>3.3</w:t>
      </w:r>
      <w:r>
        <w:rPr>
          <w:rFonts w:ascii="宋体" w:eastAsia="宋体" w:hAnsi="宋体" w:cs="宋体" w:hint="eastAsia"/>
          <w:color w:val="000000"/>
          <w:sz w:val="26"/>
        </w:rPr>
        <w:t>三通一平与临设</w:t>
      </w:r>
      <w:bookmarkEnd w:id="48"/>
      <w:bookmarkEnd w:id="49"/>
      <w:bookmarkEnd w:id="50"/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水：利用东侧河道管理设施的水源。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电：利用就近市政电力用于机械用电机夜间施工的照明和排水用电，由业主指定。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路：利用原有道路。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临设：由于本工程施工周期较短，工地沿线长度较长，因此我公司考虑不在施工现场搭建大量临时设施，拟就近在租借居民住房解决办公、生活问题。施工现场仅搭设值班室、材料仓库、机修间与钢筋模板加工棚等。材料堆场亦设在现场材料仓库。</w:t>
      </w:r>
    </w:p>
    <w:p>
      <w:pPr>
        <w:pStyle w:val="Heading3"/>
        <w:rPr>
          <w:rFonts w:hint="eastAsia"/>
        </w:rPr>
      </w:pPr>
      <w:bookmarkStart w:id="51" w:name="_Toc21812"/>
      <w:bookmarkStart w:id="52" w:name="_Toc2890"/>
      <w:bookmarkStart w:id="53" w:name="_Toc18390"/>
      <w:r>
        <w:rPr>
          <w:rFonts w:ascii="宋体" w:eastAsia="宋体" w:hAnsi="宋体" w:cs="宋体" w:hint="eastAsia"/>
          <w:color w:val="000000"/>
          <w:sz w:val="26"/>
          <w:lang w:val="en-US" w:eastAsia="zh-CN"/>
        </w:rPr>
        <w:t>3.4</w:t>
      </w:r>
      <w:r>
        <w:rPr>
          <w:rFonts w:ascii="宋体" w:eastAsia="宋体" w:hAnsi="宋体" w:cs="宋体" w:hint="eastAsia"/>
          <w:color w:val="000000"/>
          <w:sz w:val="26"/>
        </w:rPr>
        <w:t>临时排水与污水排放</w:t>
      </w:r>
      <w:bookmarkEnd w:id="51"/>
      <w:bookmarkEnd w:id="52"/>
      <w:bookmarkEnd w:id="53"/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1）施工污水排放：施工现场排水系统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必需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设置沉淀池，各施工阶段的污水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必需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经二级沉淀后方可排入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旁边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河道。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2）成立现场排水系统日常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修理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班组，专人负责定期检查和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消退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排水沟以与沉淀池中积存物，确保排水沟畅通。</w:t>
      </w:r>
    </w:p>
    <w:p>
      <w:pPr>
        <w:spacing w:line="480" w:lineRule="exact"/>
        <w:ind w:left="1" w:firstLine="460"/>
        <w:rPr>
          <w:rFonts w:ascii="黑体" w:eastAsia="黑体" w:hint="eastAsia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3）逢雨季增加潜水泵、提高排水流量，流速，确保排水畅通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快速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。</w:t>
      </w:r>
    </w:p>
    <w:p>
      <w:pPr>
        <w:pStyle w:val="Heading3"/>
        <w:rPr>
          <w:rFonts w:hint="eastAsia"/>
        </w:rPr>
      </w:pPr>
      <w:bookmarkStart w:id="54" w:name="_Toc13389"/>
      <w:bookmarkStart w:id="55" w:name="_Toc25182"/>
      <w:bookmarkStart w:id="56" w:name="_Toc13380"/>
      <w:r>
        <w:rPr>
          <w:rFonts w:ascii="宋体" w:eastAsia="宋体" w:hAnsi="宋体" w:cs="宋体" w:hint="eastAsia"/>
          <w:color w:val="000000"/>
          <w:sz w:val="26"/>
          <w:lang w:val="en-US" w:eastAsia="zh-CN"/>
        </w:rPr>
        <w:t>3.5</w:t>
      </w:r>
      <w:r>
        <w:rPr>
          <w:rFonts w:ascii="宋体" w:eastAsia="宋体" w:hAnsi="宋体" w:cs="宋体" w:hint="eastAsia"/>
          <w:color w:val="000000"/>
          <w:sz w:val="26"/>
        </w:rPr>
        <w:t>场内外交通组织方案</w:t>
      </w:r>
      <w:bookmarkEnd w:id="54"/>
      <w:bookmarkEnd w:id="55"/>
      <w:bookmarkEnd w:id="56"/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 xml:space="preserve">施工中的场内外交通组织是施工组织的重要内容，是工地文明、高效的前提。 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施工便道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必需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由专人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常常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修理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、保养、加固，确保在施工期间的道路畅通，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避开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因材料运输道路不畅通，造成材料运输困难，停工待料。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施工现场做好施工围蔽工作，利用彩钢板与红白飘带将施工区域与非施工区域隔离开。施工围蔽上设立施工警示牌，夜间挂红灯，并保证施工沿线在夜间有足够的照明设施。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全部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彩钢板外观尺寸、高度均按市建设局有关文件的要求实施不得低于2.0m,在场地各出入口，设立交通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标记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、警示牌、夜间照明灯。</w:t>
      </w:r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另在施工区域内的合适入口设置洗车槽，施工机械</w:t>
      </w:r>
      <w:r>
        <w:rPr>
          <w:rFonts w:ascii="宋体" w:eastAsia="宋体" w:hAnsi="宋体" w:cs="宋体" w:hint="eastAsia"/>
          <w:color w:val="000000"/>
          <w:sz w:val="26"/>
          <w:szCs w:val="24"/>
          <w:lang w:val="en-US" w:eastAsia="zh-CN"/>
        </w:rPr>
        <w:t>必需</w:t>
      </w:r>
      <w:r>
        <w:rPr>
          <w:rFonts w:asciiTheme="minorEastAsia" w:hAnsiTheme="minorEastAsia" w:hint="eastAsia"/>
          <w:szCs w:val="24"/>
        </w:rPr>
        <w:br/>
      </w:r>
      <w:r>
        <w:rPr>
          <w:rFonts w:asciiTheme="minorEastAsia" w:hAnsiTheme="minorEastAsia" w:hint="eastAsia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https://d.book118.com/188114020013006034</w:t>
        </w:r>
      </w:hyperlink>
    </w:p>
    <w:p>
      <w:pPr>
        <w:spacing w:line="480" w:lineRule="exact"/>
        <w:ind w:left="1" w:firstLine="460"/>
        <w:rPr>
          <w:rFonts w:asciiTheme="minorEastAsia" w:hAnsiTheme="minorEastAsia" w:hint="eastAsia"/>
          <w:szCs w:val="24"/>
        </w:rPr>
      </w:pPr>
    </w:p>
    <w:sectPr>
      <w:type w:val="nextPage"/>
      <w:pgSz w:w="11907" w:h="16839"/>
      <w:pgMar w:top="1134" w:right="1157" w:bottom="1134" w:left="1418" w:header="851" w:footer="771" w:gutter="0"/>
      <w:pgNumType w:fmt="decimalFullWidth" w:start="5"/>
      <w:cols w:num="1" w:space="720"/>
      <w:titlePg w:val="0"/>
      <w:docGrid w:type="lines" w:linePitch="286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C6587CB"/>
    <w:multiLevelType w:val="singleLevel"/>
    <w:tmpl w:val="9C6587CB"/>
    <w:lvl w:ilvl="0">
      <w:start w:val="13"/>
      <w:numFmt w:val="decimal"/>
      <w:suff w:val="nothing"/>
      <w:lvlText w:val="%1、"/>
      <w:lvlJc w:val="left"/>
    </w:lvl>
  </w:abstractNum>
  <w:abstractNum w:abstractNumId="1">
    <w:nsid w:val="07C23D9C"/>
    <w:multiLevelType w:val="singleLevel"/>
    <w:tmpl w:val="07C23D9C"/>
    <w:lvl w:ilvl="0">
      <w:start w:val="1"/>
      <w:numFmt w:val="decimal"/>
      <w:suff w:val="nothing"/>
      <w:lvlText w:val="（%1）"/>
      <w:lvlJc w:val="left"/>
    </w:lvl>
  </w:abstractNum>
  <w:abstractNum w:abstractNumId="2">
    <w:nsid w:val="48943E5F"/>
    <w:multiLevelType w:val="singleLevel"/>
    <w:tmpl w:val="48943E5F"/>
    <w:lvl w:ilvl="0">
      <w:start w:val="1"/>
      <w:numFmt w:val="decimal"/>
      <w:suff w:val="space"/>
      <w:lvlText w:val="(%1)"/>
      <w:lvlJc w:val="left"/>
    </w:lvl>
  </w:abstractNum>
  <w:abstractNum w:abstractNumId="3">
    <w:nsid w:val="4AE3A93D"/>
    <w:multiLevelType w:val="singleLevel"/>
    <w:tmpl w:val="4AE3A93D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4">
    <w:nsid w:val="57FC3592"/>
    <w:multiLevelType w:val="singleLevel"/>
    <w:tmpl w:val="57FC3592"/>
    <w:lvl w:ilvl="0">
      <w:start w:val="4"/>
      <w:numFmt w:val="decimal"/>
      <w:suff w:val="nothing"/>
      <w:lvlText w:val="（%1）"/>
      <w:lvlJc w:val="left"/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doNotTrackMove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 w:qFormat="1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Block Text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Heading3"/>
    <w:qFormat/>
    <w:pPr>
      <w:widowControl w:val="0"/>
      <w:jc w:val="left"/>
    </w:pPr>
    <w:rPr>
      <w:rFonts w:asciiTheme="minorAscii" w:eastAsiaTheme="minorEastAsia" w:hAnsiTheme="minorAscii" w:cstheme="minorBidi"/>
      <w:color w:val="000000" w:themeColor="text1"/>
      <w:kern w:val="2"/>
      <w:sz w:val="24"/>
      <w:szCs w:val="21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0" w:beforeAutospacing="0" w:after="0" w:afterAutospacing="0" w:line="240" w:lineRule="auto"/>
      <w:jc w:val="left"/>
      <w:outlineLvl w:val="0"/>
    </w:pPr>
    <w:rPr>
      <w:rFonts w:asciiTheme="minorAscii" w:hAnsiTheme="minorAscii"/>
      <w:b/>
      <w:color w:val="000000" w:themeColor="text1"/>
      <w:kern w:val="44"/>
      <w:sz w:val="30"/>
      <w:szCs w:val="21"/>
    </w:rPr>
  </w:style>
  <w:style w:type="paragraph" w:styleId="Heading2">
    <w:name w:val="heading 2"/>
    <w:basedOn w:val="Normal"/>
    <w:next w:val="Normal"/>
    <w:unhideWhenUsed/>
    <w:qFormat/>
    <w:pPr>
      <w:keepNext/>
      <w:keepLines/>
      <w:widowControl w:val="0"/>
      <w:spacing w:before="120" w:after="120" w:line="240" w:lineRule="auto"/>
      <w:jc w:val="left"/>
      <w:outlineLvl w:val="1"/>
    </w:pPr>
    <w:rPr>
      <w:rFonts w:ascii="Arial" w:eastAsia="黑体" w:hAnsi="Arial"/>
      <w:b/>
      <w:bCs/>
      <w:color w:val="000000" w:themeColor="text1"/>
      <w:sz w:val="28"/>
      <w:szCs w:val="32"/>
    </w:rPr>
  </w:style>
  <w:style w:type="paragraph" w:styleId="Heading3">
    <w:name w:val="heading 3"/>
    <w:basedOn w:val="Normal"/>
    <w:next w:val="Normal"/>
    <w:link w:val="3Char"/>
    <w:unhideWhenUsed/>
    <w:qFormat/>
    <w:pPr>
      <w:keepNext/>
      <w:keepLines/>
      <w:spacing w:before="120" w:after="120" w:line="240" w:lineRule="auto"/>
      <w:ind w:left="0"/>
      <w:jc w:val="both"/>
      <w:textAlignment w:val="baseline"/>
      <w:outlineLvl w:val="2"/>
    </w:pPr>
    <w:rPr>
      <w:rFonts w:eastAsia="黑体" w:asciiTheme="minorAscii" w:hAnsiTheme="minorAscii"/>
      <w:b/>
      <w:sz w:val="24"/>
      <w:szCs w:val="20"/>
    </w:rPr>
  </w:style>
  <w:style w:type="paragraph" w:styleId="Heading4">
    <w:name w:val="heading 4"/>
    <w:basedOn w:val="Normal"/>
    <w:next w:val="Normal"/>
    <w:link w:val="4Char"/>
    <w:unhideWhenUsed/>
    <w:qFormat/>
    <w:pPr>
      <w:keepNext/>
      <w:keepLines/>
      <w:spacing w:before="0" w:beforeAutospacing="0" w:after="0" w:afterAutospacing="0" w:line="240" w:lineRule="auto"/>
      <w:outlineLvl w:val="3"/>
    </w:pPr>
    <w:rPr>
      <w:rFonts w:ascii="Arial" w:eastAsia="宋体" w:hAnsi="Arial"/>
      <w:b/>
      <w:sz w:val="24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qFormat/>
    <w:pPr>
      <w:spacing w:after="120"/>
    </w:pPr>
    <w:rPr>
      <w:sz w:val="16"/>
      <w:szCs w:val="16"/>
    </w:rPr>
  </w:style>
  <w:style w:type="paragraph" w:styleId="BodyText">
    <w:name w:val="Body Text"/>
    <w:basedOn w:val="Normal"/>
    <w:qFormat/>
    <w:pPr>
      <w:spacing w:after="120"/>
    </w:pPr>
  </w:style>
  <w:style w:type="paragraph" w:styleId="BlockText">
    <w:name w:val="Block Text"/>
    <w:basedOn w:val="Normal"/>
    <w:qFormat/>
    <w:pPr>
      <w:ind w:left="-342" w:right="-501" w:hanging="716"/>
      <w:jc w:val="center"/>
    </w:pPr>
    <w:rPr>
      <w:rFonts w:ascii="宋体" w:hAnsi="宋体"/>
      <w:b/>
      <w:bCs/>
      <w:sz w:val="72"/>
      <w:szCs w:val="24"/>
    </w:rPr>
  </w:style>
  <w:style w:type="paragraph" w:styleId="TOC3">
    <w:name w:val="toc 3"/>
    <w:basedOn w:val="Normal"/>
    <w:next w:val="Normal"/>
    <w:qFormat/>
    <w:pPr>
      <w:ind w:left="840"/>
    </w:pPr>
  </w:style>
  <w:style w:type="paragraph" w:styleId="BodyTextIndent2">
    <w:name w:val="Body Text Indent 2"/>
    <w:basedOn w:val="Normal"/>
    <w:qFormat/>
    <w:pPr>
      <w:spacing w:after="120" w:line="480" w:lineRule="auto"/>
      <w:ind w:left="420"/>
    </w:pPr>
    <w:rPr>
      <w:szCs w:val="24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il"/>
        <w:left w:val="nil"/>
        <w:bottom w:val="nil"/>
        <w:right w:val="nil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qFormat/>
  </w:style>
  <w:style w:type="paragraph" w:styleId="TOC2">
    <w:name w:val="toc 2"/>
    <w:basedOn w:val="Normal"/>
    <w:next w:val="Normal"/>
    <w:qFormat/>
    <w:pPr>
      <w:ind w:left="420"/>
    </w:pPr>
  </w:style>
  <w:style w:type="paragraph" w:styleId="BodyText2">
    <w:name w:val="Body Text 2"/>
    <w:basedOn w:val="Normal"/>
    <w:qFormat/>
    <w:pPr>
      <w:adjustRightInd w:val="0"/>
      <w:snapToGrid w:val="0"/>
      <w:spacing w:line="480" w:lineRule="atLeast"/>
    </w:pPr>
    <w:rPr>
      <w:rFonts w:ascii="宋体" w:hAnsi="宋体"/>
      <w:sz w:val="28"/>
      <w:szCs w:val="20"/>
    </w:rPr>
  </w:style>
  <w:style w:type="paragraph" w:styleId="NormalWeb">
    <w:name w:val="Normal (Web)"/>
    <w:basedOn w:val="Normal"/>
    <w:qFormat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标题 4 Char"/>
    <w:link w:val="Heading4"/>
    <w:qFormat/>
    <w:rPr>
      <w:rFonts w:ascii="Arial" w:eastAsia="宋体" w:hAnsi="Arial"/>
      <w:b/>
      <w:sz w:val="24"/>
    </w:rPr>
  </w:style>
  <w:style w:type="character" w:customStyle="1" w:styleId="3Char">
    <w:name w:val="标题 3 Char"/>
    <w:link w:val="Heading3"/>
    <w:qFormat/>
    <w:rPr>
      <w:rFonts w:eastAsia="黑体" w:asciiTheme="minorAscii" w:hAnsiTheme="minorAscii"/>
      <w:b/>
      <w:color w:val="000000" w:themeColor="text1"/>
      <w:sz w:val="24"/>
      <w:szCs w:val="20"/>
    </w:rPr>
  </w:style>
  <w:style w:type="paragraph" w:customStyle="1" w:styleId="a">
    <w:name w:val="首行缩进"/>
    <w:basedOn w:val="Normal"/>
    <w:qFormat/>
    <w:pPr>
      <w:spacing w:line="360" w:lineRule="auto"/>
      <w:ind w:firstLine="480"/>
    </w:pPr>
    <w:rPr>
      <w:rFonts w:ascii="宋体" w:hAnsi="宋体" w:cs="宋体"/>
      <w:kern w:val="0"/>
      <w:sz w:val="24"/>
    </w:rPr>
  </w:style>
  <w:style w:type="paragraph" w:customStyle="1" w:styleId="a0">
    <w:name w:val="正文表标题"/>
    <w:next w:val="Normal"/>
    <w:qFormat/>
    <w:pPr>
      <w:tabs>
        <w:tab w:val="left" w:pos="360"/>
      </w:tabs>
      <w:spacing w:before="120" w:after="120"/>
      <w:jc w:val="center"/>
    </w:pPr>
    <w:rPr>
      <w:rFonts w:ascii="黑体" w:eastAsia="黑体" w:hAnsiTheme="minorHAnsi" w:cstheme="minorBidi"/>
      <w:sz w:val="21"/>
      <w:szCs w:val="22"/>
      <w:lang w:val="en-US" w:eastAsia="zh-CN" w:bidi="ar-SA"/>
    </w:rPr>
  </w:style>
  <w:style w:type="paragraph" w:customStyle="1" w:styleId="a1">
    <w:name w:val="段"/>
    <w:qFormat/>
    <w:pPr>
      <w:tabs>
        <w:tab w:val="center" w:pos="4201"/>
        <w:tab w:val="right" w:leader="dot" w:pos="9298"/>
      </w:tabs>
      <w:autoSpaceDE w:val="0"/>
      <w:autoSpaceDN w:val="0"/>
      <w:ind w:firstLine="420"/>
      <w:jc w:val="both"/>
    </w:pPr>
    <w:rPr>
      <w:rFonts w:ascii="宋体" w:eastAsiaTheme="minorEastAsia" w:hAnsiTheme="minorHAnsi" w:cstheme="minorBidi"/>
      <w:sz w:val="21"/>
      <w:szCs w:val="22"/>
      <w:lang w:val="en-US" w:eastAsia="zh-CN" w:bidi="ar-SA"/>
    </w:rPr>
  </w:style>
  <w:style w:type="paragraph" w:customStyle="1" w:styleId="Blockquote">
    <w:name w:val="Blockquote"/>
    <w:basedOn w:val="Normal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</w:rPr>
  </w:style>
  <w:style w:type="paragraph" w:customStyle="1" w:styleId="WPSOffice1">
    <w:name w:val="WPSOffice手动目录 1"/>
    <w:qFormat/>
    <w:rPr>
      <w:rFonts w:asciiTheme="minorHAnsi" w:eastAsiaTheme="minorEastAsia" w:hAnsiTheme="minorHAnsi" w:cstheme="minorBidi"/>
      <w:sz w:val="20"/>
      <w:szCs w:val="20"/>
    </w:rPr>
  </w:style>
  <w:style w:type="paragraph" w:customStyle="1" w:styleId="WPSOffice2">
    <w:name w:val="WPSOffice手动目录 2"/>
    <w:qFormat/>
    <w:rPr>
      <w:rFonts w:asciiTheme="minorHAnsi" w:eastAsiaTheme="minorEastAsia" w:hAnsiTheme="minorHAnsi" w:cstheme="minorBidi"/>
      <w:sz w:val="20"/>
      <w:szCs w:val="20"/>
    </w:rPr>
  </w:style>
  <w:style w:type="paragraph" w:customStyle="1" w:styleId="WPSOffice3">
    <w:name w:val="WPSOffice手动目录 3"/>
    <w:qFormat/>
    <w:rPr>
      <w:rFonts w:asciiTheme="minorHAnsi" w:eastAsiaTheme="minorEastAsia" w:hAnsiTheme="minorHAnsi" w:cstheme="minorBidi"/>
      <w:sz w:val="20"/>
      <w:szCs w:val="20"/>
    </w:rPr>
  </w:style>
  <w:style w:type="paragraph" w:styleId="ListParagraph">
    <w:name w:val="List Paragraph"/>
    <w:basedOn w:val="Normal"/>
    <w:uiPriority w:val="99"/>
    <w:qFormat/>
    <w:pPr>
      <w:ind w:firstLine="420"/>
    </w:pPr>
  </w:style>
  <w:style w:type="paragraph" w:customStyle="1" w:styleId="1">
    <w:name w:val="列出段落1"/>
    <w:basedOn w:val="Normal"/>
    <w:uiPriority w:val="34"/>
    <w:qFormat/>
    <w:pPr>
      <w:ind w:firstLine="420"/>
    </w:pPr>
  </w:style>
  <w:style w:type="paragraph" w:customStyle="1" w:styleId="2">
    <w:name w:val="列出段落2"/>
    <w:basedOn w:val="Normal"/>
    <w:uiPriority w:val="99"/>
    <w:unhideWhenUsed/>
    <w:qFormat/>
    <w:pPr>
      <w:ind w:firstLine="420"/>
    </w:pPr>
  </w:style>
  <w:style w:type="paragraph" w:customStyle="1" w:styleId="a2">
    <w:name w:val="正文首行缩进两字符"/>
    <w:basedOn w:val="Normal"/>
    <w:qFormat/>
    <w:pPr>
      <w:spacing w:line="360" w:lineRule="auto"/>
      <w:ind w:firstLine="2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188114020013006034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59246</Words>
  <Characters>63495</Characters>
  <Application>Microsoft Office Word</Application>
  <DocSecurity>0</DocSecurity>
  <Lines>0</Lines>
  <Paragraphs>0</Paragraphs>
  <ScaleCrop>false</ScaleCrop>
  <Company/>
  <LinksUpToDate>false</LinksUpToDate>
  <CharactersWithSpaces>65930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2018-01-31T05:20:00Z</cp:lastPrinted>
  <dcterms:created xsi:type="dcterms:W3CDTF">2014-10-29T12:08:00Z</dcterms:created>
  <dcterms:modified xsi:type="dcterms:W3CDTF">2018-03-10T02:22:33Z</dcterms:modified>
</cp:coreProperties>
</file>