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color w:val="auto"/>
          <w:lang w:val="zh-CN"/>
        </w:rPr>
        <w:id w:val="48584306"/>
        <w:docPartObj>
          <w:docPartGallery w:val="Table of Contents"/>
          <w:docPartUnique/>
        </w:docPartObj>
      </w:sdtPr>
      <w:sdtEndPr>
        <w:rPr>
          <w:rFonts w:ascii="幼圆" w:eastAsia="幼圆" w:hAnsi="幼圆" w:cs="幼圆" w:hint="eastAsia"/>
          <w:color w:val="auto"/>
          <w:kern w:val="2"/>
          <w:sz w:val="21"/>
          <w:szCs w:val="21"/>
          <w:lang w:val="zh-CN"/>
        </w:rPr>
      </w:sdtEndPr>
      <w:sdtContent>
        <w:p>
          <w:pPr>
            <w:pStyle w:val="TOCHeading"/>
            <w:jc w:val="center"/>
            <w:rPr>
              <w:rFonts w:ascii="幼圆" w:eastAsia="幼圆" w:hAnsi="幼圆" w:cs="幼圆" w:hint="default"/>
              <w:color w:val="auto"/>
              <w:sz w:val="32"/>
              <w:szCs w:val="32"/>
              <w:lang w:val="en-US" w:eastAsia="zh-CN"/>
            </w:rPr>
          </w:pPr>
          <w:bookmarkStart w:id="0" w:name="_Toc66995876"/>
          <w:bookmarkStart w:id="1" w:name="_Toc66651056"/>
          <w:bookmarkStart w:id="2" w:name="_Toc66650878"/>
          <w:bookmarkStart w:id="3" w:name="_GoBack"/>
          <w:r>
            <w:rPr>
              <w:rStyle w:val="Hyperlink"/>
              <w:rFonts w:ascii="幼圆" w:eastAsia="幼圆" w:hAnsi="幼圆" w:cs="幼圆" w:hint="eastAsia"/>
              <w:b/>
              <w:bCs/>
              <w:color w:val="auto"/>
            </w:rPr>
            <w:t>上市公司内部控制缺陷披露存在的问题</w:t>
          </w:r>
          <w:r>
            <w:rPr>
              <w:rStyle w:val="Hyperlink"/>
              <w:rFonts w:ascii="幼圆" w:eastAsia="幼圆" w:hAnsi="幼圆" w:cs="幼圆" w:hint="eastAsia"/>
              <w:b/>
              <w:bCs/>
              <w:color w:val="auto"/>
              <w:lang w:val="en-US" w:eastAsia="zh-CN"/>
            </w:rPr>
            <w:t>及对策—以伊利集团为例</w:t>
          </w:r>
        </w:p>
        <w:bookmarkEnd w:id="3"/>
        <w:p>
          <w:pPr>
            <w:pStyle w:val="TOC1"/>
            <w:rPr>
              <w:rFonts w:ascii="幼圆" w:eastAsia="幼圆" w:hAnsi="幼圆" w:cs="幼圆" w:hint="eastAsia"/>
              <w:color w:val="auto"/>
              <w:kern w:val="2"/>
              <w:sz w:val="21"/>
              <w:shd w:val="clear" w:color="auto" w:fill="auto"/>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r>
            <w:rPr>
              <w:rFonts w:ascii="幼圆" w:eastAsia="幼圆" w:hAnsi="幼圆" w:cs="幼圆" w:hint="eastAsia"/>
            </w:rPr>
            <w:fldChar w:fldCharType="begin"/>
          </w:r>
          <w:r>
            <w:rPr>
              <w:rFonts w:ascii="幼圆" w:eastAsia="幼圆" w:hAnsi="幼圆" w:cs="幼圆" w:hint="eastAsia"/>
            </w:rPr>
            <w:instrText xml:space="preserve"> HYPERLINK \l "_Toc71309071" </w:instrText>
          </w:r>
          <w:r>
            <w:rPr>
              <w:rFonts w:ascii="幼圆" w:eastAsia="幼圆" w:hAnsi="幼圆" w:cs="幼圆" w:hint="eastAsia"/>
            </w:rPr>
            <w:fldChar w:fldCharType="separate"/>
          </w:r>
          <w:r>
            <w:rPr>
              <w:rStyle w:val="Hyperlink"/>
              <w:rFonts w:ascii="幼圆" w:eastAsia="幼圆" w:hAnsi="幼圆" w:cs="幼圆" w:hint="eastAsia"/>
              <w:b/>
              <w:bCs/>
            </w:rPr>
            <w:t>一、绪论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_Toc71309071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r>
            <w:rPr>
              <w:rFonts w:ascii="幼圆" w:eastAsia="幼圆" w:hAnsi="幼圆" w:cs="幼圆" w:hint="eastAsia"/>
            </w:rPr>
            <w:fldChar w:fldCharType="end"/>
          </w:r>
        </w:p>
        <w:p>
          <w:pPr>
            <w:pStyle w:val="TOC2"/>
            <w:tabs>
              <w:tab w:val="right" w:leader="dot" w:pos="9061"/>
            </w:tabs>
            <w:rPr>
              <w:rFonts w:ascii="幼圆" w:eastAsia="幼圆" w:hAnsi="幼圆" w:cs="幼圆" w:hint="eastAsia"/>
              <w:kern w:val="2"/>
              <w:sz w:val="21"/>
            </w:rPr>
          </w:pPr>
          <w:hyperlink w:anchor="_Toc71309072" w:history="1">
            <w:r>
              <w:rPr>
                <w:rStyle w:val="Hyperlink"/>
                <w:rFonts w:ascii="幼圆" w:eastAsia="幼圆" w:hAnsi="幼圆" w:cs="幼圆" w:hint="eastAsia"/>
                <w:b/>
                <w:bCs/>
              </w:rPr>
              <w:t>(一)</w:t>
            </w:r>
            <w:r>
              <w:rPr>
                <w:rStyle w:val="Hyperlink"/>
                <w:rFonts w:ascii="幼圆" w:eastAsia="幼圆" w:hAnsi="幼圆" w:cs="幼圆" w:hint="eastAsia"/>
                <w:b/>
                <w:bCs/>
              </w:rPr>
              <w:t>选题背景和选题意义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_Toc71309072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73" w:history="1">
            <w:r>
              <w:rPr>
                <w:rStyle w:val="Hyperlink"/>
                <w:rFonts w:ascii="幼圆" w:eastAsia="幼圆" w:hAnsi="幼圆" w:cs="幼圆" w:hint="eastAsia"/>
              </w:rPr>
              <w:t>1.</w:t>
            </w:r>
            <w:r>
              <w:rPr>
                <w:rStyle w:val="Hyperlink"/>
                <w:rFonts w:ascii="幼圆" w:eastAsia="幼圆" w:hAnsi="幼圆" w:cs="幼圆" w:hint="eastAsia"/>
              </w:rPr>
              <w:t>选题背景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74" w:history="1">
            <w:r>
              <w:rPr>
                <w:rStyle w:val="Hyperlink"/>
                <w:rFonts w:ascii="幼圆" w:eastAsia="幼圆" w:hAnsi="幼圆" w:cs="幼圆" w:hint="eastAsia"/>
              </w:rPr>
              <w:t>2.</w:t>
            </w:r>
            <w:r>
              <w:rPr>
                <w:rStyle w:val="Hyperlink"/>
                <w:rFonts w:ascii="幼圆" w:eastAsia="幼圆" w:hAnsi="幼圆" w:cs="幼圆" w:hint="eastAsia"/>
              </w:rPr>
              <w:t>选题意义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75" w:history="1">
            <w:r>
              <w:rPr>
                <w:rStyle w:val="Hyperlink"/>
                <w:rFonts w:ascii="幼圆" w:eastAsia="幼圆" w:hAnsi="幼圆" w:cs="幼圆" w:hint="eastAsia"/>
                <w:b/>
                <w:bCs/>
              </w:rPr>
              <w:t>(二)有关国内外研究成果综述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76" w:history="1">
            <w:r>
              <w:rPr>
                <w:rStyle w:val="Hyperlink"/>
                <w:rFonts w:ascii="幼圆" w:eastAsia="幼圆" w:hAnsi="幼圆" w:cs="幼圆" w:hint="eastAsia"/>
              </w:rPr>
              <w:t>1.</w:t>
            </w:r>
            <w:r>
              <w:rPr>
                <w:rStyle w:val="Hyperlink"/>
                <w:rFonts w:ascii="幼圆" w:eastAsia="幼圆" w:hAnsi="幼圆" w:cs="幼圆" w:hint="eastAsia"/>
              </w:rPr>
              <w:t>国外研究成果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_Toc71309076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77" w:history="1">
            <w:r>
              <w:rPr>
                <w:rStyle w:val="Hyperlink"/>
                <w:rFonts w:ascii="幼圆" w:eastAsia="幼圆" w:hAnsi="幼圆" w:cs="幼圆" w:hint="eastAsia"/>
              </w:rPr>
              <w:t>2.</w:t>
            </w:r>
            <w:r>
              <w:rPr>
                <w:rStyle w:val="Hyperlink"/>
                <w:rFonts w:ascii="幼圆" w:eastAsia="幼圆" w:hAnsi="幼圆" w:cs="幼圆" w:hint="eastAsia"/>
              </w:rPr>
              <w:t>国内研究成果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078" w:history="1">
            <w:r>
              <w:rPr>
                <w:rStyle w:val="Hyperlink"/>
                <w:rFonts w:ascii="幼圆" w:eastAsia="幼圆" w:hAnsi="幼圆" w:cs="幼圆" w:hint="eastAsia"/>
                <w:b/>
                <w:bCs/>
              </w:rPr>
              <w:t>二、相关概念与理论基础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79" w:history="1">
            <w:r>
              <w:rPr>
                <w:rStyle w:val="Hyperlink"/>
                <w:rFonts w:ascii="幼圆" w:eastAsia="幼圆" w:hAnsi="幼圆" w:cs="幼圆" w:hint="eastAsia"/>
                <w:b/>
                <w:bCs/>
              </w:rPr>
              <w:t>(一)内部控制缺陷含义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_Toc71309079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0" w:history="1">
            <w:r>
              <w:rPr>
                <w:rStyle w:val="Hyperlink"/>
                <w:rFonts w:ascii="幼圆" w:eastAsia="幼圆" w:hAnsi="幼圆" w:cs="幼圆" w:hint="eastAsia"/>
                <w:b/>
                <w:bCs/>
              </w:rPr>
              <w:t>(二)内部控制缺陷的内容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81" w:history="1">
            <w:r>
              <w:rPr>
                <w:rStyle w:val="Hyperlink"/>
                <w:rFonts w:ascii="幼圆" w:eastAsia="幼圆" w:hAnsi="幼圆" w:cs="幼圆" w:hint="eastAsia"/>
              </w:rPr>
              <w:t>1.</w:t>
            </w:r>
            <w:r>
              <w:rPr>
                <w:rStyle w:val="Hyperlink"/>
                <w:rFonts w:ascii="幼圆" w:eastAsia="幼圆" w:hAnsi="幼圆" w:cs="幼圆" w:hint="eastAsia"/>
              </w:rPr>
              <w:t>内部控制缺陷识别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82" w:history="1">
            <w:r>
              <w:rPr>
                <w:rStyle w:val="Hyperlink"/>
                <w:rFonts w:ascii="幼圆" w:eastAsia="幼圆" w:hAnsi="幼圆" w:cs="幼圆" w:hint="eastAsia"/>
              </w:rPr>
              <w:t>2.</w:t>
            </w:r>
            <w:r>
              <w:rPr>
                <w:rStyle w:val="Hyperlink"/>
                <w:rFonts w:ascii="幼圆" w:eastAsia="幼圆" w:hAnsi="幼圆" w:cs="幼圆" w:hint="eastAsia"/>
              </w:rPr>
              <w:t>内部控制缺陷认定</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083" w:history="1">
            <w:r>
              <w:rPr>
                <w:rStyle w:val="Hyperlink"/>
                <w:rFonts w:ascii="幼圆" w:eastAsia="幼圆" w:hAnsi="幼圆" w:cs="幼圆" w:hint="eastAsia"/>
                <w:b/>
                <w:bCs/>
              </w:rPr>
              <w:t>三、上市公司内部控制缺陷的披露情况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4" w:history="1">
            <w:r>
              <w:rPr>
                <w:rStyle w:val="Hyperlink"/>
                <w:rFonts w:ascii="幼圆" w:eastAsia="幼圆" w:hAnsi="幼圆" w:cs="幼圆" w:hint="eastAsia"/>
                <w:b/>
                <w:bCs/>
              </w:rPr>
              <w:t>(一)样本选取与数据来源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5" w:history="1">
            <w:r>
              <w:rPr>
                <w:rStyle w:val="Hyperlink"/>
                <w:rFonts w:ascii="幼圆" w:eastAsia="幼圆" w:hAnsi="幼圆" w:cs="幼圆" w:hint="eastAsia"/>
                <w:b/>
                <w:bCs/>
              </w:rPr>
              <w:t>(二)内部控制自我评价报告披露现状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6" w:history="1">
            <w:r>
              <w:rPr>
                <w:rStyle w:val="Hyperlink"/>
                <w:rFonts w:ascii="幼圆" w:eastAsia="幼圆" w:hAnsi="幼圆" w:cs="幼圆" w:hint="eastAsia"/>
                <w:b/>
                <w:bCs/>
              </w:rPr>
              <w:t>(三)内部控制审计报告披露现状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_Toc71309086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7" w:history="1">
            <w:r>
              <w:rPr>
                <w:rStyle w:val="Hyperlink"/>
                <w:rFonts w:ascii="幼圆" w:eastAsia="幼圆" w:hAnsi="幼圆" w:cs="幼圆" w:hint="eastAsia"/>
                <w:b/>
                <w:bCs/>
              </w:rPr>
              <w:t>(四)内部控制缺陷披露情况分析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_Toc71309087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088" w:history="1">
            <w:r>
              <w:rPr>
                <w:rStyle w:val="Hyperlink"/>
                <w:rFonts w:ascii="幼圆" w:eastAsia="幼圆" w:hAnsi="幼圆" w:cs="幼圆" w:hint="eastAsia"/>
                <w:b/>
                <w:bCs/>
              </w:rPr>
              <w:t>四、上市公司内部控制缺陷披露存在的问题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89" w:history="1">
            <w:r>
              <w:rPr>
                <w:rStyle w:val="Hyperlink"/>
                <w:rFonts w:ascii="幼圆" w:eastAsia="幼圆" w:hAnsi="幼圆" w:cs="幼圆" w:hint="eastAsia"/>
              </w:rPr>
              <w:t>（一）</w:t>
            </w:r>
            <w:r>
              <w:rPr>
                <w:rStyle w:val="Hyperlink"/>
                <w:rFonts w:ascii="幼圆" w:eastAsia="幼圆" w:hAnsi="幼圆" w:cs="幼圆" w:hint="eastAsia"/>
                <w:b/>
                <w:bCs/>
              </w:rPr>
              <w:t>内控评价报告披露不够规范、不及时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_Toc71309089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90" w:history="1">
            <w:r>
              <w:rPr>
                <w:rStyle w:val="Hyperlink"/>
                <w:rFonts w:ascii="幼圆" w:eastAsia="幼圆" w:hAnsi="幼圆" w:cs="幼圆" w:hint="eastAsia"/>
                <w:b/>
                <w:bCs/>
              </w:rPr>
              <w:t>（三）内控缺点和改进披露不够充分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_Toc71309090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91" w:history="1">
            <w:r>
              <w:rPr>
                <w:rStyle w:val="Hyperlink"/>
                <w:rFonts w:ascii="幼圆" w:eastAsia="幼圆" w:hAnsi="幼圆" w:cs="幼圆" w:hint="eastAsia"/>
                <w:b/>
                <w:bCs/>
              </w:rPr>
              <w:t>（四）内控审计报告质量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_Toc71309091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092" w:history="1">
            <w:r>
              <w:rPr>
                <w:rStyle w:val="Hyperlink"/>
                <w:rFonts w:ascii="幼圆" w:eastAsia="幼圆" w:hAnsi="幼圆" w:cs="幼圆" w:hint="eastAsia"/>
                <w:b/>
                <w:bCs/>
              </w:rPr>
              <w:t>五、加强上市公司内部控制缺陷披露的措施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93" w:history="1">
            <w:r>
              <w:rPr>
                <w:rStyle w:val="Hyperlink"/>
                <w:rFonts w:ascii="幼圆" w:eastAsia="幼圆" w:hAnsi="幼圆" w:cs="幼圆" w:hint="eastAsia"/>
                <w:b/>
                <w:bCs/>
              </w:rPr>
              <w:t>（一）政府等功能部门级别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_Toc71309093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94" w:history="1">
            <w:r>
              <w:rPr>
                <w:rStyle w:val="Hyperlink"/>
                <w:rFonts w:ascii="幼圆" w:eastAsia="幼圆" w:hAnsi="幼圆" w:cs="幼圆" w:hint="eastAsia"/>
                <w:b/>
                <w:bCs/>
              </w:rPr>
              <w:t>（二）上市公司级别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_Toc71309094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095" w:history="1">
            <w:r>
              <w:rPr>
                <w:rStyle w:val="Hyperlink"/>
                <w:rFonts w:ascii="幼圆" w:eastAsia="幼圆" w:hAnsi="幼圆" w:cs="幼圆" w:hint="eastAsia"/>
              </w:rPr>
              <w:t>（三）</w:t>
            </w:r>
            <w:r>
              <w:rPr>
                <w:rStyle w:val="Hyperlink"/>
                <w:rFonts w:ascii="幼圆" w:eastAsia="幼圆" w:hAnsi="幼圆" w:cs="幼圆" w:hint="eastAsia"/>
                <w:b/>
                <w:bCs/>
              </w:rPr>
              <w:t>审计机构层面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096" w:history="1">
            <w:r>
              <w:rPr>
                <w:rStyle w:val="Hyperlink"/>
                <w:rFonts w:ascii="幼圆" w:eastAsia="幼圆" w:hAnsi="幼圆" w:cs="幼圆" w:hint="eastAsia"/>
                <w:b/>
                <w:bCs/>
              </w:rPr>
              <w:t>六、案例分析——以伊利集团为例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_Toc71309096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sectPr>
              <w:footerReference w:type="first" r:id="rId5"/>
              <w:pgSz w:w="11906" w:h="16838"/>
              <w:pgMar w:top="1701" w:right="1134" w:bottom="1418" w:left="1701" w:header="2665" w:footer="992" w:gutter="0"/>
              <w:pgNumType w:fmt="upperRoman" w:start="1"/>
              <w:cols w:num="1" w:space="425"/>
              <w:titlePg/>
              <w:docGrid w:type="lines" w:linePitch="312" w:charSpace="0"/>
            </w:sectPr>
          </w:pPr>
          <w:hyperlink w:anchor="_Toc71309097" w:history="1">
            <w:r>
              <w:rPr>
                <w:rStyle w:val="Hyperlink"/>
                <w:rFonts w:ascii="幼圆" w:eastAsia="幼圆" w:hAnsi="幼圆" w:cs="幼圆" w:hint="eastAsia"/>
                <w:b/>
                <w:bCs/>
              </w:rPr>
              <w:t>(一)伊利集团简介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sdtContent>
    </w:sdt>
    <w:sdt>
      <w:sdtPr>
        <w:rPr>
          <w:rFonts w:ascii="幼圆" w:eastAsia="幼圆" w:hAnsi="幼圆" w:cs="幼圆" w:hint="eastAsia"/>
          <w:color w:val="auto"/>
          <w:lang w:val="zh-CN"/>
        </w:rPr>
        <w:id w:val="1761127995"/>
        <w:docPartObj>
          <w:docPartGallery w:val="Table of Contents"/>
          <w:docPartUnique/>
        </w:docPartObj>
      </w:sdtPr>
      <w:sdtEndPr>
        <w:rPr>
          <w:rFonts w:ascii="幼圆" w:eastAsia="幼圆" w:hAnsi="幼圆" w:cs="幼圆" w:hint="eastAsia"/>
          <w:color w:val="auto"/>
          <w:kern w:val="2"/>
          <w:sz w:val="21"/>
          <w:szCs w:val="21"/>
          <w:lang w:val="zh-CN"/>
        </w:rPr>
      </w:sdtEndPr>
      <w:sdtContent>
        <w:p>
          <w:pPr>
            <w:pStyle w:val="TOC2"/>
            <w:tabs>
              <w:tab w:val="right" w:leader="dot" w:pos="9061"/>
            </w:tabs>
            <w:rPr>
              <w:rFonts w:ascii="幼圆" w:eastAsia="幼圆" w:hAnsi="幼圆" w:cs="幼圆" w:hint="eastAsia"/>
              <w:kern w:val="2"/>
              <w:sz w:val="21"/>
            </w:rPr>
          </w:pPr>
          <w:hyperlink w:anchor="_Toc71309098" w:history="1">
            <w:r>
              <w:rPr>
                <w:rStyle w:val="Hyperlink"/>
                <w:rFonts w:ascii="幼圆" w:eastAsia="幼圆" w:hAnsi="幼圆" w:cs="幼圆" w:hint="eastAsia"/>
                <w:b/>
                <w:bCs/>
              </w:rPr>
              <w:t>(二)伊利集团内部控制信息披露的内容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_Toc71309098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099" w:history="1">
            <w:r>
              <w:rPr>
                <w:rStyle w:val="Hyperlink"/>
                <w:rFonts w:ascii="幼圆" w:eastAsia="幼圆" w:hAnsi="幼圆" w:cs="幼圆" w:hint="eastAsia"/>
              </w:rPr>
              <w:t>1.</w:t>
            </w:r>
            <w:r>
              <w:rPr>
                <w:rStyle w:val="Hyperlink"/>
                <w:rFonts w:ascii="幼圆" w:eastAsia="幼圆" w:hAnsi="幼圆" w:cs="幼圆" w:hint="eastAsia"/>
              </w:rPr>
              <w:t>控制评估区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_Toc71309099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0" w:history="1">
            <w:r>
              <w:rPr>
                <w:rStyle w:val="Hyperlink"/>
                <w:rFonts w:ascii="幼圆" w:eastAsia="幼圆" w:hAnsi="幼圆" w:cs="幼圆" w:hint="eastAsia"/>
              </w:rPr>
              <w:t>2.</w:t>
            </w:r>
            <w:r>
              <w:rPr>
                <w:rStyle w:val="Hyperlink"/>
                <w:rFonts w:ascii="幼圆" w:eastAsia="幼圆" w:hAnsi="幼圆" w:cs="幼圆" w:hint="eastAsia"/>
              </w:rPr>
              <w:t>如何识别内部控制的缺陷和恢复的特定情况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_Toc71309100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1" w:history="1">
            <w:r>
              <w:rPr>
                <w:rStyle w:val="Hyperlink"/>
                <w:rFonts w:ascii="幼圆" w:eastAsia="幼圆" w:hAnsi="幼圆" w:cs="幼圆" w:hint="eastAsia"/>
              </w:rPr>
              <w:t>3.</w:t>
            </w:r>
            <w:r>
              <w:rPr>
                <w:rStyle w:val="Hyperlink"/>
                <w:rFonts w:ascii="幼圆" w:eastAsia="幼圆" w:hAnsi="幼圆" w:cs="幼圆" w:hint="eastAsia"/>
              </w:rPr>
              <w:t>年度内部控制运作的状况以及来年的最佳方法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_Toc71309101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102" w:history="1">
            <w:r>
              <w:rPr>
                <w:rStyle w:val="Hyperlink"/>
                <w:rFonts w:ascii="幼圆" w:eastAsia="幼圆" w:hAnsi="幼圆" w:cs="幼圆" w:hint="eastAsia"/>
                <w:b/>
                <w:bCs/>
              </w:rPr>
              <w:t>(三)伊利集团内部控制信息披露存在的问题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_Toc71309102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3" w:history="1">
            <w:r>
              <w:rPr>
                <w:rStyle w:val="Hyperlink"/>
                <w:rFonts w:ascii="幼圆" w:eastAsia="幼圆" w:hAnsi="幼圆" w:cs="幼圆" w:hint="eastAsia"/>
              </w:rPr>
              <w:t>1.</w:t>
            </w:r>
            <w:r>
              <w:rPr>
                <w:rStyle w:val="Hyperlink"/>
                <w:rFonts w:ascii="幼圆" w:eastAsia="幼圆" w:hAnsi="幼圆" w:cs="幼圆" w:hint="eastAsia"/>
              </w:rPr>
              <w:t>自愿性披露水平较低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_Toc71309103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4" w:history="1">
            <w:r>
              <w:rPr>
                <w:rStyle w:val="Hyperlink"/>
                <w:rFonts w:ascii="幼圆" w:eastAsia="幼圆" w:hAnsi="幼圆" w:cs="幼圆" w:hint="eastAsia"/>
              </w:rPr>
              <w:t>2.</w:t>
            </w:r>
            <w:r>
              <w:rPr>
                <w:rStyle w:val="Hyperlink"/>
                <w:rFonts w:ascii="幼圆" w:eastAsia="幼圆" w:hAnsi="幼圆" w:cs="幼圆" w:hint="eastAsia"/>
              </w:rPr>
              <w:t>内部控制信息的公开效果不明显。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_Toc71309104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5" w:history="1">
            <w:r>
              <w:rPr>
                <w:rStyle w:val="Hyperlink"/>
                <w:rFonts w:ascii="幼圆" w:eastAsia="幼圆" w:hAnsi="幼圆" w:cs="幼圆" w:hint="eastAsia"/>
              </w:rPr>
              <w:t>3.</w:t>
            </w:r>
            <w:r>
              <w:rPr>
                <w:rStyle w:val="Hyperlink"/>
                <w:rFonts w:ascii="幼圆" w:eastAsia="幼圆" w:hAnsi="幼圆" w:cs="幼圆" w:hint="eastAsia"/>
              </w:rPr>
              <w:t>信息公开的责任主体不明确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_Toc71309105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6" w:history="1">
            <w:r>
              <w:rPr>
                <w:rStyle w:val="Hyperlink"/>
                <w:rFonts w:ascii="幼圆" w:eastAsia="幼圆" w:hAnsi="幼圆" w:cs="幼圆" w:hint="eastAsia"/>
              </w:rPr>
              <w:t>4.</w:t>
            </w:r>
            <w:r>
              <w:rPr>
                <w:rStyle w:val="Hyperlink"/>
                <w:rFonts w:ascii="幼圆" w:eastAsia="幼圆" w:hAnsi="幼圆" w:cs="幼圆" w:hint="eastAsia"/>
              </w:rPr>
              <w:t>缺乏有力的监督</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_Toc71309106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9061"/>
            </w:tabs>
            <w:rPr>
              <w:rFonts w:ascii="幼圆" w:eastAsia="幼圆" w:hAnsi="幼圆" w:cs="幼圆" w:hint="eastAsia"/>
              <w:kern w:val="2"/>
              <w:sz w:val="21"/>
            </w:rPr>
          </w:pPr>
          <w:hyperlink w:anchor="_Toc71309107" w:history="1">
            <w:r>
              <w:rPr>
                <w:rStyle w:val="Hyperlink"/>
                <w:rFonts w:ascii="幼圆" w:eastAsia="幼圆" w:hAnsi="幼圆" w:cs="幼圆" w:hint="eastAsia"/>
                <w:b/>
                <w:bCs/>
              </w:rPr>
              <w:t>（四）解决内部控制信息披露问题的对策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8" w:history="1">
            <w:r>
              <w:rPr>
                <w:rStyle w:val="Hyperlink"/>
                <w:rFonts w:ascii="幼圆" w:eastAsia="幼圆" w:hAnsi="幼圆" w:cs="幼圆" w:hint="eastAsia"/>
              </w:rPr>
              <w:t>1.</w:t>
            </w:r>
            <w:r>
              <w:rPr>
                <w:rStyle w:val="Hyperlink"/>
                <w:rFonts w:ascii="幼圆" w:eastAsia="幼圆" w:hAnsi="幼圆" w:cs="幼圆" w:hint="eastAsia"/>
              </w:rPr>
              <w:t>加强伊利集团内部控制信息披露的自愿性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_Toc71309108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09" w:history="1">
            <w:r>
              <w:rPr>
                <w:rStyle w:val="Hyperlink"/>
                <w:rFonts w:ascii="幼圆" w:eastAsia="幼圆" w:hAnsi="幼圆" w:cs="幼圆" w:hint="eastAsia"/>
              </w:rPr>
              <w:t xml:space="preserve">2. </w:t>
            </w:r>
            <w:r>
              <w:rPr>
                <w:rStyle w:val="Hyperlink"/>
                <w:rFonts w:ascii="幼圆" w:eastAsia="幼圆" w:hAnsi="幼圆" w:cs="幼圆" w:hint="eastAsia"/>
              </w:rPr>
              <w:t>强化内部控制信息公开的有效性，改善评价制度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_Toc71309109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10" w:history="1">
            <w:r>
              <w:rPr>
                <w:rStyle w:val="Hyperlink"/>
                <w:rFonts w:ascii="幼圆" w:eastAsia="幼圆" w:hAnsi="幼圆" w:cs="幼圆" w:hint="eastAsia"/>
              </w:rPr>
              <w:t>3.</w:t>
            </w:r>
            <w:r>
              <w:rPr>
                <w:rStyle w:val="Hyperlink"/>
                <w:rFonts w:ascii="幼圆" w:eastAsia="幼圆" w:hAnsi="幼圆" w:cs="幼圆" w:hint="eastAsia"/>
              </w:rPr>
              <w:t>内控公开的责任主体明确该项目的判断标准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_Toc71309110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061"/>
            </w:tabs>
            <w:rPr>
              <w:rFonts w:ascii="幼圆" w:eastAsia="幼圆" w:hAnsi="幼圆" w:cs="幼圆" w:hint="eastAsia"/>
              <w:kern w:val="2"/>
              <w:sz w:val="21"/>
            </w:rPr>
          </w:pPr>
          <w:hyperlink w:anchor="_Toc71309111" w:history="1">
            <w:r>
              <w:rPr>
                <w:rStyle w:val="Hyperlink"/>
                <w:rFonts w:ascii="幼圆" w:eastAsia="幼圆" w:hAnsi="幼圆" w:cs="幼圆" w:hint="eastAsia"/>
              </w:rPr>
              <w:t>4.</w:t>
            </w:r>
            <w:r>
              <w:rPr>
                <w:rStyle w:val="Hyperlink"/>
                <w:rFonts w:ascii="幼圆" w:eastAsia="幼圆" w:hAnsi="幼圆" w:cs="幼圆" w:hint="eastAsia"/>
              </w:rPr>
              <w:t>加强内部控制信息公开的法律监督</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_Toc71309111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112" w:history="1">
            <w:r>
              <w:rPr>
                <w:rStyle w:val="Hyperlink"/>
                <w:rFonts w:ascii="幼圆" w:eastAsia="幼圆" w:hAnsi="幼圆" w:cs="幼圆" w:hint="eastAsia"/>
                <w:b/>
                <w:bCs/>
              </w:rPr>
              <w:t>七、结论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_Toc71309112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rPr>
              <w:rFonts w:ascii="幼圆" w:eastAsia="幼圆" w:hAnsi="幼圆" w:cs="幼圆" w:hint="eastAsia"/>
              <w:color w:val="auto"/>
              <w:kern w:val="2"/>
              <w:sz w:val="21"/>
              <w:shd w:val="clear" w:color="auto" w:fill="auto"/>
            </w:rPr>
          </w:pPr>
          <w:hyperlink w:anchor="_Toc71309113" w:history="1">
            <w:r>
              <w:rPr>
                <w:rStyle w:val="Hyperlink"/>
                <w:rFonts w:ascii="幼圆" w:eastAsia="幼圆" w:hAnsi="幼圆" w:cs="幼圆" w:hint="eastAsia"/>
                <w:b/>
                <w:bCs/>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_Toc71309113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rPr>
              <w:rFonts w:ascii="幼圆" w:eastAsia="幼圆" w:hAnsi="幼圆" w:cs="幼圆" w:hint="eastAsia"/>
            </w:rPr>
          </w:pPr>
          <w:r>
            <w:rPr>
              <w:rFonts w:ascii="幼圆" w:eastAsia="幼圆" w:hAnsi="幼圆" w:cs="幼圆" w:hint="eastAsia"/>
              <w:b/>
              <w:bCs/>
              <w:lang w:val="zh-CN"/>
            </w:rPr>
            <w:fldChar w:fldCharType="end"/>
          </w:r>
        </w:p>
      </w:sdtContent>
    </w:sdt>
    <w:p>
      <w:pPr>
        <w:spacing w:before="312" w:beforeLines="100" w:after="312" w:afterLines="100"/>
        <w:rPr>
          <w:rFonts w:ascii="幼圆" w:eastAsia="幼圆" w:hAnsi="幼圆" w:cs="幼圆" w:hint="eastAsia"/>
          <w:b/>
          <w:sz w:val="32"/>
          <w:szCs w:val="32"/>
        </w:rPr>
        <w:sectPr>
          <w:footerReference w:type="first" r:id="rId6"/>
          <w:type w:val="nextPage"/>
          <w:pgSz w:w="11906" w:h="16838"/>
          <w:pgMar w:top="1701" w:right="1134" w:bottom="1418" w:left="1701" w:header="2665" w:footer="992" w:gutter="0"/>
          <w:pgNumType w:fmt="upperRoman" w:start="2"/>
          <w:cols w:num="1" w:space="425"/>
          <w:titlePg w:val="0"/>
          <w:docGrid w:type="lines" w:linePitch="312" w:charSpace="0"/>
        </w:sectPr>
      </w:pPr>
    </w:p>
    <w:p>
      <w:pPr>
        <w:spacing w:line="440" w:lineRule="exact"/>
        <w:outlineLvl w:val="0"/>
        <w:rPr>
          <w:rFonts w:ascii="幼圆" w:eastAsia="幼圆" w:hAnsi="幼圆" w:cs="幼圆" w:hint="eastAsia"/>
          <w:b/>
          <w:bCs/>
          <w:sz w:val="28"/>
          <w:szCs w:val="28"/>
        </w:rPr>
      </w:pPr>
      <w:bookmarkStart w:id="4" w:name="_Toc71309071"/>
      <w:bookmarkStart w:id="5" w:name="_Toc71223387"/>
      <w:r>
        <w:rPr>
          <w:rFonts w:ascii="幼圆" w:eastAsia="幼圆" w:hAnsi="幼圆" w:cs="幼圆" w:hint="eastAsia"/>
          <w:b/>
          <w:bCs/>
          <w:sz w:val="28"/>
          <w:szCs w:val="28"/>
        </w:rPr>
        <w:t>一、绪论</w:t>
      </w:r>
      <w:bookmarkEnd w:id="0"/>
      <w:bookmarkEnd w:id="1"/>
      <w:bookmarkEnd w:id="2"/>
      <w:bookmarkEnd w:id="4"/>
      <w:bookmarkEnd w:id="5"/>
    </w:p>
    <w:p>
      <w:pPr>
        <w:pStyle w:val="ListParagraph"/>
        <w:numPr>
          <w:ilvl w:val="0"/>
          <w:numId w:val="1"/>
        </w:numPr>
        <w:spacing w:line="440" w:lineRule="exact"/>
        <w:ind w:firstLineChars="0"/>
        <w:outlineLvl w:val="1"/>
        <w:rPr>
          <w:rFonts w:ascii="幼圆" w:eastAsia="幼圆" w:hAnsi="幼圆" w:cs="幼圆" w:hint="eastAsia"/>
          <w:b/>
          <w:bCs/>
          <w:kern w:val="0"/>
          <w:sz w:val="24"/>
          <w:szCs w:val="24"/>
        </w:rPr>
      </w:pPr>
      <w:bookmarkStart w:id="6" w:name="_Toc71223388"/>
      <w:hyperlink w:anchor="_Toc36578034" w:history="1">
        <w:bookmarkStart w:id="7" w:name="_Toc66650879"/>
        <w:bookmarkStart w:id="8" w:name="_Toc66651057"/>
        <w:bookmarkStart w:id="9" w:name="_Toc71309072"/>
        <w:bookmarkStart w:id="10" w:name="_Toc66995877"/>
        <w:r>
          <w:rPr>
            <w:rFonts w:ascii="幼圆" w:eastAsia="幼圆" w:hAnsi="幼圆" w:cs="幼圆" w:hint="eastAsia"/>
            <w:b/>
            <w:bCs/>
            <w:kern w:val="0"/>
            <w:sz w:val="24"/>
            <w:szCs w:val="24"/>
          </w:rPr>
          <w:t>选题背景</w:t>
        </w:r>
      </w:hyperlink>
      <w:r>
        <w:rPr>
          <w:rFonts w:ascii="幼圆" w:eastAsia="幼圆" w:hAnsi="幼圆" w:cs="幼圆" w:hint="eastAsia"/>
          <w:b/>
          <w:bCs/>
          <w:kern w:val="0"/>
          <w:sz w:val="24"/>
          <w:szCs w:val="24"/>
        </w:rPr>
        <w:t>和</w:t>
      </w:r>
      <w:hyperlink w:anchor="_Toc36578040" w:history="1">
        <w:r>
          <w:rPr>
            <w:rFonts w:ascii="幼圆" w:eastAsia="幼圆" w:hAnsi="幼圆" w:cs="幼圆" w:hint="eastAsia"/>
            <w:b/>
            <w:bCs/>
            <w:kern w:val="0"/>
            <w:sz w:val="24"/>
            <w:szCs w:val="24"/>
          </w:rPr>
          <w:t>选题意义</w:t>
        </w:r>
        <w:bookmarkEnd w:id="6"/>
        <w:bookmarkEnd w:id="7"/>
        <w:bookmarkEnd w:id="8"/>
        <w:bookmarkEnd w:id="9"/>
        <w:bookmarkEnd w:id="10"/>
      </w:hyperlink>
    </w:p>
    <w:p>
      <w:pPr>
        <w:spacing w:line="440" w:lineRule="exact"/>
        <w:ind w:firstLine="960" w:firstLineChars="400"/>
        <w:outlineLvl w:val="2"/>
        <w:rPr>
          <w:rFonts w:ascii="幼圆" w:eastAsia="幼圆" w:hAnsi="幼圆" w:cs="幼圆" w:hint="eastAsia"/>
          <w:kern w:val="0"/>
          <w:sz w:val="24"/>
          <w:szCs w:val="24"/>
        </w:rPr>
      </w:pPr>
      <w:bookmarkStart w:id="11" w:name="_Toc71223389"/>
      <w:bookmarkStart w:id="12" w:name="_Toc71309073"/>
      <w:r>
        <w:rPr>
          <w:rFonts w:ascii="幼圆" w:eastAsia="幼圆" w:hAnsi="幼圆" w:cs="幼圆" w:hint="eastAsia"/>
          <w:kern w:val="0"/>
          <w:sz w:val="24"/>
          <w:szCs w:val="24"/>
        </w:rPr>
        <w:t>1.</w:t>
      </w:r>
      <w:hyperlink w:anchor="_Toc36578034" w:history="1">
        <w:bookmarkStart w:id="13" w:name="_Toc66995878"/>
        <w:bookmarkStart w:id="14" w:name="_Toc66650880"/>
        <w:bookmarkStart w:id="15" w:name="_Toc66651058"/>
        <w:r>
          <w:rPr>
            <w:rFonts w:ascii="幼圆" w:eastAsia="幼圆" w:hAnsi="幼圆" w:cs="幼圆" w:hint="eastAsia"/>
            <w:kern w:val="0"/>
            <w:sz w:val="24"/>
            <w:szCs w:val="24"/>
          </w:rPr>
          <w:t>选题背景</w:t>
        </w:r>
        <w:bookmarkEnd w:id="11"/>
        <w:bookmarkEnd w:id="12"/>
        <w:bookmarkEnd w:id="13"/>
      </w:hyperlink>
      <w:bookmarkEnd w:id="14"/>
      <w:bookmarkEnd w:id="15"/>
    </w:p>
    <w:p>
      <w:pPr>
        <w:pStyle w:val="NormalWeb"/>
        <w:shd w:val="clear" w:color="auto" w:fill="FFFFFF"/>
        <w:spacing w:before="0" w:beforeAutospacing="0" w:after="0" w:afterAutospacing="0" w:line="440" w:lineRule="exact"/>
        <w:ind w:firstLine="480" w:firstLineChars="200"/>
        <w:rPr>
          <w:rFonts w:ascii="幼圆" w:eastAsia="幼圆" w:hAnsi="幼圆" w:cs="幼圆" w:hint="eastAsia"/>
          <w:kern w:val="2"/>
        </w:rPr>
      </w:pPr>
      <w:r>
        <w:rPr>
          <w:rFonts w:ascii="幼圆" w:eastAsia="幼圆" w:hAnsi="幼圆" w:cs="幼圆" w:hint="eastAsia"/>
        </w:rPr>
        <w:t>2018年12月，在中央经济会议上明确要求，“要打造一个有韧性的资本市场”。2019年3月，</w:t>
      </w:r>
      <w:r>
        <w:rPr>
          <w:rFonts w:ascii="幼圆" w:eastAsia="幼圆" w:hAnsi="幼圆" w:cs="幼圆" w:hint="eastAsia"/>
        </w:rPr>
        <w:t>在十三届全国人大会议上，李克强总理提出“改革和完善资本市场基本制度，促进多阶段资本市场健康稳定发展”。</w:t>
      </w:r>
      <w:r>
        <w:rPr>
          <w:rFonts w:ascii="幼圆" w:eastAsia="幼圆" w:hAnsi="幼圆" w:cs="幼圆" w:hint="eastAsia"/>
        </w:rPr>
        <w:t>2019年5月证券监督会 会长易会在上市公司协会召开会议时：“要向投资者提供透明、真实、合规的上市公司，提高了上市公司的品质。加强投资者 的合法权益保护”。那么要建立有韧性的资本主义市场需要上市公司和中介机构。监督部门为了达成各自的目标而努力。特别 是监督管理部门必须加强对上市公司的监督管理。我们保证持续、准确的监督管理，使上市公司的信息披露质量不断提高。促 使制作真正的账簿，提倡真实和真实，不搞虚假，拒绝蒙骗，杜绝违法行为。然而，随中国资金市场的迅速发展，会计舞弊和 会计舞弊现象层出不穷，暴露出上市企业内控的缺陷。 目前，SFC必须贯彻党中央、国务院政策决定的部署，坚持三个方面。其中之一是坚持法治化、市场化的方向。第二，坚持 “构建制度、不介入、零容忍”。第三，坚持“四种敬畏，一种力量”。完善常态化后退机制开拓多元退出渠道，提高上市公 司信息披露质量，追求更好的服务经济高品质发展。。 同时，证券监督会对上市公司的股东信息公开企业，敦促有效审查“该穿的衣服全部穿”。最近，多家企业撤回了材料 ，终止了IPO。其原因是证券监督会连续发表了关于加强上市公司审查的文件和规定。进一步打开审查的漏洞，让虚无缥缈、想 要突破的企业退休IPO的审查基准不变。但是，审查条件逐渐严格，随着上市标准的开放多元化，企业的资质确实在下降。现在 发货的速度变快了因此，信息公开的密度变强，投资等中介工作越来越复杂因此，企业调查升级后的股票渗透功能，向投资审 查员提供股权渗透报告书的</w:t>
      </w:r>
      <w:r>
        <w:rPr>
          <w:rFonts w:ascii="幼圆" w:eastAsia="幼圆" w:hAnsi="幼圆" w:cs="幼圆" w:hint="eastAsia"/>
          <w:kern w:val="2"/>
        </w:rPr>
        <w:t>参考,辅助提高工作效率。</w:t>
      </w:r>
    </w:p>
    <w:p>
      <w:pPr>
        <w:pStyle w:val="ListParagraph"/>
        <w:spacing w:line="440" w:lineRule="exact"/>
        <w:ind w:left="482" w:firstLine="0" w:firstLineChars="0"/>
        <w:outlineLvl w:val="2"/>
        <w:rPr>
          <w:rFonts w:ascii="幼圆" w:eastAsia="幼圆" w:hAnsi="幼圆" w:cs="幼圆" w:hint="eastAsia"/>
          <w:kern w:val="0"/>
          <w:sz w:val="24"/>
          <w:szCs w:val="24"/>
        </w:rPr>
      </w:pPr>
      <w:bookmarkStart w:id="16" w:name="_Toc71223390"/>
      <w:bookmarkStart w:id="17" w:name="_Toc71309074"/>
      <w:r>
        <w:rPr>
          <w:rFonts w:ascii="幼圆" w:eastAsia="幼圆" w:hAnsi="幼圆" w:cs="幼圆" w:hint="eastAsia"/>
          <w:kern w:val="0"/>
          <w:sz w:val="24"/>
          <w:szCs w:val="24"/>
        </w:rPr>
        <w:t>2.</w:t>
      </w:r>
      <w:hyperlink w:anchor="_Toc36578040" w:history="1">
        <w:bookmarkStart w:id="18" w:name="_Toc66995879"/>
        <w:bookmarkStart w:id="19" w:name="_Toc66651059"/>
        <w:bookmarkStart w:id="20" w:name="_Toc66650881"/>
        <w:r>
          <w:rPr>
            <w:rFonts w:ascii="幼圆" w:eastAsia="幼圆" w:hAnsi="幼圆" w:cs="幼圆" w:hint="eastAsia"/>
            <w:kern w:val="0"/>
            <w:sz w:val="24"/>
            <w:szCs w:val="24"/>
          </w:rPr>
          <w:t>选题意义</w:t>
        </w:r>
        <w:bookmarkEnd w:id="16"/>
        <w:bookmarkEnd w:id="17"/>
        <w:bookmarkEnd w:id="18"/>
        <w:bookmarkEnd w:id="19"/>
        <w:bookmarkEnd w:id="20"/>
      </w:hyperlink>
    </w:p>
    <w:p>
      <w:pPr>
        <w:widowControl w:val="0"/>
        <w:spacing w:line="440" w:lineRule="exact"/>
        <w:ind w:firstLine="480" w:firstLineChars="200"/>
        <w:jc w:val="both"/>
        <w:rPr>
          <w:rFonts w:ascii="幼圆" w:eastAsia="幼圆" w:hAnsi="幼圆" w:cs="幼圆" w:hint="eastAsia"/>
          <w:kern w:val="0"/>
          <w:sz w:val="24"/>
          <w:szCs w:val="24"/>
        </w:rPr>
        <w:sectPr>
          <w:footerReference w:type="default" r:id="rId7"/>
          <w:headerReference w:type="first" r:id="rId8"/>
          <w:footerReference w:type="first" r:id="rId9"/>
          <w:pgSz w:w="11906" w:h="16838"/>
          <w:pgMar w:top="1701" w:right="1134" w:bottom="1418" w:left="1701" w:header="2665" w:footer="992" w:gutter="0"/>
          <w:pgNumType w:start="1"/>
          <w:cols w:num="1" w:space="425"/>
          <w:titlePg/>
          <w:docGrid w:type="lines" w:linePitch="312" w:charSpace="0"/>
        </w:sectPr>
      </w:pPr>
      <w:bookmarkStart w:id="21" w:name="_Toc66650882"/>
      <w:bookmarkStart w:id="22" w:name="_Toc66995880"/>
      <w:bookmarkStart w:id="23" w:name="_Toc66651060"/>
      <w:r>
        <w:rPr>
          <w:rFonts w:ascii="幼圆" w:eastAsia="幼圆" w:hAnsi="幼圆" w:cs="幼圆" w:hint="eastAsia"/>
          <w:kern w:val="0"/>
          <w:sz w:val="24"/>
          <w:szCs w:val="24"/>
        </w:rPr>
        <w:t>自2002年萨乌斯法案公布以来，关于企业内部缺陷信息的公开问题受到了广泛关注。研究的内部控制问题也成为理论界的</w:t>
      </w:r>
      <w:r>
        <w:rPr>
          <w:rFonts w:ascii="幼圆" w:eastAsia="幼圆" w:hAnsi="幼圆" w:cs="幼圆" w:hint="eastAsia"/>
          <w:kern w:val="0"/>
          <w:sz w:val="24"/>
          <w:szCs w:val="24"/>
        </w:rPr>
        <w:t xml:space="preserve"> 研究热点之一。其中《Thebans——奥斯卡法案》第404条、第302条和第906条的公布、表示上市公司的内部控制信息开始纳入</w:t>
      </w:r>
    </w:p>
    <w:p>
      <w:pPr>
        <w:widowControl w:val="0"/>
        <w:spacing w:line="440" w:lineRule="exact"/>
        <w:ind w:firstLine="480" w:firstLineChars="200"/>
        <w:jc w:val="both"/>
        <w:rPr>
          <w:rFonts w:ascii="幼圆" w:eastAsia="幼圆" w:hAnsi="幼圆" w:cs="幼圆" w:hint="eastAsia"/>
          <w:kern w:val="0"/>
          <w:sz w:val="24"/>
          <w:szCs w:val="24"/>
        </w:rPr>
      </w:pPr>
      <w:r>
        <w:rPr>
          <w:rFonts w:ascii="幼圆" w:eastAsia="幼圆" w:hAnsi="幼圆" w:cs="幼圆" w:hint="eastAsia"/>
          <w:kern w:val="0"/>
          <w:sz w:val="24"/>
          <w:szCs w:val="24"/>
        </w:rPr>
        <w:t xml:space="preserve"> 强制性公开范围给予了严厉的法律责任。我国在那之后，2008年以后也导入了一定量的政策法规，保障了企业内部控制缺陷认</w:t>
      </w:r>
      <w:r>
        <w:rPr>
          <w:rFonts w:ascii="幼圆" w:eastAsia="幼圆" w:hAnsi="幼圆" w:cs="幼圆" w:hint="eastAsia"/>
          <w:kern w:val="0"/>
          <w:sz w:val="24"/>
          <w:szCs w:val="24"/>
        </w:rPr>
        <w:t xml:space="preserve"> 定基准的科学化、信息公开的效用化。现在，中国上市公司的内部控制系统存在很多问题。</w:t>
      </w:r>
      <w:r>
        <w:rPr>
          <w:rFonts w:ascii="幼圆" w:eastAsia="幼圆" w:hAnsi="幼圆" w:cs="幼圆" w:hint="eastAsia"/>
          <w:kern w:val="0"/>
          <w:sz w:val="24"/>
          <w:szCs w:val="24"/>
        </w:rPr>
        <w:t xml:space="preserve"> 内部控制缺陷的公开只是在形式上为了应对监管机构的要求,无法做到真和实，搞虚和假，蒙和骗，违法违规行为依然存在</w:t>
      </w:r>
      <w:r>
        <w:rPr>
          <w:rFonts w:ascii="幼圆" w:eastAsia="幼圆" w:hAnsi="幼圆" w:cs="幼圆" w:hint="eastAsia"/>
          <w:kern w:val="0"/>
          <w:sz w:val="24"/>
          <w:szCs w:val="24"/>
        </w:rPr>
        <w:t xml:space="preserve"> </w:t>
      </w:r>
      <w:r>
        <w:rPr>
          <w:rFonts w:ascii="幼圆" w:eastAsia="幼圆" w:hAnsi="幼圆" w:cs="幼圆" w:hint="eastAsia"/>
          <w:kern w:val="0"/>
          <w:sz w:val="24"/>
          <w:szCs w:val="24"/>
        </w:rPr>
        <w:t>，这就造成反映企业的实际内部控制情况非常困难。本本文通过分析企业内控信息识别和披露过程发现的各种问题，针对性的提出来了解决方法，为我国上市公司内部控制缺陷披露的研究提供了一些素材。</w:t>
      </w:r>
    </w:p>
    <w:p>
      <w:pPr>
        <w:pStyle w:val="ListParagraph"/>
        <w:widowControl w:val="0"/>
        <w:numPr>
          <w:ilvl w:val="0"/>
          <w:numId w:val="1"/>
        </w:numPr>
        <w:spacing w:line="440" w:lineRule="exact"/>
        <w:ind w:firstLineChars="0"/>
        <w:jc w:val="both"/>
        <w:outlineLvl w:val="1"/>
        <w:rPr>
          <w:rFonts w:ascii="幼圆" w:eastAsia="幼圆" w:hAnsi="幼圆" w:cs="幼圆" w:hint="eastAsia"/>
          <w:b/>
          <w:bCs/>
          <w:kern w:val="0"/>
          <w:sz w:val="24"/>
          <w:szCs w:val="24"/>
        </w:rPr>
      </w:pPr>
      <w:bookmarkStart w:id="24" w:name="_Toc71223391"/>
      <w:bookmarkStart w:id="25" w:name="_Toc71309075"/>
      <w:r>
        <w:rPr>
          <w:rFonts w:ascii="幼圆" w:eastAsia="幼圆" w:hAnsi="幼圆" w:cs="幼圆" w:hint="eastAsia"/>
          <w:b/>
          <w:bCs/>
          <w:kern w:val="0"/>
          <w:sz w:val="24"/>
          <w:szCs w:val="24"/>
        </w:rPr>
        <w:t>有关国内外研究成果综述</w:t>
      </w:r>
      <w:bookmarkEnd w:id="21"/>
      <w:bookmarkEnd w:id="22"/>
      <w:bookmarkEnd w:id="23"/>
      <w:bookmarkEnd w:id="24"/>
      <w:bookmarkEnd w:id="25"/>
    </w:p>
    <w:p>
      <w:pPr>
        <w:pStyle w:val="ListParagraph"/>
        <w:spacing w:line="480" w:lineRule="exact"/>
        <w:ind w:left="482" w:firstLine="0" w:firstLineChars="0"/>
        <w:outlineLvl w:val="2"/>
        <w:rPr>
          <w:rFonts w:ascii="幼圆" w:eastAsia="幼圆" w:hAnsi="幼圆" w:cs="幼圆" w:hint="eastAsia"/>
          <w:kern w:val="0"/>
          <w:sz w:val="24"/>
          <w:szCs w:val="24"/>
        </w:rPr>
      </w:pPr>
      <w:bookmarkStart w:id="26" w:name="_Toc66995881"/>
      <w:bookmarkStart w:id="27" w:name="_Toc66651061"/>
      <w:bookmarkStart w:id="28" w:name="_Toc66650883"/>
      <w:bookmarkStart w:id="29" w:name="_Toc71309076"/>
      <w:bookmarkStart w:id="30" w:name="_Toc71223392"/>
      <w:r>
        <w:rPr>
          <w:rFonts w:ascii="幼圆" w:eastAsia="幼圆" w:hAnsi="幼圆" w:cs="幼圆" w:hint="eastAsia"/>
          <w:kern w:val="0"/>
          <w:sz w:val="24"/>
          <w:szCs w:val="24"/>
        </w:rPr>
        <w:t>1.</w:t>
      </w:r>
      <w:bookmarkEnd w:id="26"/>
      <w:bookmarkEnd w:id="27"/>
      <w:bookmarkEnd w:id="28"/>
      <w:r>
        <w:rPr>
          <w:rFonts w:ascii="幼圆" w:eastAsia="幼圆" w:hAnsi="幼圆" w:cs="幼圆" w:hint="eastAsia"/>
          <w:kern w:val="0"/>
          <w:sz w:val="24"/>
          <w:szCs w:val="24"/>
        </w:rPr>
        <w:t>国外研究成果</w:t>
      </w:r>
      <w:bookmarkEnd w:id="29"/>
      <w:bookmarkEnd w:id="30"/>
    </w:p>
    <w:p>
      <w:pPr>
        <w:spacing w:line="440" w:lineRule="exact"/>
        <w:ind w:firstLine="480" w:firstLineChars="200"/>
        <w:rPr>
          <w:rFonts w:ascii="幼圆" w:eastAsia="幼圆" w:hAnsi="幼圆" w:cs="幼圆" w:hint="eastAsia"/>
          <w:sz w:val="24"/>
          <w:szCs w:val="24"/>
        </w:rPr>
      </w:pPr>
      <w:bookmarkStart w:id="31" w:name="_Toc66651062"/>
      <w:bookmarkStart w:id="32" w:name="_Toc66650884"/>
      <w:bookmarkStart w:id="33" w:name="_Toc66995882"/>
      <w:r>
        <w:rPr>
          <w:rFonts w:ascii="幼圆" w:eastAsia="幼圆" w:hAnsi="幼圆" w:cs="幼圆" w:hint="eastAsia"/>
          <w:sz w:val="24"/>
          <w:szCs w:val="24"/>
        </w:rPr>
        <w:t>国外对内部控制缺陷的界定比较统一与成熟,自从2002年SOX相关政策的推进，海外大部分的研究人员都在研究影响上市公司内部控制的因素。例如Kinney和McDaniel（1989）在进行上市公司的研究分析时，在财务报告中重复作为内部控制缺陷的代理变量。</w:t>
      </w:r>
    </w:p>
    <w:p>
      <w:pPr>
        <w:spacing w:line="48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国外研究人员主要从审计，企业，风险，经营成果各层面探讨内控的制约因素和识别标准。</w:t>
      </w:r>
      <w:r>
        <w:rPr>
          <w:rFonts w:ascii="幼圆" w:eastAsia="幼圆" w:hAnsi="幼圆" w:cs="幼圆" w:hint="eastAsia"/>
          <w:sz w:val="24"/>
          <w:szCs w:val="24"/>
        </w:rPr>
        <w:t>例如 ，Rose,Normanand Rose（2010）说明投资者对投资风险的重大内部控制缺陷的公开反应，是否调整MW扩散，以及重大缺陷的扩散。投资者确认内控的缺陷扩散，并利用信息评估投资风险。内控缺陷的扩散充分影响了投资者对风险的判断。Kim和 Matkin（2020）用了纽约州2019年县级市数据组来检验财务状况</w:t>
      </w:r>
      <w:r>
        <w:rPr>
          <w:rFonts w:ascii="幼圆" w:eastAsia="幼圆" w:hAnsi="幼圆" w:cs="幼圆" w:hint="eastAsia"/>
          <w:sz w:val="24"/>
          <w:szCs w:val="24"/>
        </w:rPr>
        <w:t>与</w:t>
      </w:r>
      <w:r>
        <w:rPr>
          <w:rFonts w:ascii="幼圆" w:eastAsia="幼圆" w:hAnsi="幼圆" w:cs="幼圆" w:hint="eastAsia"/>
          <w:sz w:val="24"/>
          <w:szCs w:val="24"/>
        </w:rPr>
        <w:t>内控缺陷的关系。结果表明，财务状况的越好，内控缺陷的发生率随之降低</w:t>
      </w:r>
      <w:r>
        <w:rPr>
          <w:rFonts w:ascii="幼圆" w:eastAsia="幼圆" w:hAnsi="幼圆" w:cs="幼圆" w:hint="eastAsia"/>
          <w:sz w:val="24"/>
          <w:szCs w:val="24"/>
        </w:rPr>
        <w:t>，</w:t>
      </w:r>
      <w:r>
        <w:rPr>
          <w:rFonts w:ascii="幼圆" w:eastAsia="幼圆" w:hAnsi="幼圆" w:cs="幼圆" w:hint="eastAsia"/>
          <w:sz w:val="24"/>
          <w:szCs w:val="24"/>
        </w:rPr>
        <w:t>同时内控缺陷的严重程度也随之降低。</w:t>
      </w:r>
    </w:p>
    <w:p>
      <w:pPr>
        <w:spacing w:line="48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在探究经济作用对内控缺陷信息披露的经济</w:t>
      </w:r>
      <w:r>
        <w:rPr>
          <w:rFonts w:ascii="幼圆" w:eastAsia="幼圆" w:hAnsi="幼圆" w:cs="幼圆" w:hint="eastAsia"/>
          <w:sz w:val="24"/>
          <w:szCs w:val="24"/>
        </w:rPr>
        <w:t>影响的</w:t>
      </w:r>
      <w:r>
        <w:rPr>
          <w:rFonts w:ascii="幼圆" w:eastAsia="幼圆" w:hAnsi="幼圆" w:cs="幼圆" w:hint="eastAsia"/>
          <w:sz w:val="24"/>
          <w:szCs w:val="24"/>
        </w:rPr>
        <w:t>过程中，外国学者</w:t>
      </w:r>
      <w:r>
        <w:rPr>
          <w:rFonts w:ascii="幼圆" w:eastAsia="幼圆" w:hAnsi="幼圆" w:cs="幼圆" w:hint="eastAsia"/>
          <w:sz w:val="24"/>
          <w:szCs w:val="24"/>
        </w:rPr>
        <w:t>通过</w:t>
      </w:r>
      <w:r>
        <w:rPr>
          <w:rFonts w:ascii="幼圆" w:eastAsia="幼圆" w:hAnsi="幼圆" w:cs="幼圆" w:hint="eastAsia"/>
          <w:sz w:val="24"/>
          <w:szCs w:val="24"/>
        </w:rPr>
        <w:t>对公司决策，股价，公司声誉等方面的影响进行了深入分析。例如，Hammersley等（2008）在</w:t>
      </w:r>
      <w:r>
        <w:rPr>
          <w:rFonts w:ascii="幼圆" w:eastAsia="幼圆" w:hAnsi="幼圆" w:cs="幼圆" w:hint="eastAsia"/>
          <w:sz w:val="24"/>
          <w:szCs w:val="24"/>
        </w:rPr>
        <w:t>研究时表明</w:t>
      </w:r>
      <w:r>
        <w:rPr>
          <w:rFonts w:ascii="幼圆" w:eastAsia="幼圆" w:hAnsi="幼圆" w:cs="幼圆" w:hint="eastAsia"/>
          <w:sz w:val="24"/>
          <w:szCs w:val="24"/>
        </w:rPr>
        <w:t>，公司把内控信息公开披露后</w:t>
      </w:r>
      <w:r>
        <w:rPr>
          <w:rFonts w:ascii="幼圆" w:eastAsia="幼圆" w:hAnsi="幼圆" w:cs="幼圆" w:hint="eastAsia"/>
          <w:sz w:val="24"/>
          <w:szCs w:val="24"/>
        </w:rPr>
        <w:t>，</w:t>
      </w:r>
      <w:r>
        <w:rPr>
          <w:rFonts w:ascii="幼圆" w:eastAsia="幼圆" w:hAnsi="幼圆" w:cs="幼圆" w:hint="eastAsia"/>
          <w:sz w:val="24"/>
          <w:szCs w:val="24"/>
        </w:rPr>
        <w:t>在市场的作用下</w:t>
      </w:r>
      <w:r>
        <w:rPr>
          <w:rFonts w:ascii="幼圆" w:eastAsia="幼圆" w:hAnsi="幼圆" w:cs="幼圆" w:hint="eastAsia"/>
          <w:sz w:val="24"/>
          <w:szCs w:val="24"/>
        </w:rPr>
        <w:t>，</w:t>
      </w:r>
      <w:r>
        <w:rPr>
          <w:rFonts w:ascii="幼圆" w:eastAsia="幼圆" w:hAnsi="幼圆" w:cs="幼圆" w:hint="eastAsia"/>
          <w:sz w:val="24"/>
          <w:szCs w:val="24"/>
        </w:rPr>
        <w:t>会对企业的声誉造成不利影响甚至会造成股价的下跌</w:t>
      </w:r>
      <w:r>
        <w:rPr>
          <w:rFonts w:ascii="幼圆" w:eastAsia="幼圆" w:hAnsi="幼圆" w:cs="幼圆" w:hint="eastAsia"/>
          <w:sz w:val="24"/>
          <w:szCs w:val="24"/>
        </w:rPr>
        <w:t>。</w:t>
      </w:r>
    </w:p>
    <w:bookmarkEnd w:id="31"/>
    <w:bookmarkEnd w:id="32"/>
    <w:bookmarkEnd w:id="33"/>
    <w:p>
      <w:pPr>
        <w:pStyle w:val="ListParagraph"/>
        <w:spacing w:line="480" w:lineRule="exact"/>
        <w:ind w:left="482" w:firstLine="0" w:firstLineChars="0"/>
        <w:outlineLvl w:val="2"/>
        <w:rPr>
          <w:rFonts w:ascii="幼圆" w:eastAsia="幼圆" w:hAnsi="幼圆" w:cs="幼圆" w:hint="eastAsia"/>
          <w:sz w:val="24"/>
          <w:szCs w:val="24"/>
        </w:rPr>
      </w:pPr>
      <w:bookmarkStart w:id="34" w:name="_Toc71035800"/>
      <w:bookmarkStart w:id="35" w:name="_Toc71223393"/>
      <w:bookmarkStart w:id="36" w:name="_Toc71309077"/>
      <w:r>
        <w:rPr>
          <w:rFonts w:ascii="幼圆" w:eastAsia="幼圆" w:hAnsi="幼圆" w:cs="幼圆" w:hint="eastAsia"/>
          <w:sz w:val="24"/>
          <w:szCs w:val="24"/>
        </w:rPr>
        <w:t>2.国内研究成果</w:t>
      </w:r>
      <w:bookmarkEnd w:id="34"/>
      <w:bookmarkEnd w:id="35"/>
      <w:bookmarkEnd w:id="36"/>
    </w:p>
    <w:p>
      <w:pPr>
        <w:spacing w:line="44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内部控制缺陷的界定由企业自身决定，导致内部控制缺陷认定标准不一致，无法形成统一意见。《企业内部控制审计指南</w:t>
      </w:r>
      <w:r>
        <w:rPr>
          <w:rFonts w:ascii="幼圆" w:eastAsia="幼圆" w:hAnsi="幼圆" w:cs="幼圆" w:hint="eastAsia"/>
          <w:sz w:val="24"/>
          <w:szCs w:val="24"/>
        </w:rPr>
        <w:t xml:space="preserve"> 》的出版促进了我国内部控制信息的披露，我国已进入内部控制信息强制披露阶段。由于自我评价报告中提到的内部控制缺失</w:t>
      </w:r>
      <w:r>
        <w:rPr>
          <w:rFonts w:ascii="幼圆" w:eastAsia="幼圆" w:hAnsi="幼圆" w:cs="幼圆" w:hint="eastAsia"/>
          <w:sz w:val="24"/>
          <w:szCs w:val="24"/>
        </w:rPr>
        <w:br/>
      </w:r>
      <w:r>
        <w:rPr>
          <w:rFonts w:ascii="幼圆" w:eastAsia="幼圆" w:hAnsi="幼圆" w:cs="幼圆" w:hint="eastAsia"/>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https://d.book118.com/188123021071006036</w:t>
        </w:r>
      </w:hyperlink>
    </w:p>
    <w:p>
      <w:pPr>
        <w:spacing w:line="440" w:lineRule="exact"/>
        <w:ind w:firstLine="480" w:firstLineChars="200"/>
        <w:rPr>
          <w:rFonts w:ascii="幼圆" w:eastAsia="幼圆" w:hAnsi="幼圆" w:cs="幼圆" w:hint="eastAsia"/>
          <w:sz w:val="24"/>
          <w:szCs w:val="24"/>
        </w:rPr>
      </w:pPr>
    </w:p>
    <w:sectPr>
      <w:footerReference w:type="default" r:id="rId11"/>
      <w:headerReference w:type="first" r:id="rId12"/>
      <w:footerReference w:type="first" r:id="rId13"/>
      <w:type w:val="nextPage"/>
      <w:pgSz w:w="11906" w:h="16838"/>
      <w:pgMar w:top="1701" w:right="1134" w:bottom="1418" w:left="1701" w:header="2665"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846136"/>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8614459"/>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871432"/>
      <w:docPartObj>
        <w:docPartGallery w:val="AutoText"/>
      </w:docPartObj>
    </w:sdtPr>
    <w:sdtContent>
      <w:p>
        <w:pPr>
          <w:jc w:val="center"/>
        </w:pPr>
        <w:r>
          <w:fldChar w:fldCharType="begin"/>
        </w:r>
        <w:r>
          <w:instrText>PAGE   \* MERGEFORMAT</w:instrText>
        </w:r>
        <w:r>
          <w:fldChar w:fldCharType="separate"/>
        </w:r>
        <w:r>
          <w:rPr>
            <w:lang w:val="zh-CN"/>
          </w:rPr>
          <w:t>20</w:t>
        </w:r>
        <w:r>
          <w:fldChar w:fldCharType="end"/>
        </w:r>
      </w:p>
    </w:sdtContent>
  </w:sdt>
  <w:p>
    <w:pPr>
      <w:pStyle w:val="Footer"/>
      <w:ind w:firstLine="360" w:firstLineChars="2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2264870"/>
      <w:docPartObj>
        <w:docPartGallery w:val="AutoText"/>
      </w:docPartObj>
    </w:sdtPr>
    <w:sdtContent>
      <w:sdt>
        <w:sdtPr>
          <w:id w:val="2104690769"/>
          <w:docPartObj>
            <w:docPartGallery w:val="AutoText"/>
          </w:docPartObj>
        </w:sdtPr>
        <w:sdtContent>
          <w:sdt>
            <w:sdtPr>
              <w:id w:val="1745525038"/>
              <w:docPartObj>
                <w:docPartGallery w:val="AutoText"/>
              </w:docPartObj>
            </w:sdtPr>
            <w:sdtContent>
              <w:p>
                <w:pPr>
                  <w:pStyle w:val="Footer"/>
                  <w:jc w:val="center"/>
                  <w:rPr>
                    <w:sz w:val="21"/>
                    <w:szCs w:val="21"/>
                  </w:rPr>
                </w:pPr>
                <w:r>
                  <w:t xml:space="preserve"> 第</w:t>
                </w:r>
                <w:r>
                  <w:fldChar w:fldCharType="begin"/>
                </w:r>
                <w:r>
                  <w:instrText>PAGE</w:instrText>
                </w:r>
                <w:r>
                  <w:fldChar w:fldCharType="separate"/>
                </w:r>
                <w:r>
                  <w:t>1</w:t>
                </w:r>
                <w:r>
                  <w:fldChar w:fldCharType="end"/>
                </w:r>
                <w:r>
                  <w:t>页共</w:t>
                </w:r>
                <w:r>
                  <w:fldChar w:fldCharType="begin"/>
                </w:r>
                <w:r>
                  <w:instrText>=28-4</w:instrText>
                </w:r>
                <w:r>
                  <w:fldChar w:fldCharType="separate"/>
                </w:r>
                <w:r>
                  <w:t>24</w:t>
                </w:r>
                <w:r>
                  <w:fldChar w:fldCharType="end"/>
                </w:r>
                <w:r>
                  <w:t>页</w:t>
                </w:r>
              </w:p>
            </w:sdtContent>
          </w:sdt>
          <w:p>
            <w:pPr>
              <w:pStyle w:val="Footer"/>
              <w:jc w:val="center"/>
            </w:pPr>
          </w:p>
        </w:sdtContent>
      </w:sdt>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7475811"/>
      <w:docPartObj>
        <w:docPartGallery w:val="AutoText"/>
      </w:docPartObj>
    </w:sdtPr>
    <w:sdtContent>
      <w:p>
        <w:pPr>
          <w:jc w:val="center"/>
        </w:pPr>
        <w:r>
          <w:fldChar w:fldCharType="begin"/>
        </w:r>
        <w:r>
          <w:instrText>PAGE   \* MERGEFORMAT</w:instrText>
        </w:r>
        <w:r>
          <w:fldChar w:fldCharType="separate"/>
        </w:r>
        <w:r>
          <w:rPr>
            <w:lang w:val="zh-CN"/>
          </w:rPr>
          <w:t>2</w:t>
        </w:r>
        <w:r>
          <w:fldChar w:fldCharType="end"/>
        </w:r>
      </w:p>
    </w:sdtContent>
  </w:sdt>
  <w:p>
    <w:pPr>
      <w:pStyle w:val="Footer"/>
      <w:ind w:firstLine="360" w:firstLineChars="20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2757218"/>
      <w:docPartObj>
        <w:docPartGallery w:val="AutoText"/>
      </w:docPartObj>
    </w:sdtPr>
    <w:sdtContent>
      <w:sdt>
        <w:sdtPr>
          <w:id w:val="463112783"/>
          <w:docPartObj>
            <w:docPartGallery w:val="AutoText"/>
          </w:docPartObj>
        </w:sdtPr>
        <w:sdtContent>
          <w:sdt>
            <w:sdtPr>
              <w:id w:val="126865175"/>
              <w:docPartObj>
                <w:docPartGallery w:val="AutoText"/>
              </w:docPartObj>
            </w:sdtPr>
            <w:sdtContent>
              <w:p>
                <w:pPr>
                  <w:pStyle w:val="Footer"/>
                  <w:jc w:val="center"/>
                  <w:rPr>
                    <w:sz w:val="21"/>
                    <w:szCs w:val="21"/>
                  </w:rPr>
                </w:pPr>
                <w:r>
                  <w:t xml:space="preserve"> 第</w:t>
                </w:r>
                <w:r>
                  <w:fldChar w:fldCharType="begin"/>
                </w:r>
                <w:r>
                  <w:instrText>PAGE</w:instrText>
                </w:r>
                <w:r>
                  <w:fldChar w:fldCharType="separate"/>
                </w:r>
                <w:r>
                  <w:t>1</w:t>
                </w:r>
                <w:r>
                  <w:fldChar w:fldCharType="end"/>
                </w:r>
                <w:r>
                  <w:t>页共</w:t>
                </w:r>
                <w:r>
                  <w:fldChar w:fldCharType="begin"/>
                </w:r>
                <w:r>
                  <w:instrText>=28-4</w:instrText>
                </w:r>
                <w:r>
                  <w:fldChar w:fldCharType="separate"/>
                </w:r>
                <w:r>
                  <w:t>24</w:t>
                </w:r>
                <w:r>
                  <w:fldChar w:fldCharType="end"/>
                </w:r>
                <w:r>
                  <w:t>页</w:t>
                </w:r>
              </w:p>
            </w:sdtContent>
          </w:sdt>
          <w:p>
            <w:pPr>
              <w:pStyle w:val="Footer"/>
              <w:jc w:val="center"/>
            </w:pPr>
          </w:p>
        </w:sdtContent>
      </w:sdt>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C78CF"/>
    <w:multiLevelType w:val="multilevel"/>
    <w:tmpl w:val="04EC78CF"/>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C68262D"/>
    <w:multiLevelType w:val="multilevel"/>
    <w:tmpl w:val="0C68262D"/>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7931EDA"/>
    <w:multiLevelType w:val="multilevel"/>
    <w:tmpl w:val="17931ED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6861660"/>
    <w:multiLevelType w:val="multilevel"/>
    <w:tmpl w:val="2686166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3C70E7E"/>
    <w:multiLevelType w:val="multilevel"/>
    <w:tmpl w:val="33C70E7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9EF1E55"/>
    <w:multiLevelType w:val="multilevel"/>
    <w:tmpl w:val="79EF1E55"/>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A3B"/>
    <w:rsid w:val="000138AC"/>
    <w:rsid w:val="00015CCD"/>
    <w:rsid w:val="00045BDA"/>
    <w:rsid w:val="00053399"/>
    <w:rsid w:val="000633C4"/>
    <w:rsid w:val="00080516"/>
    <w:rsid w:val="00090270"/>
    <w:rsid w:val="000937DE"/>
    <w:rsid w:val="000A03EF"/>
    <w:rsid w:val="000A0C63"/>
    <w:rsid w:val="000A487D"/>
    <w:rsid w:val="000C3826"/>
    <w:rsid w:val="000C5481"/>
    <w:rsid w:val="000D51E8"/>
    <w:rsid w:val="000E289B"/>
    <w:rsid w:val="000F11EB"/>
    <w:rsid w:val="00101DFD"/>
    <w:rsid w:val="00105C0A"/>
    <w:rsid w:val="00121485"/>
    <w:rsid w:val="00130FBA"/>
    <w:rsid w:val="00133352"/>
    <w:rsid w:val="0015217E"/>
    <w:rsid w:val="00160B94"/>
    <w:rsid w:val="001644DE"/>
    <w:rsid w:val="0016744B"/>
    <w:rsid w:val="00173625"/>
    <w:rsid w:val="00190568"/>
    <w:rsid w:val="0019375F"/>
    <w:rsid w:val="001A0CE3"/>
    <w:rsid w:val="001D1CDA"/>
    <w:rsid w:val="001D56A6"/>
    <w:rsid w:val="001E3B55"/>
    <w:rsid w:val="001F12EF"/>
    <w:rsid w:val="001F7E7E"/>
    <w:rsid w:val="002007AF"/>
    <w:rsid w:val="00201B5F"/>
    <w:rsid w:val="002069C2"/>
    <w:rsid w:val="00214F52"/>
    <w:rsid w:val="002438D7"/>
    <w:rsid w:val="0024426B"/>
    <w:rsid w:val="00250515"/>
    <w:rsid w:val="0025788A"/>
    <w:rsid w:val="00261BDC"/>
    <w:rsid w:val="00265E18"/>
    <w:rsid w:val="0028014B"/>
    <w:rsid w:val="002827BF"/>
    <w:rsid w:val="00291914"/>
    <w:rsid w:val="002933AB"/>
    <w:rsid w:val="0029501A"/>
    <w:rsid w:val="002B4A0D"/>
    <w:rsid w:val="002B7679"/>
    <w:rsid w:val="002C03A3"/>
    <w:rsid w:val="002C1030"/>
    <w:rsid w:val="002C56C9"/>
    <w:rsid w:val="002C6360"/>
    <w:rsid w:val="002E0419"/>
    <w:rsid w:val="002E35D5"/>
    <w:rsid w:val="002E5DF1"/>
    <w:rsid w:val="002E748C"/>
    <w:rsid w:val="00316537"/>
    <w:rsid w:val="00324C37"/>
    <w:rsid w:val="003366CA"/>
    <w:rsid w:val="00340803"/>
    <w:rsid w:val="003577DB"/>
    <w:rsid w:val="003661AA"/>
    <w:rsid w:val="003775C2"/>
    <w:rsid w:val="0038227F"/>
    <w:rsid w:val="003B174E"/>
    <w:rsid w:val="003C364E"/>
    <w:rsid w:val="003C3B72"/>
    <w:rsid w:val="003D1CF9"/>
    <w:rsid w:val="003E0AEA"/>
    <w:rsid w:val="003E5CAD"/>
    <w:rsid w:val="003F02EE"/>
    <w:rsid w:val="004025FC"/>
    <w:rsid w:val="00417222"/>
    <w:rsid w:val="00425856"/>
    <w:rsid w:val="004426C6"/>
    <w:rsid w:val="00445A3B"/>
    <w:rsid w:val="004465F4"/>
    <w:rsid w:val="0046580C"/>
    <w:rsid w:val="00493283"/>
    <w:rsid w:val="004A66CE"/>
    <w:rsid w:val="004B2105"/>
    <w:rsid w:val="004D5A57"/>
    <w:rsid w:val="004E648E"/>
    <w:rsid w:val="004F271C"/>
    <w:rsid w:val="004F3837"/>
    <w:rsid w:val="00500F89"/>
    <w:rsid w:val="0051755A"/>
    <w:rsid w:val="00537AF6"/>
    <w:rsid w:val="00542A36"/>
    <w:rsid w:val="0054595B"/>
    <w:rsid w:val="0054667F"/>
    <w:rsid w:val="00560D7B"/>
    <w:rsid w:val="00566E5C"/>
    <w:rsid w:val="00571032"/>
    <w:rsid w:val="00572E0A"/>
    <w:rsid w:val="00587550"/>
    <w:rsid w:val="00597654"/>
    <w:rsid w:val="005A3834"/>
    <w:rsid w:val="00600B9F"/>
    <w:rsid w:val="00601F8E"/>
    <w:rsid w:val="00602983"/>
    <w:rsid w:val="0060607F"/>
    <w:rsid w:val="00611373"/>
    <w:rsid w:val="00621EC0"/>
    <w:rsid w:val="00627BD4"/>
    <w:rsid w:val="006326A4"/>
    <w:rsid w:val="00642B66"/>
    <w:rsid w:val="00657CD1"/>
    <w:rsid w:val="006607E7"/>
    <w:rsid w:val="00677E66"/>
    <w:rsid w:val="00682769"/>
    <w:rsid w:val="00691EBA"/>
    <w:rsid w:val="006B4B40"/>
    <w:rsid w:val="006D32A1"/>
    <w:rsid w:val="0071054D"/>
    <w:rsid w:val="0071384F"/>
    <w:rsid w:val="00722147"/>
    <w:rsid w:val="00723758"/>
    <w:rsid w:val="007332F4"/>
    <w:rsid w:val="0074418C"/>
    <w:rsid w:val="00753BA9"/>
    <w:rsid w:val="007574D8"/>
    <w:rsid w:val="0079016F"/>
    <w:rsid w:val="007B3A35"/>
    <w:rsid w:val="007C2FB5"/>
    <w:rsid w:val="007D4628"/>
    <w:rsid w:val="007D6D3B"/>
    <w:rsid w:val="007F5C00"/>
    <w:rsid w:val="00812A71"/>
    <w:rsid w:val="0081553B"/>
    <w:rsid w:val="00827CCA"/>
    <w:rsid w:val="008402A3"/>
    <w:rsid w:val="00855B14"/>
    <w:rsid w:val="0087553F"/>
    <w:rsid w:val="008810CA"/>
    <w:rsid w:val="008B26FC"/>
    <w:rsid w:val="008E0E55"/>
    <w:rsid w:val="008F0754"/>
    <w:rsid w:val="00903F81"/>
    <w:rsid w:val="00906559"/>
    <w:rsid w:val="0092347D"/>
    <w:rsid w:val="009235F0"/>
    <w:rsid w:val="00933AFC"/>
    <w:rsid w:val="009420F8"/>
    <w:rsid w:val="00946DBA"/>
    <w:rsid w:val="00961BA8"/>
    <w:rsid w:val="00984230"/>
    <w:rsid w:val="00987B2A"/>
    <w:rsid w:val="0099628F"/>
    <w:rsid w:val="009A5BBB"/>
    <w:rsid w:val="009A7707"/>
    <w:rsid w:val="009B60AB"/>
    <w:rsid w:val="009C0653"/>
    <w:rsid w:val="009C7EFE"/>
    <w:rsid w:val="009D2CCB"/>
    <w:rsid w:val="009D61A4"/>
    <w:rsid w:val="009E1F73"/>
    <w:rsid w:val="009E2F39"/>
    <w:rsid w:val="009E5FDD"/>
    <w:rsid w:val="009F65C4"/>
    <w:rsid w:val="00A001F3"/>
    <w:rsid w:val="00A05322"/>
    <w:rsid w:val="00A064F4"/>
    <w:rsid w:val="00A362B3"/>
    <w:rsid w:val="00A37D48"/>
    <w:rsid w:val="00A56880"/>
    <w:rsid w:val="00AA0A12"/>
    <w:rsid w:val="00AB2F56"/>
    <w:rsid w:val="00AC74C3"/>
    <w:rsid w:val="00AC7D2F"/>
    <w:rsid w:val="00AF66EE"/>
    <w:rsid w:val="00B048E6"/>
    <w:rsid w:val="00B14032"/>
    <w:rsid w:val="00B34B79"/>
    <w:rsid w:val="00B36B23"/>
    <w:rsid w:val="00B47711"/>
    <w:rsid w:val="00B55D87"/>
    <w:rsid w:val="00B62AA7"/>
    <w:rsid w:val="00B63FB6"/>
    <w:rsid w:val="00B74FC3"/>
    <w:rsid w:val="00B82472"/>
    <w:rsid w:val="00B91D2E"/>
    <w:rsid w:val="00B923E4"/>
    <w:rsid w:val="00BA437D"/>
    <w:rsid w:val="00BB1DAC"/>
    <w:rsid w:val="00BB6B11"/>
    <w:rsid w:val="00BC18BD"/>
    <w:rsid w:val="00BC35A3"/>
    <w:rsid w:val="00BC5574"/>
    <w:rsid w:val="00BD2856"/>
    <w:rsid w:val="00BD2BD5"/>
    <w:rsid w:val="00BD6168"/>
    <w:rsid w:val="00BE1352"/>
    <w:rsid w:val="00C12118"/>
    <w:rsid w:val="00C17B2D"/>
    <w:rsid w:val="00C2728E"/>
    <w:rsid w:val="00C3123F"/>
    <w:rsid w:val="00C61981"/>
    <w:rsid w:val="00C663D3"/>
    <w:rsid w:val="00C84AAE"/>
    <w:rsid w:val="00CA03DA"/>
    <w:rsid w:val="00CB1C5C"/>
    <w:rsid w:val="00CC0558"/>
    <w:rsid w:val="00CC3314"/>
    <w:rsid w:val="00CD6AF6"/>
    <w:rsid w:val="00CE273E"/>
    <w:rsid w:val="00CE2DDE"/>
    <w:rsid w:val="00CF135A"/>
    <w:rsid w:val="00CF6437"/>
    <w:rsid w:val="00CF7296"/>
    <w:rsid w:val="00D16295"/>
    <w:rsid w:val="00D1761F"/>
    <w:rsid w:val="00D235BD"/>
    <w:rsid w:val="00D32D52"/>
    <w:rsid w:val="00D34FAD"/>
    <w:rsid w:val="00D67CB5"/>
    <w:rsid w:val="00D67DC0"/>
    <w:rsid w:val="00D72FD6"/>
    <w:rsid w:val="00D73CF3"/>
    <w:rsid w:val="00D90548"/>
    <w:rsid w:val="00D979BF"/>
    <w:rsid w:val="00DA0CE5"/>
    <w:rsid w:val="00DB2F82"/>
    <w:rsid w:val="00DB4D7D"/>
    <w:rsid w:val="00DB58DB"/>
    <w:rsid w:val="00DB5939"/>
    <w:rsid w:val="00DC133E"/>
    <w:rsid w:val="00DC442D"/>
    <w:rsid w:val="00DD06DE"/>
    <w:rsid w:val="00DE4E69"/>
    <w:rsid w:val="00DF0E33"/>
    <w:rsid w:val="00E03666"/>
    <w:rsid w:val="00E07A84"/>
    <w:rsid w:val="00E11A97"/>
    <w:rsid w:val="00E170BE"/>
    <w:rsid w:val="00E20A8D"/>
    <w:rsid w:val="00E25AB3"/>
    <w:rsid w:val="00E2676E"/>
    <w:rsid w:val="00E571B4"/>
    <w:rsid w:val="00E57702"/>
    <w:rsid w:val="00E6745D"/>
    <w:rsid w:val="00E730EC"/>
    <w:rsid w:val="00E775A2"/>
    <w:rsid w:val="00E841F8"/>
    <w:rsid w:val="00E9053B"/>
    <w:rsid w:val="00EB65FF"/>
    <w:rsid w:val="00ED0514"/>
    <w:rsid w:val="00ED5F0B"/>
    <w:rsid w:val="00F05DD3"/>
    <w:rsid w:val="00F102CA"/>
    <w:rsid w:val="00F25CC1"/>
    <w:rsid w:val="00F41DE8"/>
    <w:rsid w:val="00F426A7"/>
    <w:rsid w:val="00F52800"/>
    <w:rsid w:val="00F550B8"/>
    <w:rsid w:val="00F62010"/>
    <w:rsid w:val="00F66BE8"/>
    <w:rsid w:val="00F81CAA"/>
    <w:rsid w:val="00F95802"/>
    <w:rsid w:val="00FB0345"/>
    <w:rsid w:val="00FD0A1F"/>
    <w:rsid w:val="00FD45BB"/>
    <w:rsid w:val="04495734"/>
    <w:rsid w:val="05840805"/>
    <w:rsid w:val="2D586B2E"/>
    <w:rsid w:val="519745DB"/>
    <w:rsid w:val="5F271AD1"/>
    <w:rsid w:val="6A305A97"/>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autoRedefine/>
    <w:uiPriority w:val="99"/>
    <w:qFormat/>
    <w:pPr>
      <w:keepNext/>
      <w:jc w:val="center"/>
      <w:outlineLvl w:val="1"/>
    </w:pPr>
    <w:rPr>
      <w:sz w:val="32"/>
      <w:szCs w:val="32"/>
    </w:rPr>
  </w:style>
  <w:style w:type="paragraph" w:styleId="Heading3">
    <w:name w:val="heading 3"/>
    <w:basedOn w:val="Normal"/>
    <w:next w:val="Normal"/>
    <w:link w:val="3Char"/>
    <w:uiPriority w:val="9"/>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Indent">
    <w:name w:val="Body Text Indent"/>
    <w:basedOn w:val="Normal"/>
    <w:link w:val="Char0"/>
    <w:uiPriority w:val="99"/>
    <w:unhideWhenUsed/>
    <w:qFormat/>
    <w:pPr>
      <w:spacing w:before="100" w:beforeAutospacing="1" w:after="120"/>
      <w:ind w:left="420" w:leftChars="200"/>
    </w:pPr>
  </w:style>
  <w:style w:type="paragraph" w:styleId="TOC3">
    <w:name w:val="toc 3"/>
    <w:basedOn w:val="Normal"/>
    <w:next w:val="Normal"/>
    <w:autoRedefine/>
    <w:uiPriority w:val="39"/>
    <w:unhideWhenUsed/>
    <w:qFormat/>
    <w:pPr>
      <w:spacing w:after="100" w:line="276" w:lineRule="auto"/>
      <w:ind w:left="440"/>
    </w:pPr>
    <w:rPr>
      <w:rFonts w:asciiTheme="minorHAnsi" w:eastAsiaTheme="minorEastAsia" w:hAnsiTheme="minorHAnsi" w:cstheme="minorBidi"/>
      <w:kern w:val="0"/>
      <w:sz w:val="22"/>
      <w:szCs w:val="22"/>
    </w:rPr>
  </w:style>
  <w:style w:type="paragraph" w:styleId="BalloonText">
    <w:name w:val="Balloon Text"/>
    <w:basedOn w:val="Normal"/>
    <w:link w:val="Char"/>
    <w:autoRedefine/>
    <w:uiPriority w:val="99"/>
    <w:semiHidden/>
    <w:unhideWhenUsed/>
    <w:qFormat/>
    <w:rPr>
      <w:sz w:val="18"/>
      <w:szCs w:val="18"/>
    </w:rPr>
  </w:style>
  <w:style w:type="paragraph" w:styleId="Footer">
    <w:name w:val="footer"/>
    <w:basedOn w:val="Normal"/>
    <w:link w:val="Char2"/>
    <w:autoRedefine/>
    <w:uiPriority w:val="99"/>
    <w:unhideWhenUsed/>
    <w:qFormat/>
    <w:pPr>
      <w:tabs>
        <w:tab w:val="center" w:pos="4153"/>
        <w:tab w:val="right" w:pos="8306"/>
      </w:tabs>
      <w:snapToGrid w:val="0"/>
    </w:pPr>
    <w:rPr>
      <w:sz w:val="18"/>
      <w:szCs w:val="18"/>
    </w:rPr>
  </w:style>
  <w:style w:type="paragraph" w:styleId="Header">
    <w:name w:val="header"/>
    <w:basedOn w:val="Normal"/>
    <w:link w:val="Char1"/>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spacing w:after="100" w:line="276" w:lineRule="auto"/>
    </w:pPr>
    <w:rPr>
      <w:rFonts w:ascii="黑体" w:eastAsia="黑体" w:hAnsi="黑体" w:cstheme="minorBidi"/>
      <w:color w:val="000000" w:themeColor="text1"/>
      <w:kern w:val="0"/>
      <w:sz w:val="22"/>
      <w:szCs w:val="22"/>
      <w:shd w:val="pct10" w:color="auto" w:fill="FFFFFF"/>
      <w14:textFill>
        <w14:solidFill>
          <w14:schemeClr w14:val="tx1"/>
        </w14:solidFill>
      </w14:textFill>
    </w:rPr>
  </w:style>
  <w:style w:type="paragraph" w:styleId="TOC2">
    <w:name w:val="toc 2"/>
    <w:basedOn w:val="Normal"/>
    <w:next w:val="Normal"/>
    <w:autoRedefine/>
    <w:uiPriority w:val="39"/>
    <w:unhideWhenUsed/>
    <w:qFormat/>
    <w:pPr>
      <w:spacing w:after="100" w:line="276" w:lineRule="auto"/>
      <w:ind w:left="220"/>
    </w:pPr>
    <w:rPr>
      <w:rFonts w:asciiTheme="minorHAnsi" w:eastAsiaTheme="minorEastAsia" w:hAnsiTheme="minorHAnsi" w:cstheme="minorBidi"/>
      <w:kern w:val="0"/>
      <w:sz w:val="22"/>
      <w:szCs w:val="22"/>
    </w:rPr>
  </w:style>
  <w:style w:type="paragraph" w:styleId="NormalWeb">
    <w:name w:val="Normal (Web)"/>
    <w:basedOn w:val="Normal"/>
    <w:autoRedefine/>
    <w:uiPriority w:val="99"/>
    <w:unhideWhenUsed/>
    <w:qFormat/>
    <w:pPr>
      <w:spacing w:before="100" w:beforeAutospacing="1" w:after="100" w:afterAutospacing="1"/>
    </w:pPr>
    <w:rPr>
      <w:rFonts w:ascii="宋体" w:hAnsi="宋体" w:cs="宋体"/>
      <w:kern w:val="0"/>
      <w:sz w:val="24"/>
      <w:szCs w:val="24"/>
    </w:rPr>
  </w:style>
  <w:style w:type="table" w:styleId="LightShading">
    <w:name w:val="Light Shading"/>
    <w:basedOn w:val="TableNormal"/>
    <w:autoRedefine/>
    <w:uiPriority w:val="60"/>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1">
    <w:name w:val="Light Shading Accent 1"/>
    <w:basedOn w:val="TableNormal"/>
    <w:autoRedefine/>
    <w:uiPriority w:val="60"/>
    <w:rPr>
      <w:color w:val="376092" w:themeColor="accent1" w:themeShade="BF"/>
    </w:rPr>
    <w:tblPr>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basedOn w:val="DefaultParagraphFont"/>
    <w:autoRedefine/>
    <w:uiPriority w:val="99"/>
    <w:unhideWhenUsed/>
    <w:qFormat/>
    <w:rPr>
      <w:sz w:val="21"/>
      <w:szCs w:val="21"/>
    </w:rPr>
  </w:style>
  <w:style w:type="character" w:customStyle="1" w:styleId="Char">
    <w:name w:val="批注框文本 Char"/>
    <w:basedOn w:val="DefaultParagraphFont"/>
    <w:link w:val="BalloonText"/>
    <w:uiPriority w:val="99"/>
    <w:semiHidden/>
    <w:qFormat/>
    <w:rPr>
      <w:rFonts w:ascii="Times New Roman" w:eastAsia="宋体" w:hAnsi="Times New Roman" w:cs="Times New Roman"/>
      <w:sz w:val="18"/>
      <w:szCs w:val="18"/>
    </w:rPr>
  </w:style>
  <w:style w:type="character" w:customStyle="1" w:styleId="2Char">
    <w:name w:val="标题 2 Char"/>
    <w:basedOn w:val="DefaultParagraphFont"/>
    <w:link w:val="Heading2"/>
    <w:autoRedefine/>
    <w:uiPriority w:val="99"/>
    <w:qFormat/>
    <w:rPr>
      <w:rFonts w:ascii="Times New Roman" w:eastAsia="宋体" w:hAnsi="Times New Roman" w:cs="Times New Roman"/>
      <w:sz w:val="32"/>
      <w:szCs w:val="32"/>
    </w:rPr>
  </w:style>
  <w:style w:type="character" w:customStyle="1" w:styleId="Char0">
    <w:name w:val="正文文本缩进 Char"/>
    <w:basedOn w:val="DefaultParagraphFont"/>
    <w:link w:val="BodyTextIndent"/>
    <w:uiPriority w:val="99"/>
    <w:qFormat/>
    <w:rPr>
      <w:rFonts w:ascii="Times New Roman" w:eastAsia="宋体" w:hAnsi="Times New Roman" w:cs="Times New Roman"/>
      <w:szCs w:val="21"/>
    </w:rPr>
  </w:style>
  <w:style w:type="character" w:customStyle="1" w:styleId="3Char">
    <w:name w:val="标题 3 Char"/>
    <w:basedOn w:val="DefaultParagraphFont"/>
    <w:link w:val="Heading3"/>
    <w:uiPriority w:val="9"/>
    <w:qFormat/>
    <w:rPr>
      <w:rFonts w:ascii="Times New Roman" w:eastAsia="宋体" w:hAnsi="Times New Roman" w:cs="Times New Roman"/>
      <w:b/>
      <w:bCs/>
      <w:sz w:val="32"/>
      <w:szCs w:val="32"/>
    </w:rPr>
  </w:style>
  <w:style w:type="paragraph" w:styleId="ListParagraph">
    <w:name w:val="List Paragraph"/>
    <w:basedOn w:val="Normal"/>
    <w:autoRedefine/>
    <w:uiPriority w:val="34"/>
    <w:qFormat/>
    <w:pPr>
      <w:ind w:firstLine="420" w:firstLineChars="200"/>
    </w:p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paragraph" w:customStyle="1" w:styleId="TOC10">
    <w:name w:val="TOC 标题1"/>
    <w:basedOn w:val="Heading1"/>
    <w:next w:val="Normal"/>
    <w:autoRedefine/>
    <w:uiPriority w:val="39"/>
    <w:unhideWhenUsed/>
    <w:qFormat/>
    <w:pPr>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 w:type="paragraph" w:customStyle="1" w:styleId="one-p">
    <w:name w:val="one-p"/>
    <w:basedOn w:val="Normal"/>
    <w:autoRedefine/>
    <w:qFormat/>
    <w:pPr>
      <w:spacing w:before="100" w:beforeAutospacing="1" w:after="100" w:afterAutospacing="1"/>
    </w:pPr>
    <w:rPr>
      <w:rFonts w:ascii="宋体" w:hAnsi="宋体" w:cs="宋体"/>
      <w:kern w:val="0"/>
      <w:sz w:val="24"/>
      <w:szCs w:val="24"/>
    </w:rPr>
  </w:style>
  <w:style w:type="character" w:customStyle="1" w:styleId="Char1">
    <w:name w:val="页眉 Char"/>
    <w:basedOn w:val="DefaultParagraphFont"/>
    <w:link w:val="Header"/>
    <w:autoRedefine/>
    <w:rPr>
      <w:rFonts w:ascii="Times New Roman" w:eastAsia="宋体" w:hAnsi="Times New Roman" w:cs="Times New Roman"/>
      <w:kern w:val="2"/>
      <w:sz w:val="18"/>
      <w:szCs w:val="18"/>
    </w:rPr>
  </w:style>
  <w:style w:type="character" w:customStyle="1" w:styleId="Char2">
    <w:name w:val="页脚 Char"/>
    <w:basedOn w:val="DefaultParagraphFont"/>
    <w:link w:val="Footer"/>
    <w:autoRedefine/>
    <w:uiPriority w:val="99"/>
    <w:qFormat/>
    <w:rPr>
      <w:rFonts w:ascii="Times New Roman" w:eastAsia="宋体" w:hAnsi="Times New Roman" w:cs="Times New Roman"/>
      <w:kern w:val="2"/>
      <w:sz w:val="18"/>
      <w:szCs w:val="18"/>
    </w:rPr>
  </w:style>
  <w:style w:type="paragraph" w:customStyle="1" w:styleId="TOC20">
    <w:name w:val="TOC 标题2"/>
    <w:basedOn w:val="Heading1"/>
    <w:next w:val="Normal"/>
    <w:uiPriority w:val="39"/>
    <w:semiHidden/>
    <w:unhideWhenUsed/>
    <w:qFormat/>
    <w:pPr>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 w:type="paragraph" w:customStyle="1" w:styleId="TOCHeading">
    <w:name w:val="TOC Heading"/>
    <w:basedOn w:val="Heading1"/>
    <w:next w:val="Normal"/>
    <w:autoRedefine/>
    <w:uiPriority w:val="39"/>
    <w:semiHidden/>
    <w:unhideWhenUsed/>
    <w:qFormat/>
    <w:pPr>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88123021071006036" TargetMode="External" /><Relationship Id="rId11" Type="http://schemas.openxmlformats.org/officeDocument/2006/relationships/footer" Target="footer5.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header" Target="header1.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EB980-E03D-4436-9ADD-72A612F4C2A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3297</Words>
  <Characters>18797</Characters>
  <Application>Microsoft Office Word</Application>
  <DocSecurity>0</DocSecurity>
  <Lines>156</Lines>
  <Paragraphs>44</Paragraphs>
  <ScaleCrop>false</ScaleCrop>
  <Company/>
  <LinksUpToDate>false</LinksUpToDate>
  <CharactersWithSpaces>22050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ABEEL</cp:lastModifiedBy>
  <cp:revision>93</cp:revision>
  <cp:lastPrinted>2021-03-19T15:27:00Z</cp:lastPrinted>
  <dcterms:created xsi:type="dcterms:W3CDTF">2021-01-16T08:27:00Z</dcterms:created>
  <dcterms:modified xsi:type="dcterms:W3CDTF">2024-02-18T11:45:01Z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61DC6AE53C4E4FCAB84299A628F34951_13</vt:lpwstr>
  </property>
  <property fmtid="{D5CDD505-2E9C-101B-9397-08002B2CF9AE}" pid="3" name="KSOProductBuildVer">
    <vt:lpwstr>2052-12.1.0.16388</vt:lpwstr>
  </property>
</Properties>
</file>