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1A28509"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2D65CD8"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A5526B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FBB8B28" w14:textId="77777777">
                          <w:pPr>
                            <w:pStyle w:val="NoSpacing"/>
                            <w:jc w:val="right"/>
                            <w:rPr>
                              <w:color w:val="595959" w:themeColor="text1" w:themeTint="A6"/>
                              <w:sz w:val="32"/>
                              <w:szCs w:val="32"/>
                            </w:rPr>
                          </w:pPr>
                          <w:sdt>
                            <w:sdtPr>
                              <w:rPr>
                                <w:color w:val="595959" w:themeColor="text1" w:themeTint="A6"/>
                                <w:sz w:val="32"/>
                                <w:szCs w:val="32"/>
                              </w:rPr>
                              <w:alias w:val="摘要"/>
                              <w:id w:val="146486367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61900927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124F1B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159FCA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74870096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26155E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4B4BB9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48E3F9E"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02B521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8F9E17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54BCEF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85023D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57CDFE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2A67C1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7F3F3D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4DD9B3B"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498D50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631B9B9"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CAEC6EB"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81227F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B94460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24EB0A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FDC3FD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F8A5CB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A13E67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87D6B8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E92DD0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53841619"/>
        <w:docPartObj>
          <w:docPartGallery w:val="Table of Contents"/>
          <w:docPartUnique/>
        </w:docPartObj>
      </w:sdtPr>
      <w:sdtEndPr>
        <w:rPr>
          <w:b/>
          <w:bCs/>
        </w:rPr>
      </w:sdtEndPr>
      <w:sdtContent>
        <w:p w:rsidR="00483551" w:rsidRPr="00913CD1" w:rsidP="00457322" w14:paraId="43363E3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2FDBAA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AEF012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E0CC0A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A47FEC4"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7058A34"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A93E76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7210D4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A07DCE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AB2378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209E77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1010EB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09DE6C3"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4AA7260"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9F294C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A438B1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C3AB1B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2BF94B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AB8F9E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55839C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4AD9B3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327E2CD"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2701107"/>
        <w:docPartObj>
          <w:docPartGallery w:val="Table of Contents"/>
          <w:docPartUnique/>
        </w:docPartObj>
      </w:sdtPr>
      <w:sdtEndPr>
        <w:rPr>
          <w:b/>
          <w:bCs/>
        </w:rPr>
      </w:sdtEndPr>
      <w:sdtContent>
        <w:p w:rsidR="00483551" w:rsidRPr="00913CD1" w:rsidP="00457322" w14:paraId="2C347BD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47F7E6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A215F6E"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D56DE5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89CB894"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F61BAB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345CE9B"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8140A5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3DE8DF2"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BF82F90"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B459F6C"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901D29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5F8DB5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702CB4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13D519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870C050"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88E939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0C1734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8706034"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A279CE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CBC41D6"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D366D61"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06512045"/>
        <w:docPartObj>
          <w:docPartGallery w:val="Table of Contents"/>
          <w:docPartUnique/>
        </w:docPartObj>
      </w:sdtPr>
      <w:sdtEndPr>
        <w:rPr>
          <w:b/>
          <w:bCs/>
        </w:rPr>
      </w:sdtEndPr>
      <w:sdtContent>
        <w:p w:rsidR="00483551" w:rsidRPr="00913CD1" w:rsidP="00457322" w14:paraId="2C0F1CB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ACEA4A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48E74C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822CA4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9B7441C"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6BCCE1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43B6C72"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6BC49A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06339D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9AF4F64"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5857815"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C5CA5C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950AFB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771D2F4"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4B69B7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C768F8C"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B6DE8F8"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28F365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B2506BE"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666AD0" w14:paraId="46807E04" w14:textId="39A3AA2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显示器化学品项目可行性分析报告编制的目的在于通过对项目的全面评估，确定该项目在技术、经济、市场、社会等方面的可行性，为投资决策提供科学依据。通过可行性分析，可以识别项目潜在的风险和机遇，优化项目实施方案，确保项目在预算范围内按时完成，并达到预期的经济效益和社会效益。</w:t>
      </w:r>
      <w:r>
        <w:rPr>
          <w:rFonts w:ascii="仿宋" w:eastAsia="仿宋" w:hAnsi="仿宋"/>
          <w:sz w:val="28"/>
        </w:rPr>
        <w:br/>
      </w:r>
      <w:r>
        <w:rPr>
          <w:rFonts w:ascii="仿宋" w:eastAsia="仿宋" w:hAnsi="仿宋"/>
          <w:sz w:val="28"/>
        </w:rPr>
        <w:t>编制显示器化学品项目可行性分析报告的意义主要体现在以下几个方面：</w:t>
      </w:r>
      <w:r>
        <w:rPr>
          <w:rFonts w:ascii="仿宋" w:eastAsia="仿宋" w:hAnsi="仿宋"/>
          <w:sz w:val="28"/>
        </w:rPr>
        <w:br/>
        <w:t xml:space="preserve">    1.</w:t>
      </w:r>
      <w:r>
        <w:rPr>
          <w:rFonts w:ascii="仿宋" w:eastAsia="仿宋" w:hAnsi="仿宋"/>
          <w:sz w:val="28"/>
        </w:rPr>
        <w:t>决策支持：为投资者提供详细的项目评估信息，帮助决策者判断项目是否值得投资。</w:t>
      </w:r>
      <w:r>
        <w:rPr>
          <w:rFonts w:ascii="仿宋" w:eastAsia="仿宋" w:hAnsi="仿宋"/>
          <w:sz w:val="28"/>
        </w:rPr>
        <w:br/>
        <w:t xml:space="preserve">    2.</w:t>
      </w:r>
      <w:r>
        <w:rPr>
          <w:rFonts w:ascii="仿宋" w:eastAsia="仿宋" w:hAnsi="仿宋"/>
          <w:sz w:val="28"/>
        </w:rPr>
        <w:t>风险评估：识别项目可能面临的各种风险，并提出应对措施，降低投资风险。</w:t>
      </w:r>
      <w:r>
        <w:rPr>
          <w:rFonts w:ascii="仿宋" w:eastAsia="仿宋" w:hAnsi="仿宋"/>
          <w:sz w:val="28"/>
        </w:rPr>
        <w:br/>
        <w:t xml:space="preserve">    3.</w:t>
      </w:r>
      <w:r>
        <w:rPr>
          <w:rFonts w:ascii="仿宋" w:eastAsia="仿宋" w:hAnsi="仿宋"/>
          <w:sz w:val="28"/>
        </w:rPr>
        <w:t>资源优化：优化项目资源配置，确保资源的有效利用，提高项目效率。</w:t>
      </w:r>
      <w:r>
        <w:rPr>
          <w:rFonts w:ascii="仿宋" w:eastAsia="仿宋" w:hAnsi="仿宋"/>
          <w:sz w:val="28"/>
        </w:rPr>
        <w:br/>
        <w:t xml:space="preserve">    4.</w:t>
      </w:r>
      <w:r>
        <w:rPr>
          <w:rFonts w:ascii="仿宋" w:eastAsia="仿宋" w:hAnsi="仿宋"/>
          <w:sz w:val="28"/>
        </w:rPr>
        <w:t>成本控制：通过对项目成本进行详细估算，为成本控制提供参考，确保项目在预算范围内完成。</w:t>
      </w:r>
      <w:r>
        <w:rPr>
          <w:rFonts w:ascii="仿宋" w:eastAsia="仿宋" w:hAnsi="仿宋"/>
          <w:sz w:val="28"/>
        </w:rPr>
        <w:br/>
        <w:t xml:space="preserve">    5.</w:t>
      </w:r>
      <w:r>
        <w:rPr>
          <w:rFonts w:ascii="仿宋" w:eastAsia="仿宋" w:hAnsi="仿宋"/>
          <w:sz w:val="28"/>
        </w:rPr>
        <w:t>时间管理：制定合理的项目进度计划，确保项目按时完成。</w:t>
      </w:r>
      <w:r>
        <w:rPr>
          <w:rFonts w:ascii="仿宋" w:eastAsia="仿宋" w:hAnsi="仿宋"/>
          <w:sz w:val="28"/>
        </w:rPr>
        <w:br/>
        <w:t xml:space="preserve">    6.</w:t>
      </w:r>
    </w:p>
    <w:p w:rsidR="00666AD0" w14:textId="39A3AA2B">
      <w:pPr>
        <w:ind w:firstLine="561"/>
      </w:pPr>
      <w:r>
        <w:rPr>
          <w:rFonts w:ascii="仿宋" w:eastAsia="仿宋" w:hAnsi="仿宋"/>
          <w:sz w:val="28"/>
        </w:rPr>
        <w:t>市场洞察：深入分析目标市场，了解市场需求，为产品开发和市场营销提供指导。</w:t>
      </w:r>
      <w:r>
        <w:rPr>
          <w:rFonts w:ascii="仿宋" w:eastAsia="仿宋" w:hAnsi="仿宋"/>
          <w:sz w:val="28"/>
        </w:rPr>
        <w:br/>
        <w:t xml:space="preserve">    7.</w:t>
      </w:r>
      <w:r>
        <w:rPr>
          <w:rFonts w:ascii="仿宋" w:eastAsia="仿宋" w:hAnsi="仿宋"/>
          <w:sz w:val="28"/>
        </w:rPr>
        <w:t>环境影响：评估项目对环境的影响，提出环境保护措施，确保项目符合可持续发展要求。</w:t>
      </w:r>
      <w:r>
        <w:rPr>
          <w:rFonts w:ascii="仿宋" w:eastAsia="仿宋" w:hAnsi="仿宋"/>
          <w:sz w:val="28"/>
        </w:rPr>
        <w:br/>
        <w:t xml:space="preserve">    8.</w:t>
      </w:r>
      <w:r>
        <w:rPr>
          <w:rFonts w:ascii="仿宋" w:eastAsia="仿宋" w:hAnsi="仿宋"/>
          <w:sz w:val="28"/>
        </w:rPr>
        <w:t>政策合规：确保项目符合国家相关法律法规和政策要求，避免政策风险。</w:t>
      </w:r>
      <w:r>
        <w:rPr>
          <w:rFonts w:ascii="仿宋" w:eastAsia="仿宋" w:hAnsi="仿宋"/>
          <w:sz w:val="28"/>
        </w:rPr>
        <w:br/>
        <w:t xml:space="preserve">    9.</w:t>
      </w:r>
      <w:r>
        <w:rPr>
          <w:rFonts w:ascii="仿宋" w:eastAsia="仿宋" w:hAnsi="仿宋"/>
          <w:sz w:val="28"/>
        </w:rPr>
        <w:t>技术评估：对项目所采用的技术进行评估，确保技术先进性和适用性，为项目的技术路线选择提供依据。</w:t>
      </w:r>
      <w:r>
        <w:rPr>
          <w:rFonts w:ascii="仿宋" w:eastAsia="仿宋" w:hAnsi="仿宋"/>
          <w:sz w:val="28"/>
        </w:rPr>
        <w:br/>
      </w:r>
      <w:r>
        <w:rPr>
          <w:rFonts w:ascii="仿宋" w:eastAsia="仿宋" w:hAnsi="仿宋"/>
          <w:sz w:val="28"/>
        </w:rPr>
        <w:t xml:space="preserve">10. </w:t>
      </w:r>
      <w:r>
        <w:rPr>
          <w:rFonts w:ascii="仿宋" w:eastAsia="仿宋" w:hAnsi="仿宋"/>
          <w:sz w:val="28"/>
        </w:rPr>
        <w:t>社会效益：分析项目对当地社会经济发展的影响，促进项目与社会的和谐发展。</w:t>
      </w:r>
      <w:r>
        <w:rPr>
          <w:rFonts w:ascii="仿宋" w:eastAsia="仿宋" w:hAnsi="仿宋"/>
          <w:sz w:val="28"/>
        </w:rPr>
        <w:br/>
      </w:r>
      <w:r>
        <w:rPr>
          <w:rFonts w:ascii="仿宋" w:eastAsia="仿宋" w:hAnsi="仿宋"/>
          <w:sz w:val="28"/>
        </w:rPr>
        <w:t>综上所述，显示器化学品项目可行性分析报告的编制对于项目的成功实施和投资者的利益保障具有重要意义，是项目投资决策过程中不可或缺的一环。</w:t>
      </w:r>
    </w:p>
    <w:p w:rsidR="009D1637" w:rsidRPr="00913CD1" w:rsidP="00457322" w14:paraId="4A6F34D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74C2B8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02F803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956761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4FD9F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0CFA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96B47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3A40AF8"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745888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194C63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384236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F4E61D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D0D071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7D6EDB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B69EA2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947E8B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6B80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C1AEA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FAF2D5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E6A4A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EBEB4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51C5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C7D7B7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4F7B2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D753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6105D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CCD6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w:t>
      </w:r>
    </w:p>
    <w:p w:rsidR="009D1637" w:rsidRPr="00913CD1" w:rsidP="00457322" w14:paraId="1F5FAC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w:t>
      </w:r>
    </w:p>
    <w:p w:rsidR="009D1637" w:rsidRPr="00913CD1" w:rsidP="00457322" w14:paraId="346C16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19CDF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A426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0A47D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172D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D9C0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688F0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E8D9A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显示器化学品产品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96B9FF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显示器化学品</w:t>
      </w:r>
      <w:r w:rsidRPr="00913CD1">
        <w:rPr>
          <w:rFonts w:ascii="仿宋" w:eastAsia="仿宋" w:hAnsi="仿宋"/>
        </w:rPr>
        <w:t>项目绪论</w:t>
      </w:r>
      <w:bookmarkEnd w:id="4"/>
    </w:p>
    <w:p w:rsidR="009D1637" w:rsidRPr="00913CD1" w:rsidP="00457322" w14:paraId="00E3E328"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显示器化学品</w:t>
      </w:r>
      <w:r w:rsidRPr="00913CD1">
        <w:rPr>
          <w:rFonts w:ascii="仿宋" w:eastAsia="仿宋" w:hAnsi="仿宋"/>
        </w:rPr>
        <w:t>项目名称及建设性质</w:t>
      </w:r>
      <w:bookmarkEnd w:id="5"/>
    </w:p>
    <w:p w:rsidR="009D1637" w:rsidRPr="00913CD1" w:rsidP="00457322" w14:paraId="418E19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项目名称</w:t>
      </w:r>
    </w:p>
    <w:p w:rsidR="009D1637" w:rsidRPr="00913CD1" w:rsidP="00457322" w14:paraId="037AB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w:t>
      </w:r>
    </w:p>
    <w:p w:rsidR="009D1637" w:rsidRPr="00913CD1" w:rsidP="00457322" w14:paraId="16D479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项目建设性质</w:t>
      </w:r>
    </w:p>
    <w:p w:rsidR="009D1637" w:rsidRPr="00913CD1" w:rsidP="00457322" w14:paraId="703F2B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显示器化学品</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26C69F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显示器化学品</w:t>
      </w:r>
      <w:r w:rsidRPr="00913CD1">
        <w:rPr>
          <w:rFonts w:ascii="仿宋" w:eastAsia="仿宋" w:hAnsi="仿宋"/>
        </w:rPr>
        <w:t>项目承办单位</w:t>
      </w:r>
      <w:bookmarkEnd w:id="6"/>
    </w:p>
    <w:p w:rsidR="009D1637" w:rsidRPr="00913CD1" w:rsidP="00457322" w14:paraId="5429BF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项目实施主体</w:t>
      </w:r>
    </w:p>
    <w:p w:rsidR="009D1637" w:rsidRPr="00913CD1" w:rsidP="00457322" w14:paraId="60966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4181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B0D6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项目信息。</w:t>
      </w:r>
    </w:p>
    <w:p w:rsidR="009D1637" w:rsidRPr="00913CD1" w:rsidP="00457322" w14:paraId="3B73F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BDC565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EEA5D7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01182A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ACE902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17CB3DC"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显示器化学品</w:t>
      </w:r>
      <w:r w:rsidRPr="00913CD1">
        <w:rPr>
          <w:rFonts w:ascii="仿宋" w:eastAsia="仿宋" w:hAnsi="仿宋"/>
        </w:rPr>
        <w:t>项目定位及建设理由</w:t>
      </w:r>
      <w:bookmarkEnd w:id="7"/>
    </w:p>
    <w:p w:rsidR="00666AD0" w14:paraId="480CCCEC" w14:textId="1CA53F4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显示器化学品项目可行性分析报告中的项目定位及建设理由应清晰阐述项目在市场中的角色和目标，以及为何在此时此地建设该项目的逻辑。以下是一份精炼的专业表述：</w:t>
      </w:r>
      <w:r>
        <w:rPr>
          <w:rFonts w:ascii="仿宋" w:eastAsia="仿宋" w:hAnsi="仿宋"/>
          <w:sz w:val="28"/>
        </w:rPr>
        <w:br/>
      </w:r>
      <w:r>
        <w:rPr>
          <w:rFonts w:ascii="仿宋" w:eastAsia="仿宋" w:hAnsi="仿宋"/>
          <w:sz w:val="28"/>
        </w:rPr>
        <w:t>本项目旨在建立一个集研发、生产和销售于一体的显示器化学品生产基地，以满足快速增长的显示器市场需求。项目定位为行业领先的供应商，专注于提供高品质、环保型的显示器化学材料，以差异化的产品和服务，树立品牌形象，占据市场领先地位。</w:t>
      </w:r>
      <w:r>
        <w:rPr>
          <w:rFonts w:ascii="仿宋" w:eastAsia="仿宋" w:hAnsi="仿宋"/>
          <w:sz w:val="28"/>
        </w:rPr>
        <w:br/>
      </w:r>
      <w:r>
        <w:rPr>
          <w:rFonts w:ascii="仿宋" w:eastAsia="仿宋" w:hAnsi="仿宋"/>
          <w:sz w:val="28"/>
        </w:rPr>
        <w:t>建设本项目的理由如下：</w:t>
      </w:r>
      <w:r>
        <w:rPr>
          <w:rFonts w:ascii="仿宋" w:eastAsia="仿宋" w:hAnsi="仿宋"/>
          <w:sz w:val="28"/>
        </w:rPr>
        <w:br/>
        <w:t xml:space="preserve">    1.</w:t>
      </w:r>
      <w:r>
        <w:rPr>
          <w:rFonts w:ascii="仿宋" w:eastAsia="仿宋" w:hAnsi="仿宋"/>
          <w:sz w:val="28"/>
        </w:rPr>
        <w:t>市场机遇：显示器行业正处于技术升级和产品更新换代的快车道，对高性能、低成本化学品的需求日益增长，这为项目提供了广阔的市场机遇。</w:t>
      </w:r>
    </w:p>
    <w:p w:rsidR="00666AD0" w14:textId="1CA53F4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技术优势：项目团队拥有自主研发能力，能够根据市场变化快速调整产品配方，确保产品竞争力。</w:t>
      </w:r>
      <w:r>
        <w:rPr>
          <w:rFonts w:ascii="仿宋" w:eastAsia="仿宋" w:hAnsi="仿宋"/>
          <w:sz w:val="28"/>
        </w:rPr>
        <w:br/>
        <w:t xml:space="preserve">    3.</w:t>
      </w:r>
      <w:r>
        <w:rPr>
          <w:rFonts w:ascii="仿宋" w:eastAsia="仿宋" w:hAnsi="仿宋"/>
          <w:sz w:val="28"/>
        </w:rPr>
        <w:t>成本优势：项目选址靠近原材料产地和目标市场，能够有效降低运输成本，提高供应链效率。</w:t>
      </w:r>
      <w:r>
        <w:rPr>
          <w:rFonts w:ascii="仿宋" w:eastAsia="仿宋" w:hAnsi="仿宋"/>
          <w:sz w:val="28"/>
        </w:rPr>
        <w:br/>
        <w:t xml:space="preserve">    4.</w:t>
      </w:r>
      <w:r>
        <w:rPr>
          <w:rFonts w:ascii="仿宋" w:eastAsia="仿宋" w:hAnsi="仿宋"/>
          <w:sz w:val="28"/>
        </w:rPr>
        <w:t>政策支持：当地政府对环保型产业给予政策扶持，包括税收优惠、土地使用优惠等，为项目实施提供了良好的政策环境。</w:t>
      </w:r>
      <w:r>
        <w:rPr>
          <w:rFonts w:ascii="仿宋" w:eastAsia="仿宋" w:hAnsi="仿宋"/>
          <w:sz w:val="28"/>
        </w:rPr>
        <w:br/>
        <w:t xml:space="preserve">    5.</w:t>
      </w:r>
      <w:r>
        <w:rPr>
          <w:rFonts w:ascii="仿宋" w:eastAsia="仿宋" w:hAnsi="仿宋"/>
          <w:sz w:val="28"/>
        </w:rPr>
        <w:t>经济效益：项目预期能够创造可观的就业机会和财政收入，提升地方经济活力。</w:t>
      </w:r>
      <w:r>
        <w:rPr>
          <w:rFonts w:ascii="仿宋" w:eastAsia="仿宋" w:hAnsi="仿宋"/>
          <w:sz w:val="28"/>
        </w:rPr>
        <w:br/>
        <w:t xml:space="preserve">    6.</w:t>
      </w:r>
      <w:r>
        <w:rPr>
          <w:rFonts w:ascii="仿宋" w:eastAsia="仿宋" w:hAnsi="仿宋"/>
          <w:sz w:val="28"/>
        </w:rPr>
        <w:t>社会效益：项目将采用先进的生产工艺和环保措施，减少对环境的负面影响，符合可持续发展理念。</w:t>
      </w:r>
      <w:r>
        <w:rPr>
          <w:rFonts w:ascii="仿宋" w:eastAsia="仿宋" w:hAnsi="仿宋"/>
          <w:sz w:val="28"/>
        </w:rPr>
        <w:br/>
      </w:r>
      <w:r>
        <w:rPr>
          <w:rFonts w:ascii="仿宋" w:eastAsia="仿宋" w:hAnsi="仿宋"/>
          <w:sz w:val="28"/>
        </w:rPr>
        <w:t>综上所述，本项目具有明确的市场定位和充分的实施理由，既能够满足市场对高品质显示器化学品的需求，又能够为投资者带来可观的经济回报，同时促进当地经济和社会发展。</w:t>
      </w:r>
    </w:p>
    <w:p w:rsidR="009D1637" w:rsidRPr="00913CD1" w:rsidP="00457322" w14:paraId="2E1E56F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CFA5A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B654F6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8A2CE9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8DC8A5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显示器化学品</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FB30AE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显示器化学品</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2B5688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显示器化学品</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478CB02"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910C0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2C073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C28DC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6A8B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项目功能、盈利性等</w:t>
      </w:r>
    </w:p>
    <w:p w:rsidR="007D3AEE" w:rsidRPr="00913CD1" w:rsidP="00457322" w14:paraId="018387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DECD2E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163B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8CE2685"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项目建设的可行性和效益的合理性。</w:t>
      </w:r>
    </w:p>
    <w:p w:rsidR="009D1637" w:rsidRPr="00913CD1" w:rsidP="00457322" w14:paraId="37A86A4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显示器化学品</w:t>
      </w:r>
      <w:r w:rsidRPr="00913CD1">
        <w:rPr>
          <w:rFonts w:ascii="仿宋" w:eastAsia="仿宋" w:hAnsi="仿宋"/>
        </w:rPr>
        <w:t>项目建设选址</w:t>
      </w:r>
      <w:bookmarkEnd w:id="9"/>
    </w:p>
    <w:p w:rsidR="009D1637" w:rsidRPr="00913CD1" w:rsidP="00457322" w14:paraId="5300D9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项目选址及规划</w:t>
      </w:r>
    </w:p>
    <w:p w:rsidR="009D1637" w:rsidRPr="00913CD1" w:rsidP="00457322" w14:paraId="62B7965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项目的建设。</w:t>
      </w:r>
    </w:p>
    <w:p w:rsidR="009D1637" w:rsidRPr="00913CD1" w:rsidP="00457322" w14:paraId="380FD3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项目背景及选址理由</w:t>
      </w:r>
    </w:p>
    <w:p w:rsidR="009D1637" w:rsidRPr="00913CD1" w:rsidP="00457322" w14:paraId="5233FF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项目背景</w:t>
      </w:r>
    </w:p>
    <w:p w:rsidR="00666AD0" w14:paraId="2FCF30DD" w14:textId="4A3CB8EA">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显示器化学品项目背景分析报告指出，随着全球显示技术的快速发展，特别是液晶显示器（</w:t>
      </w:r>
      <w:r>
        <w:rPr>
          <w:rFonts w:ascii="仿宋" w:eastAsia="仿宋" w:hAnsi="仿宋"/>
          <w:sz w:val="28"/>
        </w:rPr>
        <w:t>LCD</w:t>
      </w:r>
      <w:r>
        <w:rPr>
          <w:rFonts w:ascii="仿宋" w:eastAsia="仿宋" w:hAnsi="仿宋"/>
          <w:sz w:val="28"/>
        </w:rPr>
        <w:t>）和有机发光二极管（</w:t>
      </w:r>
      <w:r>
        <w:rPr>
          <w:rFonts w:ascii="仿宋" w:eastAsia="仿宋" w:hAnsi="仿宋"/>
          <w:sz w:val="28"/>
        </w:rPr>
        <w:t>OLED</w:t>
      </w:r>
      <w:r>
        <w:rPr>
          <w:rFonts w:ascii="仿宋" w:eastAsia="仿宋" w:hAnsi="仿宋"/>
          <w:sz w:val="28"/>
        </w:rPr>
        <w:t>）技术的不断进步，市场对高性能、环保型显示材料的需求日益增长。本项目旨在开发一种新型显示器化学品，以满足市场对更高显示质量、更长使用寿命和更环保产品的需求。</w:t>
      </w:r>
      <w:r>
        <w:rPr>
          <w:rFonts w:ascii="仿宋" w:eastAsia="仿宋" w:hAnsi="仿宋"/>
          <w:sz w:val="28"/>
        </w:rPr>
        <w:br/>
      </w:r>
      <w:r>
        <w:rPr>
          <w:rFonts w:ascii="仿宋" w:eastAsia="仿宋" w:hAnsi="仿宋"/>
          <w:sz w:val="28"/>
        </w:rPr>
        <w:t>新型显示器化学品的研发将重点聚焦于提高发光效率、色彩饱和度和响应速度等关键性能指标，同时降低成本和环境影响。项目将依托先进的生产工艺和严格的质量控制体系，确保产品的高效稳定生产和高质量标准。</w:t>
      </w:r>
      <w:r>
        <w:rPr>
          <w:rFonts w:ascii="仿宋" w:eastAsia="仿宋" w:hAnsi="仿宋"/>
          <w:sz w:val="28"/>
        </w:rPr>
        <w:br/>
      </w:r>
      <w:r>
        <w:rPr>
          <w:rFonts w:ascii="仿宋" w:eastAsia="仿宋" w:hAnsi="仿宋"/>
          <w:sz w:val="28"/>
        </w:rPr>
        <w:t>市场调研显示，目标市场对新型显示器的需求持续增长，尤其是在消费电子、汽车、医疗和航空航天等领域。预计未来几年，新型显示器化学品的市场规模将以年均</w:t>
      </w:r>
      <w:r>
        <w:rPr>
          <w:rFonts w:ascii="仿宋" w:eastAsia="仿宋" w:hAnsi="仿宋"/>
          <w:sz w:val="28"/>
        </w:rPr>
        <w:t>10%</w:t>
      </w:r>
      <w:r>
        <w:rPr>
          <w:rFonts w:ascii="仿宋" w:eastAsia="仿宋" w:hAnsi="仿宋"/>
          <w:sz w:val="28"/>
        </w:rPr>
        <w:t>以上的速度增长。</w:t>
      </w:r>
      <w:r>
        <w:rPr>
          <w:rFonts w:ascii="仿宋" w:eastAsia="仿宋" w:hAnsi="仿宋"/>
          <w:sz w:val="28"/>
        </w:rPr>
        <w:br/>
      </w:r>
    </w:p>
    <w:p w:rsidR="00666AD0" w14:textId="4A3CB8EA">
      <w:pPr>
        <w:ind w:firstLine="560"/>
      </w:pPr>
      <w:r>
        <w:rPr>
          <w:rFonts w:ascii="仿宋" w:eastAsia="仿宋" w:hAnsi="仿宋"/>
          <w:sz w:val="28"/>
        </w:rPr>
        <w:t>本项目的实施将有助于提升我国在显示器化学品领域的研发和生产能力，促进相关产业链的发展，并创造就业机会。同时，项目的环境影响评估显示，在采取有效的环境保护措施后，对周边环境的影响将降至最低。</w:t>
      </w:r>
      <w:r>
        <w:rPr>
          <w:rFonts w:ascii="仿宋" w:eastAsia="仿宋" w:hAnsi="仿宋"/>
          <w:sz w:val="28"/>
        </w:rPr>
        <w:br/>
      </w:r>
      <w:r>
        <w:rPr>
          <w:rFonts w:ascii="仿宋" w:eastAsia="仿宋" w:hAnsi="仿宋"/>
          <w:sz w:val="28"/>
        </w:rPr>
        <w:t>综上所述，显示器化学品项目的实施具有良好的市场前景和技术可行性，符合国家产业政策和环保要求，将为投资者带来可观的经济效益和社会效益。</w:t>
      </w:r>
    </w:p>
    <w:p w:rsidR="009D1637" w:rsidRPr="00913CD1" w:rsidP="00457322" w14:paraId="3A925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B390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504E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项目的发展和扩张。</w:t>
      </w:r>
    </w:p>
    <w:p w:rsidR="009D1637" w:rsidRPr="00913CD1" w:rsidP="00457322" w14:paraId="592D57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项目的可迗性。</w:t>
      </w:r>
    </w:p>
    <w:p w:rsidR="009D1637" w:rsidRPr="00913CD1" w:rsidP="00457322" w14:paraId="3B871B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项目建设提供了良好基础条件。</w:t>
      </w:r>
    </w:p>
    <w:p w:rsidR="009D1637" w:rsidRPr="00913CD1" w:rsidP="00457322" w14:paraId="493C5B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项目规模和扩展的需要。</w:t>
      </w:r>
    </w:p>
    <w:p w:rsidR="009D1637" w:rsidRPr="00913CD1" w:rsidP="00457322" w14:paraId="2B84116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显示器化学品</w:t>
      </w:r>
      <w:r w:rsidRPr="00913CD1">
        <w:rPr>
          <w:rFonts w:ascii="仿宋" w:eastAsia="仿宋" w:hAnsi="仿宋"/>
        </w:rPr>
        <w:t>项目生产规模</w:t>
      </w:r>
      <w:bookmarkEnd w:id="10"/>
    </w:p>
    <w:p w:rsidR="009D1637" w:rsidRPr="00913CD1" w:rsidP="00457322" w14:paraId="049BF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F43C50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5EA73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E65E2C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5B91D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项目实施过程中，对环境的影响降到最低。</w:t>
      </w:r>
    </w:p>
    <w:p w:rsidR="009D1637" w:rsidRPr="00913CD1" w:rsidP="00457322" w14:paraId="29BD9A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9D79B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F635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0760F0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显示器化学品</w:t>
      </w:r>
      <w:r w:rsidRPr="00913CD1">
        <w:rPr>
          <w:rFonts w:ascii="仿宋" w:eastAsia="仿宋" w:hAnsi="仿宋"/>
        </w:rPr>
        <w:t>项目总投资及资金构成</w:t>
      </w:r>
      <w:bookmarkEnd w:id="13"/>
    </w:p>
    <w:p w:rsidR="009D1637" w:rsidRPr="00913CD1" w:rsidP="00457322" w14:paraId="7C2C9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的生产能力。</w:t>
      </w:r>
    </w:p>
    <w:p w:rsidR="009D1637" w:rsidRPr="00913CD1" w:rsidP="00457322" w14:paraId="56A3E6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项目总投资</w:t>
      </w:r>
    </w:p>
    <w:p w:rsidR="009D1637" w:rsidRPr="00913CD1" w:rsidP="00457322" w14:paraId="68DD57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E7D21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178D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3B971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C469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B78A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E4F25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D57A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项目的顺利建设奠定了财务基础。</w:t>
      </w:r>
    </w:p>
    <w:p w:rsidR="009D1637" w:rsidRPr="00913CD1" w:rsidP="00457322" w14:paraId="47A24B7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8369C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2134DA9"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显示器化学品</w:t>
      </w:r>
      <w:r w:rsidRPr="00913CD1">
        <w:rPr>
          <w:rFonts w:ascii="仿宋" w:eastAsia="仿宋" w:hAnsi="仿宋"/>
        </w:rPr>
        <w:t>项目预期经济效益规划目标</w:t>
      </w:r>
      <w:bookmarkEnd w:id="15"/>
    </w:p>
    <w:p w:rsidR="009D1637" w:rsidRPr="00913CD1" w:rsidP="00457322" w14:paraId="59970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项目的盈利能力和市场竞争力。</w:t>
      </w:r>
    </w:p>
    <w:p w:rsidR="009D1637" w:rsidRPr="00913CD1" w:rsidP="00457322" w14:paraId="12D709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项目具有较高的投资价值和发展潜力。</w:t>
      </w:r>
    </w:p>
    <w:p w:rsidR="009D1637" w:rsidRPr="00913CD1" w:rsidP="00457322" w14:paraId="5E880EF0"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4B1F63D"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显示器化学品</w:t>
      </w:r>
      <w:r w:rsidRPr="00913CD1">
        <w:rPr>
          <w:rFonts w:ascii="仿宋" w:eastAsia="仿宋" w:hAnsi="仿宋"/>
        </w:rPr>
        <w:t>项目建设进度规划</w:t>
      </w:r>
      <w:bookmarkEnd w:id="16"/>
    </w:p>
    <w:p w:rsidR="009D1637" w:rsidRPr="00913CD1" w:rsidP="00457322" w14:paraId="5A404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项目的顺利进行和按时完成。</w:t>
      </w:r>
    </w:p>
    <w:p w:rsidR="009D1637" w:rsidRPr="00913CD1" w:rsidP="00457322" w14:paraId="702214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项目的质量和进度。</w:t>
      </w:r>
    </w:p>
    <w:p w:rsidR="009D1637" w:rsidRPr="00913CD1" w:rsidP="00457322" w14:paraId="666CCF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770846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显示器化学品</w:t>
      </w:r>
      <w:r w:rsidRPr="00913CD1">
        <w:rPr>
          <w:rFonts w:ascii="仿宋" w:eastAsia="仿宋" w:hAnsi="仿宋"/>
        </w:rPr>
        <w:t>项目综合评价</w:t>
      </w:r>
      <w:bookmarkEnd w:id="17"/>
    </w:p>
    <w:p w:rsidR="00BF6395" w:rsidRPr="00913CD1" w:rsidP="00457322" w14:paraId="3293E8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显示器化学品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F46115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显示器化学品项目的投资回报率稳定且可观。根据市场调查和预测，显示器化学品市场需求持续增长，具有良好的市场前景和发展空间。我们的投资方向紧密结合国家产业政策和市场需求，为投资者创造可观的投资收益。</w:t>
      </w:r>
    </w:p>
    <w:p w:rsidR="00BF6395" w:rsidRPr="00913CD1" w:rsidP="00457322" w14:paraId="6E13795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显示器化学品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C21DC1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在技术方案设计方面，我们注重方案的优化和效益的提升。通过科学合理的设计，实现显示器化学品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生产流程的高效化和产品的优质化。我们将采用先进的生产工艺和技术，提高生产效率，降低生产成本。同时，我们还将加强产品研发和创新，不断推出具有竞争力的新产品，满足显示器化学品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A0512B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此外，显示器化学品项目的建设将带来显著的就业机会和社会效益。项目的实施将促进当地经济的发展，提升当地民众的生活水平。我们将积极履行社会责任，关注环境保护和可持续发展，为社会做出积极贡献。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FAC689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综上所述，本期显示器化学品项目具备技术和经济的可行性，具有良好的市场前景和发展空间。我们将充分发挥自身优势，抓住市场机遇，为投资者创造丰厚的投资回报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434A4A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29E293C"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8A0B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8E4B1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86FB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170C8B8"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ED115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5635CD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920F3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03C1D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D42B3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2D9C1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6F03F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9B4FB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F2E34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A8FE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E570F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D01AD7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467FE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44A6D9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显示器化学品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FE4E5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显示器化学品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B3E00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显示器化学品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4A567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87C59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571D7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B5369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A0D0A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显示器化学品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14A2E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5E73CF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31AC6B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54645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项目的顺利进行和迗成目标。</w:t>
      </w:r>
    </w:p>
    <w:p w:rsidR="009D1637" w:rsidRPr="00913CD1" w:rsidP="00457322" w14:paraId="13E16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8787A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0F9BF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831D3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A963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F45E7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7CDC8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C958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F3EAD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283DC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79C8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AB1F0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75E7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DA46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70639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4E813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6388C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26448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C3926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787BD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D804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DAA8CC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2E735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AED61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FBB3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CC85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C3BF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4306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EE548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D186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C4659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1EE4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D57E6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0221A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757ED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32D76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21A45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4EFEE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3A4C4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322D2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9F22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8CD7B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E0E1F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ED08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0F88E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A757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8743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E18F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F0DA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9687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841A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9E62F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EA67DC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4330BA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显示器化学品</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55335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42DBB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99037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C9B50D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显示器化学品</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D7957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327F5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F0DBB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CD550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E89B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55A98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F8F2AC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2684312"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4E1E74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9724B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0BB33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8ADBF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C8996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570B2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F896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4F2BA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6EF28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A141B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07ACB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1E78DDF"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显示器化学品</w:t>
      </w:r>
      <w:r w:rsidRPr="00913CD1">
        <w:rPr>
          <w:rFonts w:ascii="仿宋" w:eastAsia="仿宋" w:hAnsi="仿宋"/>
        </w:rPr>
        <w:t>项目技术工艺分析</w:t>
      </w:r>
      <w:bookmarkEnd w:id="28"/>
    </w:p>
    <w:p w:rsidR="009D1637" w:rsidRPr="00913CD1" w:rsidP="00457322" w14:paraId="4B3A66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A8B4D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D26BC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21A2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FB654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0E45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2CBAE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AE12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B75D7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2DB82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A323A0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显示器化学品项目</w:t>
      </w:r>
      <w:r w:rsidRPr="00913CD1">
        <w:rPr>
          <w:rFonts w:ascii="仿宋" w:eastAsia="仿宋" w:hAnsi="仿宋"/>
        </w:rPr>
        <w:t>质量管理</w:t>
      </w:r>
      <w:bookmarkEnd w:id="29"/>
    </w:p>
    <w:p w:rsidR="009D1637" w:rsidRPr="00913CD1" w:rsidP="00457322" w14:paraId="53E954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965D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361EF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F1AEF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763D2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B961F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93E68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A32A9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4A276C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显示器化学品项目</w:t>
      </w:r>
      <w:r w:rsidRPr="00913CD1">
        <w:rPr>
          <w:rFonts w:ascii="仿宋" w:eastAsia="仿宋" w:hAnsi="仿宋"/>
        </w:rPr>
        <w:t>设备选型方案</w:t>
      </w:r>
      <w:bookmarkEnd w:id="30"/>
    </w:p>
    <w:p w:rsidR="009D1637" w:rsidRPr="00913CD1" w:rsidP="00457322" w14:paraId="77B3A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175E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25CC7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C6C0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65C87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6BE28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81906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532D14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项目的高效运行和产品质量的稳定提升。</w:t>
      </w:r>
    </w:p>
    <w:p w:rsidR="009D1637" w:rsidRPr="00913CD1" w:rsidP="00457322" w14:paraId="038341CF"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D804D0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E190E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249F9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AED0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2721C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EBC4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786A4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35CE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E746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2190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540AA1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CC9F4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AC3D1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显示器化学品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54DAC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FF117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显示器化学品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F2FF8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E705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6119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C4A15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显示器化学品</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https://d.book118.com/195002120034011103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9569108" w14:textId="77777777">
    <w:pPr>
      <w:pStyle w:val="Footer"/>
      <w:jc w:val="center"/>
    </w:pPr>
  </w:p>
  <w:p w:rsidR="008D6901" w14:paraId="6906C0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4BB329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4C903A3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0098597"/>
      <w:docPartObj>
        <w:docPartGallery w:val="Page Numbers (Bottom of Page)"/>
        <w:docPartUnique/>
      </w:docPartObj>
    </w:sdtPr>
    <w:sdtContent>
      <w:sdt>
        <w:sdtPr>
          <w:id w:val="17607653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9095889"/>
      <w:docPartObj>
        <w:docPartGallery w:val="Page Numbers (Bottom of Page)"/>
        <w:docPartUnique/>
      </w:docPartObj>
    </w:sdtPr>
    <w:sdtContent>
      <w:sdt>
        <w:sdtPr>
          <w:id w:val="5879699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5949971"/>
      <w:docPartObj>
        <w:docPartGallery w:val="Page Numbers (Bottom of Page)"/>
        <w:docPartUnique/>
      </w:docPartObj>
    </w:sdtPr>
    <w:sdtContent>
      <w:sdt>
        <w:sdtPr>
          <w:id w:val="9341044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8050820"/>
      <w:docPartObj>
        <w:docPartGallery w:val="Page Numbers (Bottom of Page)"/>
        <w:docPartUnique/>
      </w:docPartObj>
    </w:sdtPr>
    <w:sdtContent>
      <w:sdt>
        <w:sdtPr>
          <w:id w:val="1551985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2265157"/>
      <w:docPartObj>
        <w:docPartGallery w:val="Page Numbers (Bottom of Page)"/>
        <w:docPartUnique/>
      </w:docPartObj>
    </w:sdtPr>
    <w:sdtContent>
      <w:sdt>
        <w:sdtPr>
          <w:id w:val="9850624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3450863"/>
      <w:docPartObj>
        <w:docPartGallery w:val="Page Numbers (Bottom of Page)"/>
        <w:docPartUnique/>
      </w:docPartObj>
    </w:sdtPr>
    <w:sdtContent>
      <w:sdt>
        <w:sdtPr>
          <w:id w:val="12560173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4415789"/>
      <w:docPartObj>
        <w:docPartGallery w:val="Page Numbers (Bottom of Page)"/>
        <w:docPartUnique/>
      </w:docPartObj>
    </w:sdtPr>
    <w:sdtContent>
      <w:sdt>
        <w:sdtPr>
          <w:id w:val="8850024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5607191"/>
      <w:docPartObj>
        <w:docPartGallery w:val="Page Numbers (Bottom of Page)"/>
        <w:docPartUnique/>
      </w:docPartObj>
    </w:sdtPr>
    <w:sdtContent>
      <w:sdt>
        <w:sdtPr>
          <w:id w:val="14347810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3440216"/>
      <w:docPartObj>
        <w:docPartGallery w:val="Page Numbers (Bottom of Page)"/>
        <w:docPartUnique/>
      </w:docPartObj>
    </w:sdtPr>
    <w:sdtContent>
      <w:sdt>
        <w:sdtPr>
          <w:id w:val="16167883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8303396"/>
      <w:docPartObj>
        <w:docPartGallery w:val="Page Numbers (Bottom of Page)"/>
        <w:docPartUnique/>
      </w:docPartObj>
    </w:sdtPr>
    <w:sdtContent>
      <w:sdt>
        <w:sdtPr>
          <w:id w:val="12530979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5838437"/>
      <w:docPartObj>
        <w:docPartGallery w:val="Page Numbers (Bottom of Page)"/>
        <w:docPartUnique/>
      </w:docPartObj>
    </w:sdtPr>
    <w:sdtContent>
      <w:sdt>
        <w:sdtPr>
          <w:id w:val="1955553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2553323"/>
      <w:docPartObj>
        <w:docPartGallery w:val="Page Numbers (Bottom of Page)"/>
        <w:docPartUnique/>
      </w:docPartObj>
    </w:sdtPr>
    <w:sdtContent>
      <w:sdt>
        <w:sdtPr>
          <w:id w:val="12620695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8041071"/>
      <w:docPartObj>
        <w:docPartGallery w:val="Page Numbers (Bottom of Page)"/>
        <w:docPartUnique/>
      </w:docPartObj>
    </w:sdtPr>
    <w:sdtContent>
      <w:sdt>
        <w:sdtPr>
          <w:id w:val="954227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3621980"/>
      <w:docPartObj>
        <w:docPartGallery w:val="Page Numbers (Bottom of Page)"/>
        <w:docPartUnique/>
      </w:docPartObj>
    </w:sdtPr>
    <w:sdtContent>
      <w:sdt>
        <w:sdtPr>
          <w:id w:val="469236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0084512"/>
      <w:docPartObj>
        <w:docPartGallery w:val="Page Numbers (Bottom of Page)"/>
        <w:docPartUnique/>
      </w:docPartObj>
    </w:sdtPr>
    <w:sdtContent>
      <w:sdt>
        <w:sdtPr>
          <w:id w:val="11511004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6957099"/>
      <w:docPartObj>
        <w:docPartGallery w:val="Page Numbers (Bottom of Page)"/>
        <w:docPartUnique/>
      </w:docPartObj>
    </w:sdtPr>
    <w:sdtContent>
      <w:sdt>
        <w:sdtPr>
          <w:id w:val="15884757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285884"/>
      <w:docPartObj>
        <w:docPartGallery w:val="Page Numbers (Bottom of Page)"/>
        <w:docPartUnique/>
      </w:docPartObj>
    </w:sdtPr>
    <w:sdtContent>
      <w:sdt>
        <w:sdtPr>
          <w:id w:val="13953411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8356046"/>
      <w:docPartObj>
        <w:docPartGallery w:val="Page Numbers (Bottom of Page)"/>
        <w:docPartUnique/>
      </w:docPartObj>
    </w:sdtPr>
    <w:sdtContent>
      <w:sdt>
        <w:sdtPr>
          <w:id w:val="4821556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7451745"/>
      <w:docPartObj>
        <w:docPartGallery w:val="Page Numbers (Bottom of Page)"/>
        <w:docPartUnique/>
      </w:docPartObj>
    </w:sdtPr>
    <w:sdtContent>
      <w:sdt>
        <w:sdtPr>
          <w:id w:val="10334585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1216807"/>
      <w:docPartObj>
        <w:docPartGallery w:val="Page Numbers (Bottom of Page)"/>
        <w:docPartUnique/>
      </w:docPartObj>
    </w:sdtPr>
    <w:sdtContent>
      <w:sdt>
        <w:sdtPr>
          <w:id w:val="15480600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7421733"/>
      <w:docPartObj>
        <w:docPartGallery w:val="Page Numbers (Bottom of Page)"/>
        <w:docPartUnique/>
      </w:docPartObj>
    </w:sdtPr>
    <w:sdtContent>
      <w:sdt>
        <w:sdtPr>
          <w:id w:val="17186878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5587044"/>
      <w:docPartObj>
        <w:docPartGallery w:val="Page Numbers (Bottom of Page)"/>
        <w:docPartUnique/>
      </w:docPartObj>
    </w:sdtPr>
    <w:sdtContent>
      <w:sdt>
        <w:sdtPr>
          <w:id w:val="20070520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442301"/>
      <w:docPartObj>
        <w:docPartGallery w:val="Page Numbers (Bottom of Page)"/>
        <w:docPartUnique/>
      </w:docPartObj>
    </w:sdtPr>
    <w:sdtContent>
      <w:sdt>
        <w:sdtPr>
          <w:id w:val="13403762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9705490"/>
      <w:docPartObj>
        <w:docPartGallery w:val="Page Numbers (Bottom of Page)"/>
        <w:docPartUnique/>
      </w:docPartObj>
    </w:sdtPr>
    <w:sdtContent>
      <w:sdt>
        <w:sdtPr>
          <w:id w:val="13702054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1921216"/>
      <w:docPartObj>
        <w:docPartGallery w:val="Page Numbers (Bottom of Page)"/>
        <w:docPartUnique/>
      </w:docPartObj>
    </w:sdtPr>
    <w:sdtContent>
      <w:sdt>
        <w:sdtPr>
          <w:id w:val="9525738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7775255"/>
      <w:docPartObj>
        <w:docPartGallery w:val="Page Numbers (Bottom of Page)"/>
        <w:docPartUnique/>
      </w:docPartObj>
    </w:sdtPr>
    <w:sdtContent>
      <w:sdt>
        <w:sdtPr>
          <w:id w:val="17128306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3044811"/>
      <w:docPartObj>
        <w:docPartGallery w:val="Page Numbers (Bottom of Page)"/>
        <w:docPartUnique/>
      </w:docPartObj>
    </w:sdtPr>
    <w:sdtContent>
      <w:sdt>
        <w:sdtPr>
          <w:id w:val="16018473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0480618"/>
      <w:docPartObj>
        <w:docPartGallery w:val="Page Numbers (Bottom of Page)"/>
        <w:docPartUnique/>
      </w:docPartObj>
    </w:sdtPr>
    <w:sdtContent>
      <w:sdt>
        <w:sdtPr>
          <w:id w:val="1847363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4301954"/>
      <w:docPartObj>
        <w:docPartGallery w:val="Page Numbers (Bottom of Page)"/>
        <w:docPartUnique/>
      </w:docPartObj>
    </w:sdtPr>
    <w:sdtContent>
      <w:sdt>
        <w:sdtPr>
          <w:id w:val="9862691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06653FD" w14:textId="77777777">
    <w:pPr>
      <w:pStyle w:val="Header"/>
      <w:pBdr>
        <w:bottom w:val="single" w:sz="4" w:space="1" w:color="auto"/>
      </w:pBdr>
      <w:jc w:val="right"/>
    </w:pPr>
    <w:r>
      <w:t>2024年显示器化学品项目可行性分析报告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2024年显示器化学品项目可行性分析报告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2024年显示器化学品项目可行性分析报告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2024年显示器化学品项目可行性分析报告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2024年显示器化学品项目可行性分析报告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50D74C8" w14:textId="77777777">
    <w:pPr>
      <w:pStyle w:val="Header"/>
      <w:pBdr>
        <w:bottom w:val="single" w:sz="4" w:space="1" w:color="auto"/>
      </w:pBdr>
      <w:jc w:val="right"/>
      <w:rPr>
        <w:sz w:val="24"/>
        <w:szCs w:val="24"/>
      </w:rPr>
    </w:pPr>
    <w:r>
      <w:t>2024年显示器化学品项目可行性分析报告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2024年显示器化学品项目可行性分析报告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15FA6"/>
    <w:rsid w:val="00522AB1"/>
    <w:rsid w:val="00581981"/>
    <w:rsid w:val="005A634D"/>
    <w:rsid w:val="005F2BD8"/>
    <w:rsid w:val="00613DB2"/>
    <w:rsid w:val="00645B6E"/>
    <w:rsid w:val="00666AD0"/>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FA3A08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5002120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7261</Words>
  <Characters>41391</Characters>
  <Application>Microsoft Office Word</Application>
  <DocSecurity>0</DocSecurity>
  <Lines>344</Lines>
  <Paragraphs>97</Paragraphs>
  <ScaleCrop>false</ScaleCrop>
  <Company/>
  <LinksUpToDate>false</LinksUpToDate>
  <CharactersWithSpaces>48555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2024-02-02T02:44:00Z</dcterms:modified>
</cp:coreProperties>
</file>