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bookmarkStart w:id="0" w:name="_GoBack"/>
      <w:bookmarkEnd w:id="0"/>
    </w:p>
    <w:p>
      <w:pPr>
        <w:rPr>
          <w:rFonts w:ascii="仿宋" w:eastAsia="仿宋" w:hAnsi="仿宋" w:cs="仿宋" w:hint="eastAsia"/>
          <w:b/>
          <w:sz w:val="40"/>
        </w:rPr>
      </w:pPr>
    </w:p>
    <w:p>
      <w:pPr>
        <w:rPr>
          <w:rFonts w:ascii="仿宋" w:eastAsia="仿宋" w:hAnsi="仿宋" w:cs="仿宋" w:hint="eastAsia"/>
          <w:b/>
          <w:sz w:val="40"/>
        </w:rPr>
      </w:pPr>
    </w:p>
    <w:p>
      <w:pPr>
        <w:spacing w:before="254" w:line="360" w:lineRule="auto"/>
        <w:ind w:left="273"/>
        <w:jc w:val="center"/>
        <w:outlineLvl w:val="0"/>
        <w:rPr>
          <w:rFonts w:ascii="微软雅黑" w:eastAsia="微软雅黑" w:hAnsi="微软雅黑" w:cs="微软雅黑"/>
          <w:b/>
          <w:bCs/>
          <w:color w:val="2D54A0"/>
          <w:spacing w:val="8"/>
          <w:sz w:val="59"/>
          <w:szCs w:val="59"/>
        </w:rPr>
      </w:pPr>
      <w:r>
        <w:rPr>
          <w:rFonts w:ascii="微软雅黑" w:eastAsia="微软雅黑" w:hAnsi="微软雅黑" w:cs="微软雅黑"/>
          <w:b/>
          <w:bCs/>
          <w:color w:val="2D54A0"/>
          <w:spacing w:val="9"/>
          <w:sz w:val="59"/>
          <w:szCs w:val="59"/>
        </w:rPr>
        <w:t>2024年频谱分析仪行业趋势</w:t>
      </w:r>
      <w:r>
        <w:rPr>
          <w:rFonts w:ascii="微软雅黑" w:eastAsia="微软雅黑" w:hAnsi="微软雅黑" w:cs="微软雅黑"/>
          <w:b/>
          <w:bCs/>
          <w:color w:val="2D54A0"/>
          <w:spacing w:val="8"/>
          <w:sz w:val="59"/>
          <w:szCs w:val="59"/>
        </w:rPr>
        <w:t>报告</w:t>
      </w: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b/>
          <w:bCs/>
          <w:color w:val="2D54A0"/>
          <w:spacing w:val="8"/>
          <w:sz w:val="59"/>
          <w:szCs w:val="59"/>
        </w:rPr>
      </w:pPr>
    </w:p>
    <w:p>
      <w:pPr>
        <w:spacing w:before="254" w:line="360" w:lineRule="auto"/>
        <w:ind w:left="273"/>
        <w:jc w:val="center"/>
        <w:outlineLvl w:val="0"/>
        <w:rPr>
          <w:rFonts w:ascii="微软雅黑" w:eastAsia="微软雅黑" w:hAnsi="微软雅黑" w:cs="微软雅黑" w:hint="default"/>
          <w:b/>
          <w:bCs/>
          <w:color w:val="2D54A0"/>
          <w:spacing w:val="8"/>
          <w:sz w:val="44"/>
          <w:szCs w:val="44"/>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b/>
          <w:bCs/>
          <w:color w:val="2D54A0"/>
          <w:spacing w:val="8"/>
          <w:sz w:val="44"/>
          <w:szCs w:val="44"/>
          <w:lang w:val="en-US" w:eastAsia="zh-CN"/>
        </w:rPr>
        <w:t>《2024年最新评估分析》</w:t>
      </w:r>
    </w:p>
    <w:p>
      <w:pPr>
        <w:spacing w:line="360" w:lineRule="auto"/>
        <w:jc w:val="center"/>
        <w:rPr>
          <w:rFonts w:ascii="微软雅黑" w:eastAsia="微软雅黑" w:hAnsi="微软雅黑" w:cs="微软雅黑" w:hint="eastAsia"/>
          <w:b/>
          <w:bCs w:val="0"/>
          <w:color w:val="2E54A1" w:themeColor="accent1" w:themeShade="BF"/>
          <w:sz w:val="40"/>
        </w:rPr>
      </w:pPr>
      <w:r>
        <w:rPr>
          <w:rFonts w:ascii="微软雅黑" w:eastAsia="微软雅黑" w:hAnsi="微软雅黑" w:cs="微软雅黑" w:hint="eastAsia"/>
          <w:b/>
          <w:bCs w:val="0"/>
          <w:color w:val="2E54A1" w:themeColor="accent1" w:themeShade="BF"/>
          <w:sz w:val="40"/>
          <w:lang w:eastAsia="zh-CN"/>
        </w:rPr>
        <w:t>目录</w:t>
      </w:r>
    </w:p>
    <w:p>
      <w:pPr>
        <w:pStyle w:val="TOC1"/>
        <w:tabs>
          <w:tab w:val="right" w:leader="dot" w:pos="8306"/>
        </w:tabs>
      </w:pPr>
      <w:r>
        <w:fldChar w:fldCharType="begin"/>
      </w:r>
      <w:r>
        <w:instrText>TOC \h \z</w:instrText>
      </w:r>
      <w:r>
        <w:fldChar w:fldCharType="separate"/>
      </w:r>
      <w:hyperlink w:anchor="_Toc21624" w:history="1">
        <w:r>
          <w:rPr>
            <w:rFonts w:ascii="微软雅黑" w:eastAsia="微软雅黑" w:hAnsi="微软雅黑" w:cs="微软雅黑" w:hint="eastAsia"/>
            <w:color w:val="001CAC" w:themeColor="hyperlink" w:themeShade="BF"/>
            <w:lang w:eastAsia="zh-CN"/>
          </w:rPr>
          <w:t>前言</w:t>
        </w:r>
        <w:r>
          <w:tab/>
        </w:r>
        <w:r>
          <w:fldChar w:fldCharType="begin"/>
        </w:r>
        <w:r>
          <w:instrText xml:space="preserve"> PAGEREF _Toc21624 \h </w:instrText>
        </w:r>
        <w:r>
          <w:fldChar w:fldCharType="separate"/>
        </w:r>
        <w:r>
          <w:t>4</w:t>
        </w:r>
        <w:r>
          <w:fldChar w:fldCharType="end"/>
        </w:r>
      </w:hyperlink>
    </w:p>
    <w:p>
      <w:pPr>
        <w:pStyle w:val="TOC1"/>
        <w:tabs>
          <w:tab w:val="right" w:leader="dot" w:pos="8306"/>
        </w:tabs>
      </w:pPr>
      <w:hyperlink w:anchor="_Toc15200" w:history="1">
        <w:r>
          <w:rPr>
            <w:rFonts w:ascii="微软雅黑" w:eastAsia="微软雅黑" w:hAnsi="微软雅黑" w:cs="微软雅黑" w:hint="eastAsia"/>
            <w:color w:val="001CAC" w:themeColor="hyperlink" w:themeShade="BF"/>
            <w:szCs w:val="32"/>
            <w:lang w:eastAsia="zh-CN"/>
          </w:rPr>
          <w:t>一、安全与劳动保护</w:t>
        </w:r>
        <w:r>
          <w:tab/>
        </w:r>
        <w:r>
          <w:fldChar w:fldCharType="begin"/>
        </w:r>
        <w:r>
          <w:instrText xml:space="preserve"> PAGEREF _Toc15200 \h </w:instrText>
        </w:r>
        <w:r>
          <w:fldChar w:fldCharType="separate"/>
        </w:r>
        <w:r>
          <w:t>4</w:t>
        </w:r>
        <w:r>
          <w:fldChar w:fldCharType="end"/>
        </w:r>
      </w:hyperlink>
    </w:p>
    <w:p>
      <w:pPr>
        <w:pStyle w:val="TOC2"/>
        <w:tabs>
          <w:tab w:val="right" w:leader="dot" w:pos="8306"/>
        </w:tabs>
      </w:pPr>
      <w:hyperlink w:anchor="_Toc29836" w:history="1">
        <w:r>
          <w:rPr>
            <w:rFonts w:ascii="宋体" w:eastAsia="宋体" w:hAnsi="宋体" w:cs="宋体" w:hint="eastAsia"/>
            <w:bCs w:val="0"/>
            <w:szCs w:val="28"/>
            <w:lang w:eastAsia="zh-CN"/>
          </w:rPr>
          <w:t>(一)、设计依据与法规合规</w:t>
        </w:r>
        <w:r>
          <w:tab/>
        </w:r>
        <w:r>
          <w:fldChar w:fldCharType="begin"/>
        </w:r>
        <w:r>
          <w:instrText xml:space="preserve"> PAGEREF _Toc29836 \h </w:instrText>
        </w:r>
        <w:r>
          <w:fldChar w:fldCharType="separate"/>
        </w:r>
        <w:r>
          <w:t>4</w:t>
        </w:r>
        <w:r>
          <w:fldChar w:fldCharType="end"/>
        </w:r>
      </w:hyperlink>
    </w:p>
    <w:p>
      <w:pPr>
        <w:pStyle w:val="TOC2"/>
        <w:tabs>
          <w:tab w:val="right" w:leader="dot" w:pos="8306"/>
        </w:tabs>
      </w:pPr>
      <w:hyperlink w:anchor="_Toc8592" w:history="1">
        <w:r>
          <w:rPr>
            <w:rFonts w:ascii="宋体" w:eastAsia="宋体" w:hAnsi="宋体" w:cs="宋体" w:hint="eastAsia"/>
            <w:bCs w:val="0"/>
            <w:szCs w:val="28"/>
            <w:lang w:eastAsia="zh-CN"/>
          </w:rPr>
          <w:t>(二)、劳动安全预期效果评价</w:t>
        </w:r>
        <w:r>
          <w:tab/>
        </w:r>
        <w:r>
          <w:fldChar w:fldCharType="begin"/>
        </w:r>
        <w:r>
          <w:instrText xml:space="preserve"> PAGEREF _Toc8592 \h </w:instrText>
        </w:r>
        <w:r>
          <w:fldChar w:fldCharType="separate"/>
        </w:r>
        <w:r>
          <w:t>4</w:t>
        </w:r>
        <w:r>
          <w:fldChar w:fldCharType="end"/>
        </w:r>
      </w:hyperlink>
    </w:p>
    <w:p>
      <w:pPr>
        <w:pStyle w:val="TOC2"/>
        <w:tabs>
          <w:tab w:val="right" w:leader="dot" w:pos="8306"/>
        </w:tabs>
      </w:pPr>
      <w:hyperlink w:anchor="_Toc27229" w:history="1">
        <w:r>
          <w:rPr>
            <w:rFonts w:ascii="宋体" w:eastAsia="宋体" w:hAnsi="宋体" w:cs="宋体" w:hint="eastAsia"/>
            <w:bCs w:val="0"/>
            <w:szCs w:val="28"/>
            <w:lang w:eastAsia="zh-CN"/>
          </w:rPr>
          <w:t>(三)、主要防范措施</w:t>
        </w:r>
        <w:r>
          <w:tab/>
        </w:r>
        <w:r>
          <w:fldChar w:fldCharType="begin"/>
        </w:r>
        <w:r>
          <w:instrText xml:space="preserve"> PAGEREF _Toc27229 \h </w:instrText>
        </w:r>
        <w:r>
          <w:fldChar w:fldCharType="separate"/>
        </w:r>
        <w:r>
          <w:t>5</w:t>
        </w:r>
        <w:r>
          <w:fldChar w:fldCharType="end"/>
        </w:r>
      </w:hyperlink>
    </w:p>
    <w:p>
      <w:pPr>
        <w:pStyle w:val="TOC1"/>
        <w:tabs>
          <w:tab w:val="right" w:leader="dot" w:pos="8306"/>
        </w:tabs>
      </w:pPr>
      <w:hyperlink w:anchor="_Toc21530" w:history="1">
        <w:r>
          <w:rPr>
            <w:rFonts w:ascii="微软雅黑" w:eastAsia="微软雅黑" w:hAnsi="微软雅黑" w:cs="微软雅黑" w:hint="eastAsia"/>
            <w:color w:val="001CAC" w:themeColor="hyperlink" w:themeShade="BF"/>
            <w:szCs w:val="32"/>
            <w:lang w:eastAsia="zh-CN"/>
          </w:rPr>
          <w:t>二、质量与技术管理</w:t>
        </w:r>
        <w:r>
          <w:tab/>
        </w:r>
        <w:r>
          <w:fldChar w:fldCharType="begin"/>
        </w:r>
        <w:r>
          <w:instrText xml:space="preserve"> PAGEREF _Toc21530 \h </w:instrText>
        </w:r>
        <w:r>
          <w:fldChar w:fldCharType="separate"/>
        </w:r>
        <w:r>
          <w:t>6</w:t>
        </w:r>
        <w:r>
          <w:fldChar w:fldCharType="end"/>
        </w:r>
      </w:hyperlink>
    </w:p>
    <w:p>
      <w:pPr>
        <w:pStyle w:val="TOC2"/>
        <w:tabs>
          <w:tab w:val="right" w:leader="dot" w:pos="8306"/>
        </w:tabs>
      </w:pPr>
      <w:hyperlink w:anchor="_Toc28519" w:history="1">
        <w:r>
          <w:rPr>
            <w:rFonts w:ascii="宋体" w:eastAsia="宋体" w:hAnsi="宋体" w:cs="宋体" w:hint="eastAsia"/>
            <w:bCs w:val="0"/>
            <w:szCs w:val="28"/>
            <w:lang w:eastAsia="zh-CN"/>
          </w:rPr>
          <w:t>(一)、质量管理体系建设</w:t>
        </w:r>
        <w:r>
          <w:tab/>
        </w:r>
        <w:r>
          <w:fldChar w:fldCharType="begin"/>
        </w:r>
        <w:r>
          <w:instrText xml:space="preserve"> PAGEREF _Toc28519 \h </w:instrText>
        </w:r>
        <w:r>
          <w:fldChar w:fldCharType="separate"/>
        </w:r>
        <w:r>
          <w:t>6</w:t>
        </w:r>
        <w:r>
          <w:fldChar w:fldCharType="end"/>
        </w:r>
      </w:hyperlink>
    </w:p>
    <w:p>
      <w:pPr>
        <w:pStyle w:val="TOC2"/>
        <w:tabs>
          <w:tab w:val="right" w:leader="dot" w:pos="8306"/>
        </w:tabs>
      </w:pPr>
      <w:hyperlink w:anchor="_Toc25894" w:history="1">
        <w:r>
          <w:rPr>
            <w:rFonts w:ascii="宋体" w:eastAsia="宋体" w:hAnsi="宋体" w:cs="宋体" w:hint="eastAsia"/>
            <w:bCs w:val="0"/>
            <w:szCs w:val="28"/>
            <w:lang w:eastAsia="zh-CN"/>
          </w:rPr>
          <w:t>(二)、技术标准与创新</w:t>
        </w:r>
        <w:r>
          <w:tab/>
        </w:r>
        <w:r>
          <w:fldChar w:fldCharType="begin"/>
        </w:r>
        <w:r>
          <w:instrText xml:space="preserve"> PAGEREF _Toc25894 \h </w:instrText>
        </w:r>
        <w:r>
          <w:fldChar w:fldCharType="separate"/>
        </w:r>
        <w:r>
          <w:t>7</w:t>
        </w:r>
        <w:r>
          <w:fldChar w:fldCharType="end"/>
        </w:r>
      </w:hyperlink>
    </w:p>
    <w:p>
      <w:pPr>
        <w:pStyle w:val="TOC1"/>
        <w:tabs>
          <w:tab w:val="right" w:leader="dot" w:pos="8306"/>
        </w:tabs>
      </w:pPr>
      <w:hyperlink w:anchor="_Toc31072" w:history="1">
        <w:r>
          <w:rPr>
            <w:rFonts w:ascii="微软雅黑" w:eastAsia="微软雅黑" w:hAnsi="微软雅黑" w:cs="微软雅黑" w:hint="eastAsia"/>
            <w:color w:val="001CAC" w:themeColor="hyperlink" w:themeShade="BF"/>
            <w:szCs w:val="32"/>
            <w:lang w:eastAsia="zh-CN"/>
          </w:rPr>
          <w:t>三、频谱分析仪行业公司治理与社会责任</w:t>
        </w:r>
        <w:r>
          <w:tab/>
        </w:r>
        <w:r>
          <w:fldChar w:fldCharType="begin"/>
        </w:r>
        <w:r>
          <w:instrText xml:space="preserve"> PAGEREF _Toc31072 \h </w:instrText>
        </w:r>
        <w:r>
          <w:fldChar w:fldCharType="separate"/>
        </w:r>
        <w:r>
          <w:t>7</w:t>
        </w:r>
        <w:r>
          <w:fldChar w:fldCharType="end"/>
        </w:r>
      </w:hyperlink>
    </w:p>
    <w:p>
      <w:pPr>
        <w:pStyle w:val="TOC2"/>
        <w:tabs>
          <w:tab w:val="right" w:leader="dot" w:pos="8306"/>
        </w:tabs>
      </w:pPr>
      <w:hyperlink w:anchor="_Toc14079" w:history="1">
        <w:r>
          <w:rPr>
            <w:rFonts w:ascii="宋体" w:eastAsia="宋体" w:hAnsi="宋体" w:cs="宋体" w:hint="eastAsia"/>
            <w:bCs w:val="0"/>
            <w:szCs w:val="28"/>
            <w:lang w:eastAsia="zh-CN"/>
          </w:rPr>
          <w:t>(一)、公司治理结构</w:t>
        </w:r>
        <w:r>
          <w:tab/>
        </w:r>
        <w:r>
          <w:fldChar w:fldCharType="begin"/>
        </w:r>
        <w:r>
          <w:instrText xml:space="preserve"> PAGEREF _Toc14079 \h </w:instrText>
        </w:r>
        <w:r>
          <w:fldChar w:fldCharType="separate"/>
        </w:r>
        <w:r>
          <w:t>7</w:t>
        </w:r>
        <w:r>
          <w:fldChar w:fldCharType="end"/>
        </w:r>
      </w:hyperlink>
    </w:p>
    <w:p>
      <w:pPr>
        <w:pStyle w:val="TOC2"/>
        <w:tabs>
          <w:tab w:val="right" w:leader="dot" w:pos="8306"/>
        </w:tabs>
      </w:pPr>
      <w:hyperlink w:anchor="_Toc16175" w:history="1">
        <w:r>
          <w:rPr>
            <w:rFonts w:ascii="宋体" w:eastAsia="宋体" w:hAnsi="宋体" w:cs="宋体" w:hint="eastAsia"/>
            <w:bCs w:val="0"/>
            <w:szCs w:val="28"/>
            <w:lang w:eastAsia="zh-CN"/>
          </w:rPr>
          <w:t>(二)、董事会运作与决策</w:t>
        </w:r>
        <w:r>
          <w:tab/>
        </w:r>
        <w:r>
          <w:fldChar w:fldCharType="begin"/>
        </w:r>
        <w:r>
          <w:instrText xml:space="preserve"> PAGEREF _Toc16175 \h </w:instrText>
        </w:r>
        <w:r>
          <w:fldChar w:fldCharType="separate"/>
        </w:r>
        <w:r>
          <w:t>8</w:t>
        </w:r>
        <w:r>
          <w:fldChar w:fldCharType="end"/>
        </w:r>
      </w:hyperlink>
    </w:p>
    <w:p>
      <w:pPr>
        <w:pStyle w:val="TOC2"/>
        <w:tabs>
          <w:tab w:val="right" w:leader="dot" w:pos="8306"/>
        </w:tabs>
      </w:pPr>
      <w:hyperlink w:anchor="_Toc5028" w:history="1">
        <w:r>
          <w:rPr>
            <w:rFonts w:ascii="宋体" w:eastAsia="宋体" w:hAnsi="宋体" w:cs="宋体" w:hint="eastAsia"/>
            <w:bCs w:val="0"/>
            <w:szCs w:val="28"/>
            <w:lang w:eastAsia="zh-CN"/>
          </w:rPr>
          <w:t>(三)、内部控制与审计</w:t>
        </w:r>
        <w:r>
          <w:tab/>
        </w:r>
        <w:r>
          <w:fldChar w:fldCharType="begin"/>
        </w:r>
        <w:r>
          <w:instrText xml:space="preserve"> PAGEREF _Toc5028 \h </w:instrText>
        </w:r>
        <w:r>
          <w:fldChar w:fldCharType="separate"/>
        </w:r>
        <w:r>
          <w:t>9</w:t>
        </w:r>
        <w:r>
          <w:fldChar w:fldCharType="end"/>
        </w:r>
      </w:hyperlink>
    </w:p>
    <w:p>
      <w:pPr>
        <w:pStyle w:val="TOC2"/>
        <w:tabs>
          <w:tab w:val="right" w:leader="dot" w:pos="8306"/>
        </w:tabs>
      </w:pPr>
      <w:hyperlink w:anchor="_Toc32421" w:history="1">
        <w:r>
          <w:rPr>
            <w:rFonts w:ascii="宋体" w:eastAsia="宋体" w:hAnsi="宋体" w:cs="宋体" w:hint="eastAsia"/>
            <w:bCs w:val="0"/>
            <w:szCs w:val="28"/>
            <w:lang w:eastAsia="zh-CN"/>
          </w:rPr>
          <w:t>(四)、法律法规合规体系</w:t>
        </w:r>
        <w:r>
          <w:tab/>
        </w:r>
        <w:r>
          <w:fldChar w:fldCharType="begin"/>
        </w:r>
        <w:r>
          <w:instrText xml:space="preserve"> PAGEREF _Toc32421 \h </w:instrText>
        </w:r>
        <w:r>
          <w:fldChar w:fldCharType="separate"/>
        </w:r>
        <w:r>
          <w:t>9</w:t>
        </w:r>
        <w:r>
          <w:fldChar w:fldCharType="end"/>
        </w:r>
      </w:hyperlink>
    </w:p>
    <w:p>
      <w:pPr>
        <w:pStyle w:val="TOC2"/>
        <w:tabs>
          <w:tab w:val="right" w:leader="dot" w:pos="8306"/>
        </w:tabs>
      </w:pPr>
      <w:hyperlink w:anchor="_Toc13874" w:history="1">
        <w:r>
          <w:rPr>
            <w:rFonts w:ascii="宋体" w:eastAsia="宋体" w:hAnsi="宋体" w:cs="宋体" w:hint="eastAsia"/>
            <w:bCs w:val="0"/>
            <w:szCs w:val="28"/>
            <w:lang w:eastAsia="zh-CN"/>
          </w:rPr>
          <w:t>(五)、企业社会责任与道德经营</w:t>
        </w:r>
        <w:r>
          <w:tab/>
        </w:r>
        <w:r>
          <w:fldChar w:fldCharType="begin"/>
        </w:r>
        <w:r>
          <w:instrText xml:space="preserve"> PAGEREF _Toc13874 \h </w:instrText>
        </w:r>
        <w:r>
          <w:fldChar w:fldCharType="separate"/>
        </w:r>
        <w:r>
          <w:t>10</w:t>
        </w:r>
        <w:r>
          <w:fldChar w:fldCharType="end"/>
        </w:r>
      </w:hyperlink>
    </w:p>
    <w:p>
      <w:pPr>
        <w:pStyle w:val="TOC1"/>
        <w:tabs>
          <w:tab w:val="right" w:leader="dot" w:pos="8306"/>
        </w:tabs>
      </w:pPr>
      <w:hyperlink w:anchor="_Toc20690" w:history="1">
        <w:r>
          <w:rPr>
            <w:rFonts w:ascii="微软雅黑" w:eastAsia="微软雅黑" w:hAnsi="微软雅黑" w:cs="微软雅黑" w:hint="eastAsia"/>
            <w:color w:val="001CAC" w:themeColor="hyperlink" w:themeShade="BF"/>
            <w:szCs w:val="32"/>
            <w:lang w:eastAsia="zh-CN"/>
          </w:rPr>
          <w:t>四、频谱分析仪行业质量管理方案</w:t>
        </w:r>
        <w:r>
          <w:tab/>
        </w:r>
        <w:r>
          <w:fldChar w:fldCharType="begin"/>
        </w:r>
        <w:r>
          <w:instrText xml:space="preserve"> PAGEREF _Toc20690 \h </w:instrText>
        </w:r>
        <w:r>
          <w:fldChar w:fldCharType="separate"/>
        </w:r>
        <w:r>
          <w:t>11</w:t>
        </w:r>
        <w:r>
          <w:fldChar w:fldCharType="end"/>
        </w:r>
      </w:hyperlink>
    </w:p>
    <w:p>
      <w:pPr>
        <w:pStyle w:val="TOC2"/>
        <w:tabs>
          <w:tab w:val="right" w:leader="dot" w:pos="8306"/>
        </w:tabs>
      </w:pPr>
      <w:hyperlink w:anchor="_Toc31823" w:history="1">
        <w:r>
          <w:rPr>
            <w:rFonts w:ascii="宋体" w:eastAsia="宋体" w:hAnsi="宋体" w:cs="宋体" w:hint="eastAsia"/>
            <w:bCs w:val="0"/>
            <w:szCs w:val="28"/>
            <w:lang w:eastAsia="zh-CN"/>
          </w:rPr>
          <w:t>(一)、频谱分析仪行业质量管理要求</w:t>
        </w:r>
        <w:r>
          <w:tab/>
        </w:r>
        <w:r>
          <w:fldChar w:fldCharType="begin"/>
        </w:r>
        <w:r>
          <w:instrText xml:space="preserve"> PAGEREF _Toc31823 \h </w:instrText>
        </w:r>
        <w:r>
          <w:fldChar w:fldCharType="separate"/>
        </w:r>
        <w:r>
          <w:t>11</w:t>
        </w:r>
        <w:r>
          <w:fldChar w:fldCharType="end"/>
        </w:r>
      </w:hyperlink>
    </w:p>
    <w:p>
      <w:pPr>
        <w:pStyle w:val="TOC2"/>
        <w:tabs>
          <w:tab w:val="right" w:leader="dot" w:pos="8306"/>
        </w:tabs>
      </w:pPr>
      <w:hyperlink w:anchor="_Toc2605" w:history="1">
        <w:r>
          <w:rPr>
            <w:rFonts w:ascii="宋体" w:eastAsia="宋体" w:hAnsi="宋体" w:cs="宋体" w:hint="eastAsia"/>
            <w:bCs w:val="0"/>
            <w:szCs w:val="28"/>
            <w:lang w:eastAsia="zh-CN"/>
          </w:rPr>
          <w:t>(二)、频谱分析仪行业服务质量管理方案</w:t>
        </w:r>
        <w:r>
          <w:tab/>
        </w:r>
        <w:r>
          <w:fldChar w:fldCharType="begin"/>
        </w:r>
        <w:r>
          <w:instrText xml:space="preserve"> PAGEREF _Toc2605 \h </w:instrText>
        </w:r>
        <w:r>
          <w:fldChar w:fldCharType="separate"/>
        </w:r>
        <w:r>
          <w:t>12</w:t>
        </w:r>
        <w:r>
          <w:fldChar w:fldCharType="end"/>
        </w:r>
      </w:hyperlink>
    </w:p>
    <w:p>
      <w:pPr>
        <w:pStyle w:val="TOC2"/>
        <w:tabs>
          <w:tab w:val="right" w:leader="dot" w:pos="8306"/>
        </w:tabs>
      </w:pPr>
      <w:hyperlink w:anchor="_Toc26688" w:history="1">
        <w:r>
          <w:rPr>
            <w:rFonts w:ascii="宋体" w:eastAsia="宋体" w:hAnsi="宋体" w:cs="宋体" w:hint="eastAsia"/>
            <w:bCs w:val="0"/>
            <w:szCs w:val="28"/>
            <w:lang w:eastAsia="zh-CN"/>
          </w:rPr>
          <w:t>(三)、频谱分析仪行业质量成本管理方案</w:t>
        </w:r>
        <w:r>
          <w:tab/>
        </w:r>
        <w:r>
          <w:fldChar w:fldCharType="begin"/>
        </w:r>
        <w:r>
          <w:instrText xml:space="preserve"> PAGEREF _Toc26688 \h </w:instrText>
        </w:r>
        <w:r>
          <w:fldChar w:fldCharType="separate"/>
        </w:r>
        <w:r>
          <w:t>13</w:t>
        </w:r>
        <w:r>
          <w:fldChar w:fldCharType="end"/>
        </w:r>
      </w:hyperlink>
    </w:p>
    <w:p>
      <w:pPr>
        <w:pStyle w:val="TOC1"/>
        <w:tabs>
          <w:tab w:val="right" w:leader="dot" w:pos="8306"/>
        </w:tabs>
      </w:pPr>
      <w:hyperlink w:anchor="_Toc19699" w:history="1">
        <w:r>
          <w:rPr>
            <w:rFonts w:ascii="微软雅黑" w:eastAsia="微软雅黑" w:hAnsi="微软雅黑" w:cs="微软雅黑" w:hint="eastAsia"/>
            <w:color w:val="001CAC" w:themeColor="hyperlink" w:themeShade="BF"/>
            <w:szCs w:val="32"/>
            <w:lang w:eastAsia="zh-CN"/>
          </w:rPr>
          <w:t>五、频谱分析仪行业人力资源管理策略</w:t>
        </w:r>
        <w:r>
          <w:tab/>
        </w:r>
        <w:r>
          <w:fldChar w:fldCharType="begin"/>
        </w:r>
        <w:r>
          <w:instrText xml:space="preserve"> PAGEREF _Toc19699 \h </w:instrText>
        </w:r>
        <w:r>
          <w:fldChar w:fldCharType="separate"/>
        </w:r>
        <w:r>
          <w:t>14</w:t>
        </w:r>
        <w:r>
          <w:fldChar w:fldCharType="end"/>
        </w:r>
      </w:hyperlink>
    </w:p>
    <w:p>
      <w:pPr>
        <w:pStyle w:val="TOC2"/>
        <w:tabs>
          <w:tab w:val="right" w:leader="dot" w:pos="8306"/>
        </w:tabs>
      </w:pPr>
      <w:hyperlink w:anchor="_Toc8268" w:history="1">
        <w:r>
          <w:rPr>
            <w:rFonts w:ascii="宋体" w:eastAsia="宋体" w:hAnsi="宋体" w:cs="宋体" w:hint="eastAsia"/>
            <w:bCs w:val="0"/>
            <w:szCs w:val="28"/>
            <w:lang w:eastAsia="zh-CN"/>
          </w:rPr>
          <w:t>(一)、频谱分析仪行业人力资源管理原则</w:t>
        </w:r>
        <w:r>
          <w:tab/>
        </w:r>
        <w:r>
          <w:fldChar w:fldCharType="begin"/>
        </w:r>
        <w:r>
          <w:instrText xml:space="preserve"> PAGEREF _Toc8268 \h </w:instrText>
        </w:r>
        <w:r>
          <w:fldChar w:fldCharType="separate"/>
        </w:r>
        <w:r>
          <w:t>14</w:t>
        </w:r>
        <w:r>
          <w:fldChar w:fldCharType="end"/>
        </w:r>
      </w:hyperlink>
    </w:p>
    <w:p>
      <w:pPr>
        <w:pStyle w:val="TOC2"/>
        <w:tabs>
          <w:tab w:val="right" w:leader="dot" w:pos="8306"/>
        </w:tabs>
      </w:pPr>
      <w:hyperlink w:anchor="_Toc26456" w:history="1">
        <w:r>
          <w:rPr>
            <w:rFonts w:ascii="宋体" w:eastAsia="宋体" w:hAnsi="宋体" w:cs="宋体" w:hint="eastAsia"/>
            <w:bCs w:val="0"/>
            <w:szCs w:val="28"/>
            <w:lang w:eastAsia="zh-CN"/>
          </w:rPr>
          <w:t>(二)、频谱分析仪行业劳动关系管理</w:t>
        </w:r>
        <w:r>
          <w:tab/>
        </w:r>
        <w:r>
          <w:fldChar w:fldCharType="begin"/>
        </w:r>
        <w:r>
          <w:instrText xml:space="preserve"> PAGEREF _Toc26456 \h </w:instrText>
        </w:r>
        <w:r>
          <w:fldChar w:fldCharType="separate"/>
        </w:r>
        <w:r>
          <w:t>17</w:t>
        </w:r>
        <w:r>
          <w:fldChar w:fldCharType="end"/>
        </w:r>
      </w:hyperlink>
    </w:p>
    <w:p>
      <w:pPr>
        <w:pStyle w:val="TOC2"/>
        <w:tabs>
          <w:tab w:val="right" w:leader="dot" w:pos="8306"/>
        </w:tabs>
      </w:pPr>
      <w:hyperlink w:anchor="_Toc16026" w:history="1">
        <w:r>
          <w:rPr>
            <w:rFonts w:ascii="宋体" w:eastAsia="宋体" w:hAnsi="宋体" w:cs="宋体" w:hint="eastAsia"/>
            <w:bCs w:val="0"/>
            <w:szCs w:val="28"/>
            <w:lang w:eastAsia="zh-CN"/>
          </w:rPr>
          <w:t>(三)、频谱分析仪行业人员配置方案</w:t>
        </w:r>
        <w:r>
          <w:tab/>
        </w:r>
        <w:r>
          <w:fldChar w:fldCharType="begin"/>
        </w:r>
        <w:r>
          <w:instrText xml:space="preserve"> PAGEREF _Toc16026 \h </w:instrText>
        </w:r>
        <w:r>
          <w:fldChar w:fldCharType="separate"/>
        </w:r>
        <w:r>
          <w:t>18</w:t>
        </w:r>
        <w:r>
          <w:fldChar w:fldCharType="end"/>
        </w:r>
      </w:hyperlink>
    </w:p>
    <w:p>
      <w:pPr>
        <w:pStyle w:val="TOC2"/>
        <w:tabs>
          <w:tab w:val="right" w:leader="dot" w:pos="8306"/>
        </w:tabs>
      </w:pPr>
      <w:hyperlink w:anchor="_Toc9359" w:history="1">
        <w:r>
          <w:rPr>
            <w:rFonts w:ascii="宋体" w:eastAsia="宋体" w:hAnsi="宋体" w:cs="宋体" w:hint="eastAsia"/>
            <w:bCs w:val="0"/>
            <w:szCs w:val="28"/>
            <w:lang w:eastAsia="zh-CN"/>
          </w:rPr>
          <w:t>(四)、频谱分析仪行业员工招聘方案</w:t>
        </w:r>
        <w:r>
          <w:tab/>
        </w:r>
        <w:r>
          <w:fldChar w:fldCharType="begin"/>
        </w:r>
        <w:r>
          <w:instrText xml:space="preserve"> PAGEREF _Toc9359 \h </w:instrText>
        </w:r>
        <w:r>
          <w:fldChar w:fldCharType="separate"/>
        </w:r>
        <w:r>
          <w:t>19</w:t>
        </w:r>
        <w:r>
          <w:fldChar w:fldCharType="end"/>
        </w:r>
      </w:hyperlink>
    </w:p>
    <w:p>
      <w:pPr>
        <w:pStyle w:val="TOC2"/>
        <w:tabs>
          <w:tab w:val="right" w:leader="dot" w:pos="8306"/>
        </w:tabs>
      </w:pPr>
      <w:hyperlink w:anchor="_Toc7348" w:history="1">
        <w:r>
          <w:rPr>
            <w:rFonts w:ascii="宋体" w:eastAsia="宋体" w:hAnsi="宋体" w:cs="宋体" w:hint="eastAsia"/>
            <w:bCs w:val="0"/>
            <w:szCs w:val="28"/>
            <w:lang w:eastAsia="zh-CN"/>
          </w:rPr>
          <w:t>(五)、频谱分析仪行业绩效和薪酬管理方案</w:t>
        </w:r>
        <w:r>
          <w:tab/>
        </w:r>
        <w:r>
          <w:fldChar w:fldCharType="begin"/>
        </w:r>
        <w:r>
          <w:instrText xml:space="preserve"> PAGEREF _Toc7348 \h </w:instrText>
        </w:r>
        <w:r>
          <w:fldChar w:fldCharType="separate"/>
        </w:r>
        <w:r>
          <w:t>20</w:t>
        </w:r>
        <w:r>
          <w:fldChar w:fldCharType="end"/>
        </w:r>
      </w:hyperlink>
    </w:p>
    <w:p>
      <w:pPr>
        <w:pStyle w:val="TOC2"/>
        <w:tabs>
          <w:tab w:val="right" w:leader="dot" w:pos="8306"/>
        </w:tabs>
      </w:pPr>
      <w:hyperlink w:anchor="_Toc11945" w:history="1">
        <w:r>
          <w:rPr>
            <w:rFonts w:ascii="宋体" w:eastAsia="宋体" w:hAnsi="宋体" w:cs="宋体" w:hint="eastAsia"/>
            <w:bCs w:val="0"/>
            <w:szCs w:val="28"/>
            <w:lang w:eastAsia="zh-CN"/>
          </w:rPr>
          <w:t>(六)、频谱分析仪行业员工福利管理方案</w:t>
        </w:r>
        <w:r>
          <w:tab/>
        </w:r>
        <w:r>
          <w:fldChar w:fldCharType="begin"/>
        </w:r>
        <w:r>
          <w:instrText xml:space="preserve"> PAGEREF _Toc11945 \h </w:instrText>
        </w:r>
        <w:r>
          <w:fldChar w:fldCharType="separate"/>
        </w:r>
        <w:r>
          <w:t>22</w:t>
        </w:r>
        <w:r>
          <w:fldChar w:fldCharType="end"/>
        </w:r>
      </w:hyperlink>
    </w:p>
    <w:p>
      <w:pPr>
        <w:pStyle w:val="TOC1"/>
        <w:tabs>
          <w:tab w:val="right" w:leader="dot" w:pos="8306"/>
        </w:tabs>
      </w:pPr>
      <w:hyperlink w:anchor="_Toc24649" w:history="1">
        <w:r>
          <w:rPr>
            <w:rFonts w:ascii="微软雅黑" w:eastAsia="微软雅黑" w:hAnsi="微软雅黑" w:cs="微软雅黑" w:hint="eastAsia"/>
            <w:color w:val="001CAC" w:themeColor="hyperlink" w:themeShade="BF"/>
            <w:szCs w:val="32"/>
            <w:lang w:eastAsia="zh-CN"/>
          </w:rPr>
          <w:t>六、频谱分析仪行业背景及市场分析</w:t>
        </w:r>
        <w:r>
          <w:tab/>
        </w:r>
        <w:r>
          <w:fldChar w:fldCharType="begin"/>
        </w:r>
        <w:r>
          <w:instrText xml:space="preserve"> PAGEREF _Toc24649 \h </w:instrText>
        </w:r>
        <w:r>
          <w:fldChar w:fldCharType="separate"/>
        </w:r>
        <w:r>
          <w:t>24</w:t>
        </w:r>
        <w:r>
          <w:fldChar w:fldCharType="end"/>
        </w:r>
      </w:hyperlink>
    </w:p>
    <w:p>
      <w:pPr>
        <w:pStyle w:val="TOC2"/>
        <w:tabs>
          <w:tab w:val="right" w:leader="dot" w:pos="8306"/>
        </w:tabs>
      </w:pPr>
      <w:hyperlink w:anchor="_Toc20704" w:history="1">
        <w:r>
          <w:rPr>
            <w:rFonts w:ascii="宋体" w:eastAsia="宋体" w:hAnsi="宋体" w:cs="宋体" w:hint="eastAsia"/>
            <w:bCs w:val="0"/>
            <w:szCs w:val="28"/>
            <w:lang w:eastAsia="zh-CN"/>
          </w:rPr>
          <w:t>(一)、频谱分析仪行业创新驱动</w:t>
        </w:r>
        <w:r>
          <w:tab/>
        </w:r>
        <w:r>
          <w:fldChar w:fldCharType="begin"/>
        </w:r>
        <w:r>
          <w:instrText xml:space="preserve"> PAGEREF _Toc20704 \h </w:instrText>
        </w:r>
        <w:r>
          <w:fldChar w:fldCharType="separate"/>
        </w:r>
        <w:r>
          <w:t>24</w:t>
        </w:r>
        <w:r>
          <w:fldChar w:fldCharType="end"/>
        </w:r>
      </w:hyperlink>
    </w:p>
    <w:p>
      <w:pPr>
        <w:pStyle w:val="TOC2"/>
        <w:tabs>
          <w:tab w:val="right" w:leader="dot" w:pos="8306"/>
        </w:tabs>
      </w:pPr>
      <w:hyperlink w:anchor="_Toc31467" w:history="1">
        <w:r>
          <w:rPr>
            <w:rFonts w:ascii="宋体" w:eastAsia="宋体" w:hAnsi="宋体" w:cs="宋体" w:hint="eastAsia"/>
            <w:bCs w:val="0"/>
            <w:szCs w:val="28"/>
            <w:lang w:eastAsia="zh-CN"/>
          </w:rPr>
          <w:t>(二)、频谱分析仪行业发展现状</w:t>
        </w:r>
        <w:r>
          <w:tab/>
        </w:r>
        <w:r>
          <w:fldChar w:fldCharType="begin"/>
        </w:r>
        <w:r>
          <w:instrText xml:space="preserve"> PAGEREF _Toc31467 \h </w:instrText>
        </w:r>
        <w:r>
          <w:fldChar w:fldCharType="separate"/>
        </w:r>
        <w:r>
          <w:t>24</w:t>
        </w:r>
        <w:r>
          <w:fldChar w:fldCharType="end"/>
        </w:r>
      </w:hyperlink>
    </w:p>
    <w:p>
      <w:pPr>
        <w:pStyle w:val="TOC2"/>
        <w:tabs>
          <w:tab w:val="right" w:leader="dot" w:pos="8306"/>
        </w:tabs>
      </w:pPr>
      <w:hyperlink w:anchor="_Toc9418" w:history="1">
        <w:r>
          <w:rPr>
            <w:rFonts w:ascii="宋体" w:eastAsia="宋体" w:hAnsi="宋体" w:cs="宋体" w:hint="eastAsia"/>
            <w:bCs w:val="0"/>
            <w:szCs w:val="28"/>
            <w:lang w:eastAsia="zh-CN"/>
          </w:rPr>
          <w:t>(三)、频谱分析仪行业高质量发展</w:t>
        </w:r>
        <w:r>
          <w:tab/>
        </w:r>
        <w:r>
          <w:fldChar w:fldCharType="begin"/>
        </w:r>
        <w:r>
          <w:instrText xml:space="preserve"> PAGEREF _Toc9418 \h </w:instrText>
        </w:r>
        <w:r>
          <w:fldChar w:fldCharType="separate"/>
        </w:r>
        <w:r>
          <w:t>25</w:t>
        </w:r>
        <w:r>
          <w:fldChar w:fldCharType="end"/>
        </w:r>
      </w:hyperlink>
    </w:p>
    <w:p>
      <w:pPr>
        <w:pStyle w:val="TOC2"/>
        <w:tabs>
          <w:tab w:val="right" w:leader="dot" w:pos="8306"/>
        </w:tabs>
      </w:pPr>
      <w:hyperlink w:anchor="_Toc7389" w:history="1">
        <w:r>
          <w:rPr>
            <w:rFonts w:ascii="宋体" w:eastAsia="宋体" w:hAnsi="宋体" w:cs="宋体" w:hint="eastAsia"/>
            <w:bCs w:val="0"/>
            <w:szCs w:val="28"/>
            <w:lang w:eastAsia="zh-CN"/>
          </w:rPr>
          <w:t>(四)、频谱分析仪行业产业链分析</w:t>
        </w:r>
        <w:r>
          <w:tab/>
        </w:r>
        <w:r>
          <w:fldChar w:fldCharType="begin"/>
        </w:r>
        <w:r>
          <w:instrText xml:space="preserve"> PAGEREF _Toc7389 \h </w:instrText>
        </w:r>
        <w:r>
          <w:fldChar w:fldCharType="separate"/>
        </w:r>
        <w:r>
          <w:t>26</w:t>
        </w:r>
        <w:r>
          <w:fldChar w:fldCharType="end"/>
        </w:r>
      </w:hyperlink>
    </w:p>
    <w:p>
      <w:pPr>
        <w:pStyle w:val="TOC2"/>
        <w:tabs>
          <w:tab w:val="right" w:leader="dot" w:pos="8306"/>
        </w:tabs>
      </w:pPr>
      <w:hyperlink w:anchor="_Toc19073" w:history="1">
        <w:r>
          <w:rPr>
            <w:rFonts w:ascii="宋体" w:eastAsia="宋体" w:hAnsi="宋体" w:cs="宋体" w:hint="eastAsia"/>
            <w:bCs w:val="0"/>
            <w:szCs w:val="28"/>
            <w:lang w:eastAsia="zh-CN"/>
          </w:rPr>
          <w:t>(五)、频谱分析仪行业发展方向</w:t>
        </w:r>
        <w:r>
          <w:tab/>
        </w:r>
        <w:r>
          <w:fldChar w:fldCharType="begin"/>
        </w:r>
        <w:r>
          <w:instrText xml:space="preserve"> PAGEREF _Toc19073 \h </w:instrText>
        </w:r>
        <w:r>
          <w:fldChar w:fldCharType="separate"/>
        </w:r>
        <w:r>
          <w:t>27</w:t>
        </w:r>
        <w:r>
          <w:fldChar w:fldCharType="end"/>
        </w:r>
      </w:hyperlink>
    </w:p>
    <w:p>
      <w:pPr>
        <w:pStyle w:val="TOC2"/>
        <w:tabs>
          <w:tab w:val="right" w:leader="dot" w:pos="8306"/>
        </w:tabs>
      </w:pPr>
      <w:hyperlink w:anchor="_Toc23341" w:history="1">
        <w:r>
          <w:rPr>
            <w:rFonts w:ascii="宋体" w:eastAsia="宋体" w:hAnsi="宋体" w:cs="宋体" w:hint="eastAsia"/>
            <w:bCs w:val="0"/>
            <w:szCs w:val="28"/>
            <w:lang w:eastAsia="zh-CN"/>
          </w:rPr>
          <w:t>(六)、频谱分析仪行业前景</w:t>
        </w:r>
        <w:r>
          <w:tab/>
        </w:r>
        <w:r>
          <w:fldChar w:fldCharType="begin"/>
        </w:r>
        <w:r>
          <w:instrText xml:space="preserve"> PAGEREF _Toc23341 \h </w:instrText>
        </w:r>
        <w:r>
          <w:fldChar w:fldCharType="separate"/>
        </w:r>
        <w:r>
          <w:t>30</w:t>
        </w:r>
        <w:r>
          <w:fldChar w:fldCharType="end"/>
        </w:r>
      </w:hyperlink>
    </w:p>
    <w:p>
      <w:pPr>
        <w:pStyle w:val="TOC2"/>
        <w:tabs>
          <w:tab w:val="right" w:leader="dot" w:pos="8306"/>
        </w:tabs>
      </w:pPr>
      <w:hyperlink w:anchor="_Toc2768" w:history="1">
        <w:r>
          <w:rPr>
            <w:rFonts w:ascii="宋体" w:eastAsia="宋体" w:hAnsi="宋体" w:cs="宋体" w:hint="eastAsia"/>
            <w:bCs w:val="0"/>
            <w:szCs w:val="28"/>
            <w:lang w:eastAsia="zh-CN"/>
          </w:rPr>
          <w:t>(七)、频谱分析仪行业发展趋势</w:t>
        </w:r>
        <w:r>
          <w:tab/>
        </w:r>
        <w:r>
          <w:fldChar w:fldCharType="begin"/>
        </w:r>
        <w:r>
          <w:instrText xml:space="preserve"> PAGEREF _Toc2768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 w:history="1">
        <w:r>
          <w:rPr>
            <w:rFonts w:ascii="微软雅黑" w:eastAsia="微软雅黑" w:hAnsi="微软雅黑" w:cs="微软雅黑" w:hint="eastAsia"/>
            <w:color w:val="001CAC" w:themeColor="hyperlink" w:themeShade="BF"/>
            <w:szCs w:val="32"/>
            <w:lang w:eastAsia="zh-CN"/>
          </w:rPr>
          <w:t>七、可持续发展与绿色经营</w:t>
        </w:r>
        <w:r>
          <w:tab/>
        </w:r>
        <w:r>
          <w:fldChar w:fldCharType="begin"/>
        </w:r>
        <w:r>
          <w:instrText xml:space="preserve"> PAGEREF _Toc2982 \h </w:instrText>
        </w:r>
        <w:r>
          <w:fldChar w:fldCharType="separate"/>
        </w:r>
        <w:r>
          <w:t>34</w:t>
        </w:r>
        <w:r>
          <w:fldChar w:fldCharType="end"/>
        </w:r>
      </w:hyperlink>
    </w:p>
    <w:p>
      <w:pPr>
        <w:pStyle w:val="TOC2"/>
        <w:tabs>
          <w:tab w:val="right" w:leader="dot" w:pos="8306"/>
        </w:tabs>
      </w:pPr>
      <w:hyperlink w:anchor="_Toc31700" w:history="1">
        <w:r>
          <w:rPr>
            <w:rFonts w:ascii="宋体" w:eastAsia="宋体" w:hAnsi="宋体" w:cs="宋体" w:hint="eastAsia"/>
            <w:bCs w:val="0"/>
            <w:szCs w:val="28"/>
            <w:lang w:eastAsia="zh-CN"/>
          </w:rPr>
          <w:t>(一)、可持续发展战略与目标</w:t>
        </w:r>
        <w:r>
          <w:tab/>
        </w:r>
        <w:r>
          <w:fldChar w:fldCharType="begin"/>
        </w:r>
        <w:r>
          <w:instrText xml:space="preserve"> PAGEREF _Toc31700 \h </w:instrText>
        </w:r>
        <w:r>
          <w:fldChar w:fldCharType="separate"/>
        </w:r>
        <w:r>
          <w:t>34</w:t>
        </w:r>
        <w:r>
          <w:fldChar w:fldCharType="end"/>
        </w:r>
      </w:hyperlink>
    </w:p>
    <w:p>
      <w:pPr>
        <w:pStyle w:val="TOC2"/>
        <w:tabs>
          <w:tab w:val="right" w:leader="dot" w:pos="8306"/>
        </w:tabs>
      </w:pPr>
      <w:hyperlink w:anchor="_Toc11625" w:history="1">
        <w:r>
          <w:rPr>
            <w:rFonts w:ascii="宋体" w:eastAsia="宋体" w:hAnsi="宋体" w:cs="宋体" w:hint="eastAsia"/>
            <w:bCs w:val="0"/>
            <w:szCs w:val="28"/>
            <w:lang w:eastAsia="zh-CN"/>
          </w:rPr>
          <w:t>(二)、环保政策与实践</w:t>
        </w:r>
        <w:r>
          <w:tab/>
        </w:r>
        <w:r>
          <w:fldChar w:fldCharType="begin"/>
        </w:r>
        <w:r>
          <w:instrText xml:space="preserve"> PAGEREF _Toc11625 \h </w:instrText>
        </w:r>
        <w:r>
          <w:fldChar w:fldCharType="separate"/>
        </w:r>
        <w:r>
          <w:t>36</w:t>
        </w:r>
        <w:r>
          <w:fldChar w:fldCharType="end"/>
        </w:r>
      </w:hyperlink>
    </w:p>
    <w:p>
      <w:pPr>
        <w:pStyle w:val="TOC2"/>
        <w:tabs>
          <w:tab w:val="right" w:leader="dot" w:pos="8306"/>
        </w:tabs>
      </w:pPr>
      <w:hyperlink w:anchor="_Toc17343" w:history="1">
        <w:r>
          <w:rPr>
            <w:rFonts w:ascii="宋体" w:eastAsia="宋体" w:hAnsi="宋体" w:cs="宋体" w:hint="eastAsia"/>
            <w:bCs w:val="0"/>
            <w:szCs w:val="28"/>
            <w:lang w:eastAsia="zh-CN"/>
          </w:rPr>
          <w:t>(三)、资源利用与循环经济</w:t>
        </w:r>
        <w:r>
          <w:tab/>
        </w:r>
        <w:r>
          <w:fldChar w:fldCharType="begin"/>
        </w:r>
        <w:r>
          <w:instrText xml:space="preserve"> PAGEREF _Toc17343 \h </w:instrText>
        </w:r>
        <w:r>
          <w:fldChar w:fldCharType="separate"/>
        </w:r>
        <w:r>
          <w:t>38</w:t>
        </w:r>
        <w:r>
          <w:fldChar w:fldCharType="end"/>
        </w:r>
      </w:hyperlink>
    </w:p>
    <w:p>
      <w:pPr>
        <w:pStyle w:val="TOC2"/>
        <w:tabs>
          <w:tab w:val="right" w:leader="dot" w:pos="8306"/>
        </w:tabs>
      </w:pPr>
      <w:hyperlink w:anchor="_Toc11047" w:history="1">
        <w:r>
          <w:rPr>
            <w:rFonts w:ascii="宋体" w:eastAsia="宋体" w:hAnsi="宋体" w:cs="宋体" w:hint="eastAsia"/>
            <w:bCs w:val="0"/>
            <w:szCs w:val="28"/>
            <w:lang w:eastAsia="zh-CN"/>
          </w:rPr>
          <w:t>(四)、碳中和与生态足迹</w:t>
        </w:r>
        <w:r>
          <w:tab/>
        </w:r>
        <w:r>
          <w:fldChar w:fldCharType="begin"/>
        </w:r>
        <w:r>
          <w:instrText xml:space="preserve"> PAGEREF _Toc11047 \h </w:instrText>
        </w:r>
        <w:r>
          <w:fldChar w:fldCharType="separate"/>
        </w:r>
        <w:r>
          <w:t>39</w:t>
        </w:r>
        <w:r>
          <w:fldChar w:fldCharType="end"/>
        </w:r>
      </w:hyperlink>
    </w:p>
    <w:p>
      <w:pPr>
        <w:pStyle w:val="TOC1"/>
        <w:tabs>
          <w:tab w:val="right" w:leader="dot" w:pos="8306"/>
        </w:tabs>
      </w:pPr>
      <w:hyperlink w:anchor="_Toc12961" w:history="1">
        <w:r>
          <w:rPr>
            <w:rFonts w:ascii="微软雅黑" w:eastAsia="微软雅黑" w:hAnsi="微软雅黑" w:cs="微软雅黑" w:hint="eastAsia"/>
            <w:color w:val="001CAC" w:themeColor="hyperlink" w:themeShade="BF"/>
            <w:szCs w:val="32"/>
            <w:lang w:eastAsia="zh-CN"/>
          </w:rPr>
          <w:t>八、公司文化与社会责任</w:t>
        </w:r>
        <w:r>
          <w:tab/>
        </w:r>
        <w:r>
          <w:fldChar w:fldCharType="begin"/>
        </w:r>
        <w:r>
          <w:instrText xml:space="preserve"> PAGEREF _Toc12961 \h </w:instrText>
        </w:r>
        <w:r>
          <w:fldChar w:fldCharType="separate"/>
        </w:r>
        <w:r>
          <w:t>41</w:t>
        </w:r>
        <w:r>
          <w:fldChar w:fldCharType="end"/>
        </w:r>
      </w:hyperlink>
    </w:p>
    <w:p>
      <w:pPr>
        <w:pStyle w:val="TOC2"/>
        <w:tabs>
          <w:tab w:val="right" w:leader="dot" w:pos="8306"/>
        </w:tabs>
      </w:pPr>
      <w:hyperlink w:anchor="_Toc27731" w:history="1">
        <w:r>
          <w:rPr>
            <w:rFonts w:ascii="宋体" w:eastAsia="宋体" w:hAnsi="宋体" w:cs="宋体" w:hint="eastAsia"/>
            <w:bCs w:val="0"/>
            <w:szCs w:val="28"/>
            <w:lang w:eastAsia="zh-CN"/>
          </w:rPr>
          <w:t>(一)、公司文化建设</w:t>
        </w:r>
        <w:r>
          <w:tab/>
        </w:r>
        <w:r>
          <w:fldChar w:fldCharType="begin"/>
        </w:r>
        <w:r>
          <w:instrText xml:space="preserve"> PAGEREF _Toc27731 \h </w:instrText>
        </w:r>
        <w:r>
          <w:fldChar w:fldCharType="separate"/>
        </w:r>
        <w:r>
          <w:t>41</w:t>
        </w:r>
        <w:r>
          <w:fldChar w:fldCharType="end"/>
        </w:r>
      </w:hyperlink>
    </w:p>
    <w:p>
      <w:pPr>
        <w:pStyle w:val="TOC2"/>
        <w:tabs>
          <w:tab w:val="right" w:leader="dot" w:pos="8306"/>
        </w:tabs>
      </w:pPr>
      <w:hyperlink w:anchor="_Toc29521" w:history="1">
        <w:r>
          <w:rPr>
            <w:rFonts w:ascii="宋体" w:eastAsia="宋体" w:hAnsi="宋体" w:cs="宋体" w:hint="eastAsia"/>
            <w:bCs w:val="0"/>
            <w:szCs w:val="28"/>
            <w:lang w:eastAsia="zh-CN"/>
          </w:rPr>
          <w:t>(二)、企业社会责任与可持续发展</w:t>
        </w:r>
        <w:r>
          <w:tab/>
        </w:r>
        <w:r>
          <w:fldChar w:fldCharType="begin"/>
        </w:r>
        <w:r>
          <w:instrText xml:space="preserve"> PAGEREF _Toc29521 \h </w:instrText>
        </w:r>
        <w:r>
          <w:fldChar w:fldCharType="separate"/>
        </w:r>
        <w:r>
          <w:t>42</w:t>
        </w:r>
        <w:r>
          <w:fldChar w:fldCharType="end"/>
        </w:r>
      </w:hyperlink>
    </w:p>
    <w:p>
      <w:pPr>
        <w:pStyle w:val="TOC1"/>
        <w:tabs>
          <w:tab w:val="right" w:leader="dot" w:pos="8306"/>
        </w:tabs>
      </w:pPr>
      <w:hyperlink w:anchor="_Toc5320" w:history="1">
        <w:r>
          <w:rPr>
            <w:rFonts w:ascii="微软雅黑" w:eastAsia="微软雅黑" w:hAnsi="微软雅黑" w:cs="微软雅黑" w:hint="eastAsia"/>
            <w:color w:val="001CAC" w:themeColor="hyperlink" w:themeShade="BF"/>
            <w:szCs w:val="32"/>
            <w:lang w:eastAsia="zh-CN"/>
          </w:rPr>
          <w:t>九、频谱分析仪行业选址方案分析</w:t>
        </w:r>
        <w:r>
          <w:tab/>
        </w:r>
        <w:r>
          <w:fldChar w:fldCharType="begin"/>
        </w:r>
        <w:r>
          <w:instrText xml:space="preserve"> PAGEREF _Toc5320 \h </w:instrText>
        </w:r>
        <w:r>
          <w:fldChar w:fldCharType="separate"/>
        </w:r>
        <w:r>
          <w:t>43</w:t>
        </w:r>
        <w:r>
          <w:fldChar w:fldCharType="end"/>
        </w:r>
      </w:hyperlink>
    </w:p>
    <w:p>
      <w:pPr>
        <w:pStyle w:val="TOC2"/>
        <w:tabs>
          <w:tab w:val="right" w:leader="dot" w:pos="8306"/>
        </w:tabs>
      </w:pPr>
      <w:hyperlink w:anchor="_Toc21759" w:history="1">
        <w:r>
          <w:rPr>
            <w:rFonts w:ascii="宋体" w:eastAsia="宋体" w:hAnsi="宋体" w:cs="宋体" w:hint="eastAsia"/>
            <w:bCs w:val="0"/>
            <w:szCs w:val="28"/>
            <w:lang w:eastAsia="zh-CN"/>
          </w:rPr>
          <w:t>(一)、频谱分析仪行业选址影响因素</w:t>
        </w:r>
        <w:r>
          <w:tab/>
        </w:r>
        <w:r>
          <w:fldChar w:fldCharType="begin"/>
        </w:r>
        <w:r>
          <w:instrText xml:space="preserve"> PAGEREF _Toc21759 \h </w:instrText>
        </w:r>
        <w:r>
          <w:fldChar w:fldCharType="separate"/>
        </w:r>
        <w:r>
          <w:t>43</w:t>
        </w:r>
        <w:r>
          <w:fldChar w:fldCharType="end"/>
        </w:r>
      </w:hyperlink>
    </w:p>
    <w:p>
      <w:pPr>
        <w:pStyle w:val="TOC2"/>
        <w:tabs>
          <w:tab w:val="right" w:leader="dot" w:pos="8306"/>
        </w:tabs>
      </w:pPr>
      <w:hyperlink w:anchor="_Toc3765" w:history="1">
        <w:r>
          <w:rPr>
            <w:rFonts w:ascii="宋体" w:eastAsia="宋体" w:hAnsi="宋体" w:cs="宋体" w:hint="eastAsia"/>
            <w:bCs w:val="0"/>
            <w:szCs w:val="28"/>
            <w:lang w:eastAsia="zh-CN"/>
          </w:rPr>
          <w:t>(二)、频谱分析仪行业选址原则</w:t>
        </w:r>
        <w:r>
          <w:tab/>
        </w:r>
        <w:r>
          <w:fldChar w:fldCharType="begin"/>
        </w:r>
        <w:r>
          <w:instrText xml:space="preserve"> PAGEREF _Toc3765 \h </w:instrText>
        </w:r>
        <w:r>
          <w:fldChar w:fldCharType="separate"/>
        </w:r>
        <w:r>
          <w:t>45</w:t>
        </w:r>
        <w:r>
          <w:fldChar w:fldCharType="end"/>
        </w:r>
      </w:hyperlink>
    </w:p>
    <w:p>
      <w:pPr>
        <w:pStyle w:val="TOC2"/>
        <w:tabs>
          <w:tab w:val="right" w:leader="dot" w:pos="8306"/>
        </w:tabs>
      </w:pPr>
      <w:hyperlink w:anchor="_Toc31219" w:history="1">
        <w:r>
          <w:rPr>
            <w:rFonts w:ascii="宋体" w:eastAsia="宋体" w:hAnsi="宋体" w:cs="宋体" w:hint="eastAsia"/>
            <w:bCs w:val="0"/>
            <w:szCs w:val="28"/>
            <w:lang w:eastAsia="zh-CN"/>
          </w:rPr>
          <w:t>(三)、消费习惯对频谱分析仪行业选址的影响</w:t>
        </w:r>
        <w:r>
          <w:tab/>
        </w:r>
        <w:r>
          <w:fldChar w:fldCharType="begin"/>
        </w:r>
        <w:r>
          <w:instrText xml:space="preserve"> PAGEREF _Toc31219 \h </w:instrText>
        </w:r>
        <w:r>
          <w:fldChar w:fldCharType="separate"/>
        </w:r>
        <w:r>
          <w:t>46</w:t>
        </w:r>
        <w:r>
          <w:fldChar w:fldCharType="end"/>
        </w:r>
      </w:hyperlink>
    </w:p>
    <w:p>
      <w:pPr>
        <w:pStyle w:val="TOC2"/>
        <w:tabs>
          <w:tab w:val="right" w:leader="dot" w:pos="8306"/>
        </w:tabs>
      </w:pPr>
      <w:hyperlink w:anchor="_Toc6347" w:history="1">
        <w:r>
          <w:rPr>
            <w:rFonts w:ascii="宋体" w:eastAsia="宋体" w:hAnsi="宋体" w:cs="宋体" w:hint="eastAsia"/>
            <w:bCs w:val="0"/>
            <w:szCs w:val="28"/>
            <w:lang w:eastAsia="zh-CN"/>
          </w:rPr>
          <w:t>(四)、消费能力对频谱分析仪行业选址的影响</w:t>
        </w:r>
        <w:r>
          <w:tab/>
        </w:r>
        <w:r>
          <w:fldChar w:fldCharType="begin"/>
        </w:r>
        <w:r>
          <w:instrText xml:space="preserve"> PAGEREF _Toc6347 \h </w:instrText>
        </w:r>
        <w:r>
          <w:fldChar w:fldCharType="separate"/>
        </w:r>
        <w:r>
          <w:t>48</w:t>
        </w:r>
        <w:r>
          <w:fldChar w:fldCharType="end"/>
        </w:r>
      </w:hyperlink>
    </w:p>
    <w:p>
      <w:pPr>
        <w:pStyle w:val="TOC2"/>
        <w:tabs>
          <w:tab w:val="right" w:leader="dot" w:pos="8306"/>
        </w:tabs>
      </w:pPr>
      <w:hyperlink w:anchor="_Toc23928" w:history="1">
        <w:r>
          <w:rPr>
            <w:rFonts w:ascii="宋体" w:eastAsia="宋体" w:hAnsi="宋体" w:cs="宋体" w:hint="eastAsia"/>
            <w:bCs w:val="0"/>
            <w:szCs w:val="28"/>
            <w:lang w:eastAsia="zh-CN"/>
          </w:rPr>
          <w:t>(五)、经营成本对频谱分析仪行业选址的影响</w:t>
        </w:r>
        <w:r>
          <w:tab/>
        </w:r>
        <w:r>
          <w:fldChar w:fldCharType="begin"/>
        </w:r>
        <w:r>
          <w:instrText xml:space="preserve"> PAGEREF _Toc23928 \h </w:instrText>
        </w:r>
        <w:r>
          <w:fldChar w:fldCharType="separate"/>
        </w:r>
        <w:r>
          <w:t>50</w:t>
        </w:r>
        <w:r>
          <w:fldChar w:fldCharType="end"/>
        </w:r>
      </w:hyperlink>
    </w:p>
    <w:p>
      <w:pPr>
        <w:pStyle w:val="TOC2"/>
        <w:tabs>
          <w:tab w:val="right" w:leader="dot" w:pos="8306"/>
        </w:tabs>
      </w:pPr>
      <w:hyperlink w:anchor="_Toc8965" w:history="1">
        <w:r>
          <w:rPr>
            <w:rFonts w:ascii="宋体" w:eastAsia="宋体" w:hAnsi="宋体" w:cs="宋体" w:hint="eastAsia"/>
            <w:bCs w:val="0"/>
            <w:szCs w:val="28"/>
            <w:lang w:eastAsia="zh-CN"/>
          </w:rPr>
          <w:t>(六)、交通条件对频谱分析仪行业选址的影响</w:t>
        </w:r>
        <w:r>
          <w:tab/>
        </w:r>
        <w:r>
          <w:fldChar w:fldCharType="begin"/>
        </w:r>
        <w:r>
          <w:instrText xml:space="preserve"> PAGEREF _Toc8965 \h </w:instrText>
        </w:r>
        <w:r>
          <w:fldChar w:fldCharType="separate"/>
        </w:r>
        <w:r>
          <w:t>51</w:t>
        </w:r>
        <w:r>
          <w:fldChar w:fldCharType="end"/>
        </w:r>
      </w:hyperlink>
    </w:p>
    <w:p>
      <w:pPr>
        <w:pStyle w:val="TOC1"/>
        <w:tabs>
          <w:tab w:val="right" w:leader="dot" w:pos="8306"/>
        </w:tabs>
      </w:pPr>
      <w:hyperlink w:anchor="_Toc29201" w:history="1">
        <w:r>
          <w:rPr>
            <w:rFonts w:ascii="微软雅黑" w:eastAsia="微软雅黑" w:hAnsi="微软雅黑" w:cs="微软雅黑" w:hint="eastAsia"/>
            <w:color w:val="001CAC" w:themeColor="hyperlink" w:themeShade="BF"/>
            <w:szCs w:val="32"/>
            <w:lang w:eastAsia="zh-CN"/>
          </w:rPr>
          <w:t>十、环境与社会责任</w:t>
        </w:r>
        <w:r>
          <w:tab/>
        </w:r>
        <w:r>
          <w:fldChar w:fldCharType="begin"/>
        </w:r>
        <w:r>
          <w:instrText xml:space="preserve"> PAGEREF _Toc29201 \h </w:instrText>
        </w:r>
        <w:r>
          <w:fldChar w:fldCharType="separate"/>
        </w:r>
        <w:r>
          <w:t>52</w:t>
        </w:r>
        <w:r>
          <w:fldChar w:fldCharType="end"/>
        </w:r>
      </w:hyperlink>
    </w:p>
    <w:p>
      <w:pPr>
        <w:pStyle w:val="TOC2"/>
        <w:tabs>
          <w:tab w:val="right" w:leader="dot" w:pos="8306"/>
        </w:tabs>
      </w:pPr>
      <w:hyperlink w:anchor="_Toc22145" w:history="1">
        <w:r>
          <w:rPr>
            <w:rFonts w:ascii="宋体" w:eastAsia="宋体" w:hAnsi="宋体" w:cs="宋体" w:hint="eastAsia"/>
            <w:bCs w:val="0"/>
            <w:szCs w:val="28"/>
            <w:lang w:eastAsia="zh-CN"/>
          </w:rPr>
          <w:t>(一)、环境影响评估</w:t>
        </w:r>
        <w:r>
          <w:tab/>
        </w:r>
        <w:r>
          <w:fldChar w:fldCharType="begin"/>
        </w:r>
        <w:r>
          <w:instrText xml:space="preserve"> PAGEREF _Toc22145 \h </w:instrText>
        </w:r>
        <w:r>
          <w:fldChar w:fldCharType="separate"/>
        </w:r>
        <w:r>
          <w:t>52</w:t>
        </w:r>
        <w:r>
          <w:fldChar w:fldCharType="end"/>
        </w:r>
      </w:hyperlink>
    </w:p>
    <w:p>
      <w:pPr>
        <w:pStyle w:val="TOC2"/>
        <w:tabs>
          <w:tab w:val="right" w:leader="dot" w:pos="8306"/>
        </w:tabs>
      </w:pPr>
      <w:hyperlink w:anchor="_Toc25192" w:history="1">
        <w:r>
          <w:rPr>
            <w:rFonts w:ascii="宋体" w:eastAsia="宋体" w:hAnsi="宋体" w:cs="宋体" w:hint="eastAsia"/>
            <w:bCs w:val="0"/>
            <w:szCs w:val="28"/>
            <w:lang w:eastAsia="zh-CN"/>
          </w:rPr>
          <w:t>(二)、社会责任与可持续发展</w:t>
        </w:r>
        <w:r>
          <w:tab/>
        </w:r>
        <w:r>
          <w:fldChar w:fldCharType="begin"/>
        </w:r>
        <w:r>
          <w:instrText xml:space="preserve"> PAGEREF _Toc25192 \h </w:instrText>
        </w:r>
        <w:r>
          <w:fldChar w:fldCharType="separate"/>
        </w:r>
        <w:r>
          <w:t>53</w:t>
        </w:r>
        <w:r>
          <w:fldChar w:fldCharType="end"/>
        </w:r>
      </w:hyperlink>
    </w:p>
    <w:p>
      <w:pPr>
        <w:pStyle w:val="TOC1"/>
        <w:tabs>
          <w:tab w:val="right" w:leader="dot" w:pos="8306"/>
        </w:tabs>
      </w:pPr>
      <w:hyperlink w:anchor="_Toc18749" w:history="1">
        <w:r>
          <w:rPr>
            <w:rFonts w:ascii="微软雅黑" w:eastAsia="微软雅黑" w:hAnsi="微软雅黑" w:cs="微软雅黑" w:hint="eastAsia"/>
            <w:color w:val="001CAC" w:themeColor="hyperlink" w:themeShade="BF"/>
            <w:szCs w:val="32"/>
            <w:lang w:eastAsia="zh-CN"/>
          </w:rPr>
          <w:t>十一、频谱分析仪行业投资管理策略</w:t>
        </w:r>
        <w:r>
          <w:tab/>
        </w:r>
        <w:r>
          <w:fldChar w:fldCharType="begin"/>
        </w:r>
        <w:r>
          <w:instrText xml:space="preserve"> PAGEREF _Toc18749 \h </w:instrText>
        </w:r>
        <w:r>
          <w:fldChar w:fldCharType="separate"/>
        </w:r>
        <w:r>
          <w:t>53</w:t>
        </w:r>
        <w:r>
          <w:fldChar w:fldCharType="end"/>
        </w:r>
      </w:hyperlink>
    </w:p>
    <w:p>
      <w:pPr>
        <w:pStyle w:val="TOC2"/>
        <w:tabs>
          <w:tab w:val="right" w:leader="dot" w:pos="8306"/>
        </w:tabs>
      </w:pPr>
      <w:hyperlink w:anchor="_Toc4755" w:history="1">
        <w:r>
          <w:rPr>
            <w:rFonts w:ascii="宋体" w:eastAsia="宋体" w:hAnsi="宋体" w:cs="宋体" w:hint="eastAsia"/>
            <w:bCs w:val="0"/>
            <w:szCs w:val="28"/>
            <w:lang w:eastAsia="zh-CN"/>
          </w:rPr>
          <w:t>(一)、频谱分析仪行业投资估算主要内容</w:t>
        </w:r>
        <w:r>
          <w:tab/>
        </w:r>
        <w:r>
          <w:fldChar w:fldCharType="begin"/>
        </w:r>
        <w:r>
          <w:instrText xml:space="preserve"> PAGEREF _Toc4755 \h </w:instrText>
        </w:r>
        <w:r>
          <w:fldChar w:fldCharType="separate"/>
        </w:r>
        <w:r>
          <w:t>53</w:t>
        </w:r>
        <w:r>
          <w:fldChar w:fldCharType="end"/>
        </w:r>
      </w:hyperlink>
    </w:p>
    <w:p>
      <w:pPr>
        <w:pStyle w:val="TOC2"/>
        <w:tabs>
          <w:tab w:val="right" w:leader="dot" w:pos="8306"/>
        </w:tabs>
      </w:pPr>
      <w:hyperlink w:anchor="_Toc9406" w:history="1">
        <w:r>
          <w:rPr>
            <w:rFonts w:ascii="宋体" w:eastAsia="宋体" w:hAnsi="宋体" w:cs="宋体" w:hint="eastAsia"/>
            <w:bCs w:val="0"/>
            <w:szCs w:val="28"/>
            <w:lang w:eastAsia="zh-CN"/>
          </w:rPr>
          <w:t>(二)、频谱分析仪行业设备购置投资费用管理</w:t>
        </w:r>
        <w:r>
          <w:tab/>
        </w:r>
        <w:r>
          <w:fldChar w:fldCharType="begin"/>
        </w:r>
        <w:r>
          <w:instrText xml:space="preserve"> PAGEREF _Toc9406 \h </w:instrText>
        </w:r>
        <w:r>
          <w:fldChar w:fldCharType="separate"/>
        </w:r>
        <w:r>
          <w:t>56</w:t>
        </w:r>
        <w:r>
          <w:fldChar w:fldCharType="end"/>
        </w:r>
      </w:hyperlink>
    </w:p>
    <w:p>
      <w:pPr>
        <w:pStyle w:val="TOC2"/>
        <w:tabs>
          <w:tab w:val="right" w:leader="dot" w:pos="8306"/>
        </w:tabs>
      </w:pPr>
      <w:hyperlink w:anchor="_Toc11430" w:history="1">
        <w:r>
          <w:rPr>
            <w:rFonts w:ascii="宋体" w:eastAsia="宋体" w:hAnsi="宋体" w:cs="宋体" w:hint="eastAsia"/>
            <w:bCs w:val="0"/>
            <w:szCs w:val="28"/>
            <w:lang w:eastAsia="zh-CN"/>
          </w:rPr>
          <w:t>(三)、频谱分析仪行业装修施工投资费用管理</w:t>
        </w:r>
        <w:r>
          <w:tab/>
        </w:r>
        <w:r>
          <w:fldChar w:fldCharType="begin"/>
        </w:r>
        <w:r>
          <w:instrText xml:space="preserve"> PAGEREF _Toc11430 \h </w:instrText>
        </w:r>
        <w:r>
          <w:fldChar w:fldCharType="separate"/>
        </w:r>
        <w:r>
          <w:t>60</w:t>
        </w:r>
        <w:r>
          <w:fldChar w:fldCharType="end"/>
        </w:r>
      </w:hyperlink>
    </w:p>
    <w:p>
      <w:pPr>
        <w:pStyle w:val="TOC2"/>
        <w:tabs>
          <w:tab w:val="right" w:leader="dot" w:pos="8306"/>
        </w:tabs>
      </w:pPr>
      <w:hyperlink w:anchor="_Toc32487" w:history="1">
        <w:r>
          <w:rPr>
            <w:rFonts w:ascii="宋体" w:eastAsia="宋体" w:hAnsi="宋体" w:cs="宋体" w:hint="eastAsia"/>
            <w:bCs w:val="0"/>
            <w:szCs w:val="28"/>
            <w:lang w:eastAsia="zh-CN"/>
          </w:rPr>
          <w:t>(四)、频谱分析仪行业流动资金管理</w:t>
        </w:r>
        <w:r>
          <w:tab/>
        </w:r>
        <w:r>
          <w:fldChar w:fldCharType="begin"/>
        </w:r>
        <w:r>
          <w:instrText xml:space="preserve"> PAGEREF _Toc32487 \h </w:instrText>
        </w:r>
        <w:r>
          <w:fldChar w:fldCharType="separate"/>
        </w:r>
        <w:r>
          <w:t>62</w:t>
        </w:r>
        <w:r>
          <w:fldChar w:fldCharType="end"/>
        </w:r>
      </w:hyperlink>
    </w:p>
    <w:p>
      <w:pPr>
        <w:pStyle w:val="TOC1"/>
        <w:tabs>
          <w:tab w:val="right" w:leader="dot" w:pos="8306"/>
        </w:tabs>
      </w:pPr>
      <w:hyperlink w:anchor="_Toc6824" w:history="1">
        <w:r>
          <w:rPr>
            <w:rFonts w:ascii="微软雅黑" w:eastAsia="微软雅黑" w:hAnsi="微软雅黑" w:cs="微软雅黑" w:hint="eastAsia"/>
            <w:color w:val="001CAC" w:themeColor="hyperlink" w:themeShade="BF"/>
            <w:szCs w:val="32"/>
            <w:lang w:eastAsia="zh-CN"/>
          </w:rPr>
          <w:t>十二、资金筹措与投资分析</w:t>
        </w:r>
        <w:r>
          <w:tab/>
        </w:r>
        <w:r>
          <w:fldChar w:fldCharType="begin"/>
        </w:r>
        <w:r>
          <w:instrText xml:space="preserve"> PAGEREF _Toc6824 \h </w:instrText>
        </w:r>
        <w:r>
          <w:fldChar w:fldCharType="separate"/>
        </w:r>
        <w:r>
          <w:t>64</w:t>
        </w:r>
        <w:r>
          <w:fldChar w:fldCharType="end"/>
        </w:r>
      </w:hyperlink>
    </w:p>
    <w:p>
      <w:pPr>
        <w:pStyle w:val="TOC2"/>
        <w:tabs>
          <w:tab w:val="right" w:leader="dot" w:pos="8306"/>
        </w:tabs>
      </w:pPr>
      <w:hyperlink w:anchor="_Toc24202" w:history="1">
        <w:r>
          <w:rPr>
            <w:rFonts w:ascii="宋体" w:eastAsia="宋体" w:hAnsi="宋体" w:cs="宋体" w:hint="eastAsia"/>
            <w:bCs w:val="0"/>
            <w:szCs w:val="28"/>
            <w:lang w:eastAsia="zh-CN"/>
          </w:rPr>
          <w:t>(一)、资金需求与筹措计划</w:t>
        </w:r>
        <w:r>
          <w:tab/>
        </w:r>
        <w:r>
          <w:fldChar w:fldCharType="begin"/>
        </w:r>
        <w:r>
          <w:instrText xml:space="preserve"> PAGEREF _Toc24202 \h </w:instrText>
        </w:r>
        <w:r>
          <w:fldChar w:fldCharType="separate"/>
        </w:r>
        <w:r>
          <w:t>64</w:t>
        </w:r>
        <w:r>
          <w:fldChar w:fldCharType="end"/>
        </w:r>
      </w:hyperlink>
    </w:p>
    <w:p>
      <w:pPr>
        <w:pStyle w:val="TOC2"/>
        <w:tabs>
          <w:tab w:val="right" w:leader="dot" w:pos="8306"/>
        </w:tabs>
      </w:pPr>
      <w:hyperlink w:anchor="_Toc8550" w:history="1">
        <w:r>
          <w:rPr>
            <w:rFonts w:ascii="宋体" w:eastAsia="宋体" w:hAnsi="宋体" w:cs="宋体" w:hint="eastAsia"/>
            <w:bCs w:val="0"/>
            <w:szCs w:val="28"/>
            <w:lang w:eastAsia="zh-CN"/>
          </w:rPr>
          <w:t>(二)、投资分析与回报预期</w:t>
        </w:r>
        <w:r>
          <w:tab/>
        </w:r>
        <w:r>
          <w:fldChar w:fldCharType="begin"/>
        </w:r>
        <w:r>
          <w:instrText xml:space="preserve"> PAGEREF _Toc8550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微软雅黑" w:eastAsia="微软雅黑" w:hAnsi="微软雅黑" w:cs="微软雅黑" w:hint="eastAsia"/>
          <w:color w:val="2E54A1" w:themeColor="accent1" w:themeShade="BF"/>
          <w:lang w:eastAsia="zh-CN"/>
        </w:rPr>
      </w:pPr>
      <w:bookmarkStart w:id="1" w:name="_Toc21624"/>
      <w:r>
        <w:rPr>
          <w:rFonts w:ascii="微软雅黑" w:eastAsia="微软雅黑" w:hAnsi="微软雅黑" w:cs="微软雅黑" w:hint="eastAsia"/>
          <w:color w:val="2E54A1" w:themeColor="accent1" w:themeShade="BF"/>
          <w:lang w:eastAsia="zh-CN"/>
        </w:rPr>
        <w:t>前言</w:t>
      </w:r>
      <w:bookmarkEnd w:id="1"/>
    </w:p>
    <w:p>
      <w:pPr>
        <w:spacing w:line="480" w:lineRule="auto"/>
        <w:ind w:firstLine="480" w:firstLineChars="200"/>
        <w:rPr>
          <w:rFonts w:ascii="宋体" w:eastAsia="宋体" w:hAnsi="宋体" w:cs="宋体" w:hint="eastAsia"/>
          <w:sz w:val="24"/>
          <w:szCs w:val="22"/>
        </w:rPr>
      </w:pPr>
      <w:r>
        <w:rPr>
          <w:rFonts w:ascii="宋体" w:eastAsia="宋体" w:hAnsi="宋体" w:cs="宋体" w:hint="eastAsia"/>
          <w:sz w:val="24"/>
          <w:szCs w:val="22"/>
          <w:lang w:eastAsia="zh-CN"/>
        </w:rPr>
        <w:t>频谱分析仪行业研究报告致力于对频谱分析仪行业进行详尽研究和分析，旨在为频谱分析仪行业相关从业人员提供参考和借鉴。报告所包含的内容仅供学术研究和学习交流，不可用作商业用途。通过对行业发展历程、市场趋势和竞争态势的深入考察，本报告力求准确呈现行业现状和未来发展方向，为读者提供全面而有价值的行业洞察和决策支持。</w:t>
      </w:r>
    </w:p>
    <w:p>
      <w:pPr>
        <w:pStyle w:val="Heading1"/>
        <w:spacing w:line="480" w:lineRule="auto"/>
        <w:rPr>
          <w:rFonts w:ascii="微软雅黑" w:eastAsia="微软雅黑" w:hAnsi="微软雅黑" w:cs="微软雅黑" w:hint="eastAsia"/>
          <w:color w:val="2E54A1" w:themeColor="accent1" w:themeShade="BF"/>
          <w:sz w:val="32"/>
          <w:szCs w:val="32"/>
          <w:lang w:eastAsia="zh-CN"/>
        </w:rPr>
      </w:pPr>
      <w:bookmarkStart w:id="2" w:name="_Toc15200"/>
      <w:r>
        <w:rPr>
          <w:rFonts w:ascii="微软雅黑" w:eastAsia="微软雅黑" w:hAnsi="微软雅黑" w:cs="微软雅黑" w:hint="eastAsia"/>
          <w:color w:val="2E54A1" w:themeColor="accent1" w:themeShade="BF"/>
          <w:sz w:val="32"/>
          <w:szCs w:val="32"/>
          <w:lang w:eastAsia="zh-CN"/>
        </w:rPr>
        <w:t>一、安全与劳动保护</w:t>
      </w:r>
      <w:bookmarkEnd w:id="2"/>
    </w:p>
    <w:p>
      <w:pPr>
        <w:pStyle w:val="Heading2"/>
        <w:spacing w:line="480" w:lineRule="auto"/>
        <w:rPr>
          <w:rFonts w:ascii="宋体" w:eastAsia="宋体" w:hAnsi="宋体" w:cs="宋体" w:hint="eastAsia"/>
          <w:bCs w:val="0"/>
          <w:sz w:val="28"/>
          <w:szCs w:val="28"/>
          <w:lang w:eastAsia="zh-CN"/>
        </w:rPr>
      </w:pPr>
      <w:bookmarkStart w:id="3" w:name="_Toc29836"/>
      <w:r>
        <w:rPr>
          <w:rFonts w:ascii="宋体" w:eastAsia="宋体" w:hAnsi="宋体" w:cs="宋体" w:hint="eastAsia"/>
          <w:b/>
          <w:bCs w:val="0"/>
          <w:sz w:val="28"/>
          <w:szCs w:val="28"/>
          <w:lang w:eastAsia="zh-CN"/>
        </w:rPr>
        <w:t>(一)、设计依据与法规合规</w:t>
      </w:r>
      <w:bookmarkEnd w:id="3"/>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过深入研究和全面了解相关的法规和标准，我们确保项目的设计与规划符合国家和地区的法规要求。这不仅有助于项目的合法合规运行，也为劳动保护提供了坚实的法律基础。我们注重对设计方案的审核，确保其符合各项法规的要求，以预防潜在的安全风险和劳动保护隐患。</w:t>
      </w:r>
    </w:p>
    <w:p>
      <w:pPr>
        <w:pStyle w:val="Heading2"/>
        <w:spacing w:line="480" w:lineRule="auto"/>
        <w:rPr>
          <w:rFonts w:ascii="宋体" w:eastAsia="宋体" w:hAnsi="宋体" w:cs="宋体" w:hint="eastAsia"/>
          <w:bCs w:val="0"/>
          <w:sz w:val="28"/>
          <w:szCs w:val="28"/>
          <w:lang w:eastAsia="zh-CN"/>
        </w:rPr>
      </w:pPr>
      <w:bookmarkStart w:id="4" w:name="_Toc8592"/>
      <w:r>
        <w:rPr>
          <w:rFonts w:ascii="宋体" w:eastAsia="宋体" w:hAnsi="宋体" w:cs="宋体" w:hint="eastAsia"/>
          <w:b/>
          <w:bCs w:val="0"/>
          <w:sz w:val="28"/>
          <w:szCs w:val="28"/>
          <w:lang w:eastAsia="zh-CN"/>
        </w:rPr>
        <w:t>(二)、劳动安全预期效果评价</w:t>
      </w:r>
      <w:bookmarkEnd w:id="4"/>
    </w:p>
    <w:p>
      <w:pPr>
        <w:spacing w:line="480" w:lineRule="auto"/>
        <w:ind w:firstLine="420" w:firstLineChars="0"/>
        <w:rPr>
          <w:rFonts w:ascii="宋体" w:eastAsia="宋体" w:hAnsi="宋体" w:cs="宋体" w:hint="eastAsia"/>
          <w:sz w:val="24"/>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宋体" w:eastAsia="宋体" w:hAnsi="宋体" w:cs="宋体" w:hint="eastAsia"/>
          <w:sz w:val="24"/>
          <w:szCs w:val="24"/>
          <w:lang w:eastAsia="zh-CN"/>
        </w:rPr>
        <w:t>劳动安全预期效果评价是我们保障项目运营安全的重要手段之一。通过在项目运营前对潜在的风险和安全隐患进行充分评估，我们能够预见可能发生的问题，并制定相应的应对策略。这有助于提前排除潜在的安全隐患，保障项目运营的平稳进行。我们注重对每一项工作环节的风险评估，确保在项目的每个阶段都有科学可行的安全保障措施。</w:t>
      </w:r>
    </w:p>
    <w:p>
      <w:pPr>
        <w:pStyle w:val="Heading2"/>
        <w:spacing w:line="480" w:lineRule="auto"/>
        <w:rPr>
          <w:rFonts w:ascii="宋体" w:eastAsia="宋体" w:hAnsi="宋体" w:cs="宋体" w:hint="eastAsia"/>
          <w:bCs w:val="0"/>
          <w:sz w:val="28"/>
          <w:szCs w:val="28"/>
          <w:lang w:eastAsia="zh-CN"/>
        </w:rPr>
      </w:pPr>
      <w:bookmarkStart w:id="5" w:name="_Toc27229"/>
      <w:r>
        <w:rPr>
          <w:rFonts w:ascii="宋体" w:eastAsia="宋体" w:hAnsi="宋体" w:cs="宋体" w:hint="eastAsia"/>
          <w:b/>
          <w:bCs w:val="0"/>
          <w:sz w:val="28"/>
          <w:szCs w:val="28"/>
          <w:lang w:eastAsia="zh-CN"/>
        </w:rPr>
        <w:t>(三)、主要防范措施</w:t>
      </w:r>
      <w:bookmarkEnd w:id="5"/>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项目实施的过程中,我们对安全操作规程的执行持续严格把关，确保所有参与项目的人员都接受了相应的安全培训,掌握了必要的操作技能。我们认识到培训的重要性，因此通过定期的培训计划，不断提升团队成员的安全意识和紧急情况处理能力。这有助于在实际工作中做到心中有数，保障每位成员在项目中的工作安全。</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为了应对各类突发状况,我们在项目实施中设立了定期的安全检查与演练机制。通过模拟各类可能发生的安全问题，我们评估团队的应急响应能力，及时纠正不足之处，并优化应对方案。这种演练不仅提高了团队的整体素养，也使每位成员更加熟悉项目环境，为实际工作中的风险提前做好准备。</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在现场安全管理方面，我们建立了一套科学的安全生产责任制度。每位项目参与者都有明确的安全责任,包括对自己和他人的安全负责。我们强调团队协作，鼓励成员间相互监督，形成了一个紧密的安全管理网络。同时，我们加强了现场的安全监控和隐患排查机制，确保安全隐患能够及时发现、迅速处理,从而将潜在风险控制在最小范围内。</w:t>
      </w:r>
    </w:p>
    <w:p>
      <w:pPr>
        <w:spacing w:line="480" w:lineRule="auto"/>
        <w:ind w:firstLine="420" w:firstLineChars="0"/>
        <w:rPr>
          <w:rFonts w:ascii="宋体" w:eastAsia="宋体" w:hAnsi="宋体" w:cs="宋体" w:hint="eastAsia"/>
          <w:sz w:val="24"/>
        </w:rPr>
      </w:pPr>
      <w:r>
        <w:rPr>
          <w:rFonts w:ascii="宋体" w:eastAsia="宋体" w:hAnsi="宋体" w:cs="宋体" w:hint="eastAsia"/>
          <w:sz w:val="24"/>
          <w:szCs w:val="24"/>
          <w:lang w:eastAsia="zh-CN"/>
        </w:rPr>
        <w:t>通过这些全面、有力的防范措施，我们不仅在项目实施中确保了高水平的安全管理，也向团队传递了对安全的高度重视。这种安全文化的建设不仅仅是符合法规要求,更是我们对团队成员生命安全的高度责任感的体现。在未来的项目中，我们将继续秉持着对安全的执着追求，为每个项目成员提供一个安全、稳定的工作环境。</w:t>
      </w:r>
      <w:r>
        <w:rPr>
          <w:rFonts w:ascii="宋体" w:eastAsia="宋体" w:hAnsi="宋体" w:cs="宋体" w:hint="eastAsia"/>
          <w:sz w:val="24"/>
        </w:rPr>
        <w:br/>
      </w:r>
      <w:r>
        <w:rPr>
          <w:rFonts w:ascii="宋体" w:eastAsia="宋体" w:hAnsi="宋体" w:cs="宋体"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https://d.book118.com/195124210020011100</w:t>
        </w:r>
      </w:hyperlink>
    </w:p>
    <w:p>
      <w:pPr>
        <w:spacing w:line="480" w:lineRule="auto"/>
        <w:ind w:firstLine="420" w:firstLineChars="0"/>
        <w:rPr>
          <w:rFonts w:ascii="宋体" w:eastAsia="宋体" w:hAnsi="宋体" w:cs="宋体" w:hint="eastAsia"/>
          <w:sz w:val="24"/>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75B3"/>
    <w:rsid w:val="02623C3C"/>
    <w:rsid w:val="03734037"/>
    <w:rsid w:val="13614867"/>
    <w:rsid w:val="2D696E9C"/>
    <w:rsid w:val="3DAC44EE"/>
    <w:rsid w:val="453746B4"/>
    <w:rsid w:val="482775B3"/>
    <w:rsid w:val="49C53810"/>
    <w:rsid w:val="4E155AC7"/>
    <w:rsid w:val="50930768"/>
    <w:rsid w:val="62A91464"/>
    <w:rsid w:val="692E1C42"/>
  </w:rsids>
  <w:docVars>
    <w:docVar w:name="commondata" w:val="eyJoZGlkIjoiYjEzZTI3MzIxYzUxM2E3Y2YyMDVhZDRkMWU5YjExZ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autoRedefine/>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autoRedefine/>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95124210020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小海豹</cp:lastModifiedBy>
  <cp:revision>1</cp:revision>
  <dcterms:created xsi:type="dcterms:W3CDTF">2023-12-10T12:06:00Z</dcterms:created>
  <dcterms:modified xsi:type="dcterms:W3CDTF">2024-01-17T07:41:41Z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1E39AA5D4B7F4B19B7D16FD992F8235D_13</vt:lpwstr>
  </property>
  <property fmtid="{D5CDD505-2E9C-101B-9397-08002B2CF9AE}" pid="3" name="KSOProductBuildVer">
    <vt:lpwstr>2052-12.1.0.16120</vt:lpwstr>
  </property>
</Properties>
</file>