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3"/>
        </w:rPr>
      </w:pPr>
    </w:p>
    <w:p>
      <w:pPr>
        <w:spacing w:before="0" w:line="1217" w:lineRule="exact"/>
        <w:ind w:left="764" w:right="765" w:firstLine="0"/>
        <w:jc w:val="center"/>
        <w:rPr>
          <w:rFonts w:ascii="微软雅黑" w:eastAsia="微软雅黑" w:hint="eastAsia"/>
          <w:sz w:val="72"/>
        </w:rPr>
      </w:pPr>
      <w:bookmarkStart w:id="0" w:name="建设项目环境影响报告表"/>
      <w:bookmarkEnd w:id="0"/>
      <w:r>
        <w:rPr>
          <w:rFonts w:ascii="微软雅黑" w:eastAsia="微软雅黑" w:hint="eastAsia"/>
          <w:sz w:val="72"/>
        </w:rPr>
        <w:t>建设项目环境影响报告表</w:t>
      </w:r>
    </w:p>
    <w:p>
      <w:pPr>
        <w:spacing w:before="0" w:line="440" w:lineRule="exact"/>
        <w:ind w:left="764" w:right="765" w:firstLine="0"/>
        <w:jc w:val="center"/>
        <w:rPr>
          <w:rFonts w:ascii="仿宋" w:eastAsia="仿宋" w:hint="eastAsia"/>
          <w:sz w:val="36"/>
        </w:rPr>
      </w:pPr>
      <w:r>
        <w:rPr>
          <w:rFonts w:ascii="仿宋" w:eastAsia="仿宋" w:hint="eastAsia"/>
          <w:sz w:val="36"/>
        </w:rPr>
        <w:t>（污染影响类）</w:t>
      </w:r>
    </w:p>
    <w:p>
      <w:pPr>
        <w:pStyle w:val="BodyText"/>
        <w:rPr>
          <w:rFonts w:ascii="仿宋"/>
          <w:sz w:val="36"/>
        </w:rPr>
      </w:pPr>
    </w:p>
    <w:p>
      <w:pPr>
        <w:pStyle w:val="BodyText"/>
        <w:rPr>
          <w:rFonts w:ascii="仿宋"/>
          <w:sz w:val="36"/>
        </w:rPr>
      </w:pPr>
    </w:p>
    <w:p>
      <w:pPr>
        <w:pStyle w:val="BodyText"/>
        <w:rPr>
          <w:rFonts w:ascii="仿宋"/>
          <w:sz w:val="36"/>
        </w:rPr>
      </w:pPr>
    </w:p>
    <w:p>
      <w:pPr>
        <w:pStyle w:val="BodyText"/>
        <w:rPr>
          <w:rFonts w:ascii="仿宋"/>
          <w:sz w:val="36"/>
        </w:rPr>
      </w:pPr>
    </w:p>
    <w:p>
      <w:pPr>
        <w:pStyle w:val="BodyText"/>
        <w:rPr>
          <w:rFonts w:ascii="仿宋"/>
          <w:sz w:val="36"/>
        </w:rPr>
      </w:pPr>
    </w:p>
    <w:p>
      <w:pPr>
        <w:pStyle w:val="BodyText"/>
        <w:rPr>
          <w:rFonts w:ascii="仿宋"/>
          <w:sz w:val="36"/>
        </w:rPr>
      </w:pPr>
    </w:p>
    <w:p>
      <w:pPr>
        <w:pStyle w:val="BodyText"/>
        <w:rPr>
          <w:rFonts w:ascii="仿宋"/>
          <w:sz w:val="36"/>
        </w:rPr>
      </w:pPr>
    </w:p>
    <w:p>
      <w:pPr>
        <w:pStyle w:val="BodyText"/>
        <w:rPr>
          <w:rFonts w:ascii="仿宋"/>
          <w:sz w:val="36"/>
        </w:rPr>
      </w:pPr>
    </w:p>
    <w:p>
      <w:pPr>
        <w:pStyle w:val="BodyText"/>
        <w:rPr>
          <w:rFonts w:ascii="仿宋"/>
          <w:sz w:val="36"/>
        </w:rPr>
      </w:pPr>
    </w:p>
    <w:p>
      <w:pPr>
        <w:pStyle w:val="BodyText"/>
        <w:rPr>
          <w:rFonts w:ascii="仿宋"/>
          <w:sz w:val="36"/>
        </w:rPr>
      </w:pPr>
    </w:p>
    <w:p>
      <w:pPr>
        <w:pStyle w:val="BodyText"/>
        <w:spacing w:before="9"/>
        <w:rPr>
          <w:rFonts w:ascii="仿宋"/>
          <w:sz w:val="33"/>
        </w:rPr>
      </w:pPr>
    </w:p>
    <w:p>
      <w:pPr>
        <w:spacing w:before="0"/>
        <w:ind w:left="839" w:right="0" w:firstLine="0"/>
        <w:jc w:val="left"/>
        <w:rPr>
          <w:rFonts w:ascii="仿宋" w:eastAsia="仿宋" w:hint="eastAsia"/>
          <w:sz w:val="36"/>
        </w:rPr>
      </w:pPr>
      <w:r>
        <w:rPr>
          <w:rFonts w:ascii="仿宋" w:eastAsia="仿宋" w:hint="eastAsia"/>
          <w:sz w:val="36"/>
        </w:rPr>
        <w:t>项目名称：</w:t>
      </w:r>
      <w:r>
        <w:rPr>
          <w:rFonts w:ascii="仿宋" w:eastAsia="仿宋" w:hint="eastAsia"/>
          <w:sz w:val="36"/>
          <w:u w:val="single"/>
        </w:rPr>
        <w:t>调味品及分装食品加工项目</w:t>
      </w:r>
    </w:p>
    <w:p>
      <w:pPr>
        <w:spacing w:before="100" w:line="290" w:lineRule="auto"/>
        <w:ind w:left="839" w:right="1448" w:firstLine="0"/>
        <w:jc w:val="left"/>
        <w:rPr>
          <w:rFonts w:ascii="仿宋" w:eastAsia="仿宋" w:hint="eastAsia"/>
          <w:sz w:val="36"/>
        </w:rPr>
      </w:pPr>
      <w:r>
        <w:rPr>
          <w:rFonts w:ascii="仿宋" w:eastAsia="仿宋" w:hint="eastAsia"/>
          <w:sz w:val="36"/>
        </w:rPr>
        <w:t>建设单位（盖章）：</w:t>
      </w:r>
      <w:r>
        <w:rPr>
          <w:rFonts w:ascii="仿宋" w:eastAsia="仿宋" w:hint="eastAsia"/>
          <w:spacing w:val="-2"/>
          <w:sz w:val="36"/>
          <w:u w:val="single"/>
        </w:rPr>
        <w:t>乐陵市利国调味品加工厂</w:t>
      </w:r>
      <w:r>
        <w:rPr>
          <w:rFonts w:ascii="仿宋" w:eastAsia="仿宋" w:hint="eastAsia"/>
          <w:sz w:val="36"/>
        </w:rPr>
        <w:t>编制日期：</w:t>
      </w:r>
      <w:r>
        <w:rPr>
          <w:rFonts w:ascii="仿宋" w:eastAsia="仿宋" w:hint="eastAsia"/>
          <w:sz w:val="36"/>
          <w:u w:val="single"/>
        </w:rPr>
        <w:t>2023</w:t>
      </w:r>
      <w:r>
        <w:rPr>
          <w:rFonts w:ascii="仿宋" w:eastAsia="仿宋" w:hint="eastAsia"/>
          <w:spacing w:val="-61"/>
          <w:sz w:val="36"/>
          <w:u w:val="single"/>
        </w:rPr>
        <w:t xml:space="preserve"> 年 </w:t>
      </w:r>
      <w:r>
        <w:rPr>
          <w:rFonts w:ascii="仿宋" w:eastAsia="仿宋" w:hint="eastAsia"/>
          <w:sz w:val="36"/>
          <w:u w:val="single"/>
        </w:rPr>
        <w:t>7</w:t>
      </w:r>
      <w:r>
        <w:rPr>
          <w:rFonts w:ascii="仿宋" w:eastAsia="仿宋" w:hint="eastAsia"/>
          <w:spacing w:val="-45"/>
          <w:sz w:val="36"/>
          <w:u w:val="single"/>
        </w:rPr>
        <w:t xml:space="preserve"> 月</w:t>
      </w:r>
    </w:p>
    <w:p>
      <w:pPr>
        <w:pStyle w:val="BodyText"/>
        <w:rPr>
          <w:rFonts w:ascii="仿宋"/>
          <w:sz w:val="20"/>
        </w:rPr>
      </w:pPr>
    </w:p>
    <w:p>
      <w:pPr>
        <w:pStyle w:val="BodyText"/>
        <w:rPr>
          <w:rFonts w:ascii="仿宋"/>
          <w:sz w:val="20"/>
        </w:rPr>
      </w:pPr>
    </w:p>
    <w:p>
      <w:pPr>
        <w:pStyle w:val="BodyText"/>
        <w:rPr>
          <w:rFonts w:ascii="仿宋"/>
          <w:sz w:val="20"/>
        </w:rPr>
      </w:pPr>
    </w:p>
    <w:p>
      <w:pPr>
        <w:pStyle w:val="BodyText"/>
        <w:rPr>
          <w:rFonts w:ascii="仿宋"/>
          <w:sz w:val="20"/>
        </w:rPr>
      </w:pPr>
    </w:p>
    <w:p>
      <w:pPr>
        <w:pStyle w:val="BodyText"/>
        <w:spacing w:before="7"/>
        <w:rPr>
          <w:rFonts w:ascii="仿宋"/>
          <w:sz w:val="18"/>
        </w:rPr>
      </w:pPr>
    </w:p>
    <w:p>
      <w:pPr>
        <w:spacing w:before="50"/>
        <w:ind w:left="764" w:right="765" w:firstLine="0"/>
        <w:jc w:val="center"/>
        <w:rPr>
          <w:rFonts w:ascii="楷体" w:eastAsia="楷体" w:hint="eastAsia"/>
          <w:sz w:val="36"/>
        </w:rPr>
      </w:pPr>
      <w:bookmarkStart w:id="1" w:name="中华人民共和国生态环境部制"/>
      <w:bookmarkEnd w:id="1"/>
      <w:r>
        <w:rPr>
          <w:rFonts w:ascii="楷体" w:eastAsia="楷体" w:hint="eastAsia"/>
          <w:sz w:val="36"/>
        </w:rPr>
        <w:t>中华人民共和国生态环境部制</w:t>
      </w:r>
    </w:p>
    <w:p>
      <w:pPr>
        <w:pStyle w:val="BodyText"/>
        <w:spacing w:before="4"/>
        <w:rPr>
          <w:rFonts w:ascii="Times New Roman"/>
          <w:sz w:val="17"/>
        </w:rPr>
      </w:pPr>
    </w:p>
    <w:p>
      <w:pPr>
        <w:spacing w:after="0"/>
        <w:rPr>
          <w:rFonts w:ascii="Times New Roman"/>
          <w:sz w:val="17"/>
        </w:rPr>
        <w:sectPr>
          <w:pgSz w:w="11910" w:h="16840"/>
          <w:pgMar w:top="1600" w:right="1200" w:bottom="280" w:left="1220" w:header="720" w:footer="720" w:gutter="0"/>
          <w:cols w:num="1" w:space="720"/>
        </w:sectPr>
      </w:pPr>
    </w:p>
    <w:p>
      <w:pPr>
        <w:pStyle w:val="Heading1"/>
        <w:spacing w:before="42"/>
        <w:ind w:left="2908"/>
        <w:jc w:val="left"/>
      </w:pPr>
      <w:r>
        <w:t>一、建设项目基本情况</w:t>
      </w:r>
    </w:p>
    <w:tbl>
      <w:tblPr>
        <w:tblStyle w:val="TableNormal"/>
        <w:tblW w:w="0" w:type="auto"/>
        <w:tblInd w:w="1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41"/>
        <w:gridCol w:w="2555"/>
        <w:gridCol w:w="2100"/>
        <w:gridCol w:w="3054"/>
      </w:tblGrid>
      <w:tr>
        <w:tblPrEx>
          <w:tblW w:w="0" w:type="auto"/>
          <w:tblInd w:w="121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1541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8"/>
              <w:ind w:left="33" w:right="13"/>
              <w:jc w:val="center"/>
              <w:rPr>
                <w:sz w:val="24"/>
              </w:rPr>
            </w:pPr>
            <w:r>
              <w:rPr>
                <w:sz w:val="24"/>
              </w:rPr>
              <w:t>建设项目名称</w:t>
            </w:r>
          </w:p>
        </w:tc>
        <w:tc>
          <w:tcPr>
            <w:tcW w:w="7709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28"/>
              <w:ind w:left="957" w:right="937"/>
              <w:jc w:val="center"/>
              <w:rPr>
                <w:sz w:val="24"/>
              </w:rPr>
            </w:pPr>
            <w:r>
              <w:rPr>
                <w:sz w:val="24"/>
              </w:rPr>
              <w:t>调味品及分装食品加工项目</w:t>
            </w:r>
          </w:p>
        </w:tc>
      </w:tr>
      <w:tr>
        <w:tblPrEx>
          <w:tblW w:w="0" w:type="auto"/>
          <w:tblInd w:w="1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15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9"/>
              <w:ind w:left="33" w:right="13"/>
              <w:jc w:val="center"/>
              <w:rPr>
                <w:sz w:val="24"/>
              </w:rPr>
            </w:pPr>
            <w:r>
              <w:rPr>
                <w:sz w:val="24"/>
              </w:rPr>
              <w:t>项目代码</w:t>
            </w:r>
          </w:p>
        </w:tc>
        <w:tc>
          <w:tcPr>
            <w:tcW w:w="7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45"/>
              <w:ind w:left="955" w:right="937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2306-371481-89-05-291220</w:t>
            </w:r>
          </w:p>
        </w:tc>
      </w:tr>
      <w:tr>
        <w:tblPrEx>
          <w:tblW w:w="0" w:type="auto"/>
          <w:tblInd w:w="1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/>
        </w:trPr>
        <w:tc>
          <w:tcPr>
            <w:tcW w:w="15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/>
              <w:ind w:left="33" w:right="13"/>
              <w:jc w:val="center"/>
              <w:rPr>
                <w:sz w:val="24"/>
              </w:rPr>
            </w:pPr>
            <w:r>
              <w:rPr>
                <w:sz w:val="24"/>
              </w:rPr>
              <w:t>建设单位联系</w:t>
            </w:r>
          </w:p>
          <w:p>
            <w:pPr>
              <w:pStyle w:val="TableParagraph"/>
              <w:spacing w:before="5" w:line="290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人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7"/>
              <w:ind w:left="62" w:right="43"/>
              <w:jc w:val="center"/>
              <w:rPr>
                <w:sz w:val="24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7"/>
              <w:ind w:left="75" w:right="55"/>
              <w:jc w:val="center"/>
              <w:rPr>
                <w:sz w:val="24"/>
              </w:rPr>
            </w:pPr>
            <w:r>
              <w:rPr>
                <w:sz w:val="24"/>
              </w:rPr>
              <w:t>联系方式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73"/>
              <w:ind w:left="147" w:right="130"/>
              <w:jc w:val="center"/>
              <w:rPr>
                <w:rFonts w:ascii="Times New Roman"/>
                <w:sz w:val="24"/>
              </w:rPr>
            </w:pPr>
          </w:p>
        </w:tc>
      </w:tr>
      <w:tr>
        <w:tblPrEx>
          <w:tblW w:w="0" w:type="auto"/>
          <w:tblInd w:w="1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15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9"/>
              <w:ind w:left="33" w:right="13"/>
              <w:jc w:val="center"/>
              <w:rPr>
                <w:sz w:val="24"/>
              </w:rPr>
            </w:pPr>
            <w:r>
              <w:rPr>
                <w:sz w:val="24"/>
              </w:rPr>
              <w:t>建设地点</w:t>
            </w:r>
          </w:p>
        </w:tc>
        <w:tc>
          <w:tcPr>
            <w:tcW w:w="7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29"/>
              <w:ind w:left="957" w:right="937"/>
              <w:jc w:val="center"/>
              <w:rPr>
                <w:sz w:val="24"/>
              </w:rPr>
            </w:pPr>
            <w:r>
              <w:rPr>
                <w:sz w:val="24"/>
              </w:rPr>
              <w:t>山东省德州市乐陵市杨安镇</w:t>
            </w:r>
            <w:r>
              <w:rPr>
                <w:rFonts w:ascii="Times New Roman" w:eastAsia="Times New Roman"/>
                <w:sz w:val="24"/>
              </w:rPr>
              <w:t>248</w:t>
            </w:r>
            <w:r>
              <w:rPr>
                <w:sz w:val="24"/>
              </w:rPr>
              <w:t>省道西侧、</w:t>
            </w:r>
            <w:r>
              <w:rPr>
                <w:rFonts w:ascii="Times New Roman" w:eastAsia="Times New Roman"/>
                <w:sz w:val="24"/>
              </w:rPr>
              <w:t>323</w:t>
            </w:r>
            <w:r>
              <w:rPr>
                <w:sz w:val="24"/>
              </w:rPr>
              <w:t>省道南侧</w:t>
            </w:r>
          </w:p>
        </w:tc>
      </w:tr>
      <w:tr>
        <w:tblPrEx>
          <w:tblW w:w="0" w:type="auto"/>
          <w:tblInd w:w="1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15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8"/>
              <w:ind w:left="33" w:right="13"/>
              <w:jc w:val="center"/>
              <w:rPr>
                <w:sz w:val="24"/>
              </w:rPr>
            </w:pPr>
            <w:r>
              <w:rPr>
                <w:sz w:val="24"/>
              </w:rPr>
              <w:t>地理坐标</w:t>
            </w:r>
          </w:p>
        </w:tc>
        <w:tc>
          <w:tcPr>
            <w:tcW w:w="7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28"/>
              <w:ind w:left="952" w:right="937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sz w:val="24"/>
              </w:rPr>
              <w:t>东经</w:t>
            </w:r>
            <w:r>
              <w:rPr>
                <w:rFonts w:ascii="Times New Roman" w:eastAsia="Times New Roman" w:hAnsi="Times New Roman"/>
                <w:sz w:val="24"/>
              </w:rPr>
              <w:t>117°8 ′47.069″</w:t>
            </w:r>
            <w:r>
              <w:rPr>
                <w:sz w:val="24"/>
              </w:rPr>
              <w:t>，北纬</w:t>
            </w:r>
            <w:r>
              <w:rPr>
                <w:rFonts w:ascii="Times New Roman" w:eastAsia="Times New Roman" w:hAnsi="Times New Roman"/>
                <w:sz w:val="24"/>
              </w:rPr>
              <w:t>37°38′41.220″</w:t>
            </w:r>
          </w:p>
        </w:tc>
      </w:tr>
      <w:tr>
        <w:tblPrEx>
          <w:tblW w:w="0" w:type="auto"/>
          <w:tblInd w:w="1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2"/>
        </w:trPr>
        <w:tc>
          <w:tcPr>
            <w:tcW w:w="15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6" w:line="242" w:lineRule="auto"/>
              <w:ind w:left="533" w:right="30" w:hanging="480"/>
              <w:rPr>
                <w:sz w:val="24"/>
              </w:rPr>
            </w:pPr>
            <w:r>
              <w:rPr>
                <w:sz w:val="24"/>
              </w:rPr>
              <w:t>国民经济行业类别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6" w:line="242" w:lineRule="auto"/>
              <w:ind w:left="682" w:right="101" w:hanging="562"/>
              <w:rPr>
                <w:sz w:val="24"/>
              </w:rPr>
            </w:pPr>
            <w:r>
              <w:rPr>
                <w:rFonts w:ascii="Times New Roman" w:eastAsia="Times New Roman"/>
                <w:sz w:val="24"/>
              </w:rPr>
              <w:t>C1469</w:t>
            </w:r>
            <w:r>
              <w:rPr>
                <w:sz w:val="24"/>
              </w:rPr>
              <w:t>其他调味料、发酵制品制造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/>
              <w:rPr>
                <w:rFonts w:ascii="黑体"/>
                <w:sz w:val="24"/>
              </w:rPr>
            </w:pPr>
          </w:p>
          <w:p>
            <w:pPr>
              <w:pStyle w:val="TableParagraph"/>
              <w:ind w:left="75" w:right="55"/>
              <w:jc w:val="center"/>
              <w:rPr>
                <w:sz w:val="24"/>
              </w:rPr>
            </w:pPr>
            <w:r>
              <w:rPr>
                <w:sz w:val="24"/>
              </w:rPr>
              <w:t>建设项目行业类别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2" w:lineRule="auto"/>
              <w:ind w:left="207" w:right="70" w:hanging="120"/>
              <w:rPr>
                <w:sz w:val="24"/>
              </w:rPr>
            </w:pPr>
            <w:r>
              <w:rPr>
                <w:sz w:val="24"/>
              </w:rPr>
              <w:t>十一、食品制造业，</w:t>
            </w:r>
            <w:r>
              <w:rPr>
                <w:rFonts w:ascii="Times New Roman" w:eastAsia="Times New Roman"/>
                <w:sz w:val="24"/>
              </w:rPr>
              <w:t>23</w:t>
            </w:r>
            <w:r>
              <w:rPr>
                <w:spacing w:val="-9"/>
                <w:sz w:val="24"/>
              </w:rPr>
              <w:t>调味</w:t>
            </w:r>
            <w:r>
              <w:rPr>
                <w:sz w:val="24"/>
              </w:rPr>
              <w:t>料、发酵制品制造，其他</w:t>
            </w:r>
          </w:p>
          <w:p>
            <w:pPr>
              <w:pStyle w:val="TableParagraph"/>
              <w:spacing w:before="3" w:line="289" w:lineRule="exact"/>
              <w:ind w:left="87"/>
              <w:rPr>
                <w:sz w:val="24"/>
              </w:rPr>
            </w:pPr>
            <w:r>
              <w:rPr>
                <w:sz w:val="24"/>
              </w:rPr>
              <w:t>（单独混合、分装的除外）</w:t>
            </w:r>
          </w:p>
        </w:tc>
      </w:tr>
      <w:tr>
        <w:tblPrEx>
          <w:tblW w:w="0" w:type="auto"/>
          <w:tblInd w:w="1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5"/>
        </w:trPr>
        <w:tc>
          <w:tcPr>
            <w:tcW w:w="15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黑体"/>
                <w:sz w:val="24"/>
              </w:rPr>
            </w:pPr>
          </w:p>
          <w:p>
            <w:pPr>
              <w:pStyle w:val="TableParagraph"/>
              <w:spacing w:before="160"/>
              <w:ind w:left="33" w:right="13"/>
              <w:jc w:val="center"/>
              <w:rPr>
                <w:sz w:val="24"/>
              </w:rPr>
            </w:pPr>
            <w:r>
              <w:rPr>
                <w:sz w:val="24"/>
              </w:rPr>
              <w:t>建设性质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left="120"/>
              <w:rPr>
                <w:sz w:val="24"/>
              </w:rPr>
            </w:pPr>
            <w:r>
              <w:rPr>
                <w:rFonts w:ascii="Wingdings" w:eastAsia="Wingdings" w:hAnsi="Wingdings"/>
                <w:sz w:val="24"/>
              </w:rPr>
              <w:sym w:font="Wingdings" w:char="F052"/>
            </w:r>
            <w:r>
              <w:rPr>
                <w:sz w:val="24"/>
              </w:rPr>
              <w:t>新建（迁建）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val="left" w:pos="336"/>
              </w:tabs>
              <w:spacing w:before="2" w:after="0" w:line="240" w:lineRule="auto"/>
              <w:ind w:left="335" w:right="0" w:hanging="216"/>
              <w:jc w:val="left"/>
              <w:rPr>
                <w:sz w:val="24"/>
              </w:rPr>
            </w:pPr>
            <w:r>
              <w:rPr>
                <w:sz w:val="24"/>
              </w:rPr>
              <w:t>改建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val="left" w:pos="336"/>
              </w:tabs>
              <w:spacing w:before="5" w:after="0" w:line="240" w:lineRule="auto"/>
              <w:ind w:left="335" w:right="0" w:hanging="216"/>
              <w:jc w:val="left"/>
              <w:rPr>
                <w:sz w:val="24"/>
              </w:rPr>
            </w:pPr>
            <w:r>
              <w:rPr>
                <w:sz w:val="24"/>
              </w:rPr>
              <w:t>扩建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val="left" w:pos="336"/>
              </w:tabs>
              <w:spacing w:before="4" w:after="0" w:line="289" w:lineRule="exact"/>
              <w:ind w:left="335" w:right="0" w:hanging="216"/>
              <w:jc w:val="left"/>
              <w:rPr>
                <w:sz w:val="24"/>
              </w:rPr>
            </w:pPr>
            <w:r>
              <w:rPr>
                <w:sz w:val="24"/>
              </w:rPr>
              <w:t>技术改造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黑体"/>
                <w:sz w:val="24"/>
              </w:rPr>
            </w:pPr>
          </w:p>
          <w:p>
            <w:pPr>
              <w:pStyle w:val="TableParagraph"/>
              <w:spacing w:before="160"/>
              <w:ind w:left="75" w:right="55"/>
              <w:jc w:val="center"/>
              <w:rPr>
                <w:sz w:val="24"/>
              </w:rPr>
            </w:pPr>
            <w:r>
              <w:rPr>
                <w:sz w:val="24"/>
              </w:rPr>
              <w:t>建设项目申报情形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"/>
              <w:ind w:left="119"/>
              <w:rPr>
                <w:sz w:val="24"/>
              </w:rPr>
            </w:pPr>
            <w:r>
              <w:rPr>
                <w:rFonts w:ascii="Wingdings" w:eastAsia="Wingdings" w:hAnsi="Wingdings"/>
                <w:sz w:val="24"/>
              </w:rPr>
              <w:sym w:font="Wingdings" w:char="F052"/>
            </w:r>
            <w:r>
              <w:rPr>
                <w:sz w:val="24"/>
              </w:rPr>
              <w:t>首次申报项目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val="left" w:pos="335"/>
              </w:tabs>
              <w:spacing w:before="2" w:after="0" w:line="240" w:lineRule="auto"/>
              <w:ind w:left="334" w:right="0" w:hanging="216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不予批准后再次申报项目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val="left" w:pos="335"/>
              </w:tabs>
              <w:spacing w:before="5" w:after="0" w:line="240" w:lineRule="auto"/>
              <w:ind w:left="334" w:right="0" w:hanging="216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超五年重新审核项目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val="left" w:pos="335"/>
              </w:tabs>
              <w:spacing w:before="4" w:after="0" w:line="289" w:lineRule="exact"/>
              <w:ind w:left="334" w:right="0" w:hanging="216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重大变动重新报批项目</w:t>
            </w:r>
          </w:p>
        </w:tc>
      </w:tr>
      <w:tr>
        <w:tblPrEx>
          <w:tblW w:w="0" w:type="auto"/>
          <w:tblInd w:w="1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3"/>
        </w:trPr>
        <w:tc>
          <w:tcPr>
            <w:tcW w:w="15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 w:line="242" w:lineRule="auto"/>
              <w:ind w:left="24" w:right="4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项目审批</w:t>
            </w:r>
            <w:r>
              <w:rPr>
                <w:spacing w:val="-5"/>
                <w:sz w:val="24"/>
              </w:rPr>
              <w:t>（</w:t>
            </w:r>
            <w:r>
              <w:rPr>
                <w:sz w:val="24"/>
              </w:rPr>
              <w:t>核</w:t>
            </w:r>
            <w:r>
              <w:rPr>
                <w:spacing w:val="-3"/>
                <w:sz w:val="24"/>
              </w:rPr>
              <w:t>准</w:t>
            </w:r>
            <w:r>
              <w:rPr>
                <w:rFonts w:ascii="Times New Roman" w:eastAsia="Times New Roman"/>
                <w:spacing w:val="-5"/>
                <w:sz w:val="24"/>
              </w:rPr>
              <w:t>/</w:t>
            </w:r>
            <w:r>
              <w:rPr>
                <w:sz w:val="24"/>
              </w:rPr>
              <w:t>备案</w:t>
            </w:r>
            <w:r>
              <w:rPr>
                <w:spacing w:val="-3"/>
                <w:sz w:val="24"/>
              </w:rPr>
              <w:t>）</w:t>
            </w:r>
            <w:r>
              <w:rPr>
                <w:spacing w:val="-9"/>
                <w:sz w:val="24"/>
              </w:rPr>
              <w:t>部门</w:t>
            </w:r>
          </w:p>
          <w:p>
            <w:pPr>
              <w:pStyle w:val="TableParagraph"/>
              <w:spacing w:before="1" w:line="290" w:lineRule="exact"/>
              <w:ind w:left="33" w:right="13"/>
              <w:jc w:val="center"/>
              <w:rPr>
                <w:sz w:val="24"/>
              </w:rPr>
            </w:pPr>
            <w:r>
              <w:rPr>
                <w:sz w:val="24"/>
              </w:rPr>
              <w:t>（选填）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/>
              <w:rPr>
                <w:rFonts w:ascii="黑体"/>
                <w:sz w:val="24"/>
              </w:rPr>
            </w:pPr>
          </w:p>
          <w:p>
            <w:pPr>
              <w:pStyle w:val="TableParagraph"/>
              <w:spacing w:before="1"/>
              <w:ind w:left="62" w:right="43"/>
              <w:jc w:val="center"/>
              <w:rPr>
                <w:sz w:val="24"/>
              </w:rPr>
            </w:pPr>
            <w:r>
              <w:rPr>
                <w:sz w:val="24"/>
              </w:rPr>
              <w:t>乐陵市行政审批服务局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6" w:line="242" w:lineRule="auto"/>
              <w:ind w:left="102" w:right="18" w:hanging="36"/>
              <w:rPr>
                <w:sz w:val="24"/>
              </w:rPr>
            </w:pPr>
            <w:r>
              <w:rPr>
                <w:sz w:val="24"/>
              </w:rPr>
              <w:t>项目审批（核准</w:t>
            </w:r>
            <w:r>
              <w:rPr>
                <w:rFonts w:ascii="Times New Roman" w:eastAsia="Times New Roman"/>
                <w:sz w:val="24"/>
              </w:rPr>
              <w:t>/</w:t>
            </w:r>
            <w:r>
              <w:rPr>
                <w:sz w:val="24"/>
              </w:rPr>
              <w:t>备案）文号（选填）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8"/>
              <w:rPr>
                <w:rFonts w:ascii="黑体"/>
                <w:sz w:val="25"/>
              </w:rPr>
            </w:pPr>
          </w:p>
          <w:p>
            <w:pPr>
              <w:pStyle w:val="TableParagraph"/>
              <w:ind w:left="147" w:right="131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2306-371481-89-05-291220</w:t>
            </w:r>
          </w:p>
        </w:tc>
      </w:tr>
      <w:tr>
        <w:tblPrEx>
          <w:tblW w:w="0" w:type="auto"/>
          <w:tblInd w:w="1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/>
        </w:trPr>
        <w:tc>
          <w:tcPr>
            <w:tcW w:w="15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left="33" w:right="13"/>
              <w:jc w:val="center"/>
              <w:rPr>
                <w:sz w:val="24"/>
              </w:rPr>
            </w:pPr>
            <w:r>
              <w:rPr>
                <w:sz w:val="24"/>
              </w:rPr>
              <w:t>总投资（万</w:t>
            </w:r>
          </w:p>
          <w:p>
            <w:pPr>
              <w:pStyle w:val="TableParagraph"/>
              <w:spacing w:before="4" w:line="289" w:lineRule="exact"/>
              <w:ind w:left="33" w:right="13"/>
              <w:jc w:val="center"/>
              <w:rPr>
                <w:sz w:val="24"/>
              </w:rPr>
            </w:pPr>
            <w:r>
              <w:rPr>
                <w:sz w:val="24"/>
              </w:rPr>
              <w:t>元）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74"/>
              <w:ind w:left="60" w:right="43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200.00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8"/>
              <w:ind w:left="75" w:right="55"/>
              <w:jc w:val="center"/>
              <w:rPr>
                <w:sz w:val="24"/>
              </w:rPr>
            </w:pPr>
            <w:r>
              <w:rPr>
                <w:sz w:val="24"/>
              </w:rPr>
              <w:t>环保投资（万元）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74"/>
              <w:ind w:left="147" w:right="128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5.00</w:t>
            </w:r>
          </w:p>
        </w:tc>
      </w:tr>
      <w:tr>
        <w:tblPrEx>
          <w:tblW w:w="0" w:type="auto"/>
          <w:tblInd w:w="1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/>
        </w:trPr>
        <w:tc>
          <w:tcPr>
            <w:tcW w:w="15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33" w:right="13"/>
              <w:jc w:val="center"/>
              <w:rPr>
                <w:sz w:val="24"/>
              </w:rPr>
            </w:pPr>
            <w:r>
              <w:rPr>
                <w:sz w:val="24"/>
              </w:rPr>
              <w:t>环保投资占比</w:t>
            </w:r>
          </w:p>
          <w:p>
            <w:pPr>
              <w:pStyle w:val="TableParagraph"/>
              <w:spacing w:before="4" w:line="290" w:lineRule="exact"/>
              <w:ind w:left="31" w:right="13"/>
              <w:jc w:val="center"/>
              <w:rPr>
                <w:sz w:val="24"/>
              </w:rPr>
            </w:pPr>
            <w:r>
              <w:rPr>
                <w:sz w:val="24"/>
              </w:rPr>
              <w:t>（</w:t>
            </w:r>
            <w:r>
              <w:rPr>
                <w:rFonts w:ascii="Times New Roman" w:eastAsia="Times New Roman"/>
                <w:sz w:val="24"/>
              </w:rPr>
              <w:t>%</w:t>
            </w:r>
            <w:r>
              <w:rPr>
                <w:sz w:val="24"/>
              </w:rPr>
              <w:t>）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72"/>
              <w:ind w:left="60" w:right="43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2.5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6"/>
              <w:ind w:left="75" w:right="55"/>
              <w:jc w:val="center"/>
              <w:rPr>
                <w:sz w:val="24"/>
              </w:rPr>
            </w:pPr>
            <w:r>
              <w:rPr>
                <w:sz w:val="24"/>
              </w:rPr>
              <w:t>施工工期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56"/>
              <w:ind w:left="147" w:right="130"/>
              <w:jc w:val="center"/>
              <w:rPr>
                <w:sz w:val="24"/>
              </w:rPr>
            </w:pPr>
            <w:r>
              <w:rPr>
                <w:rFonts w:ascii="Times New Roman" w:eastAsia="Times New Roman"/>
                <w:sz w:val="24"/>
              </w:rPr>
              <w:t>1</w:t>
            </w:r>
            <w:r>
              <w:rPr>
                <w:sz w:val="24"/>
              </w:rPr>
              <w:t>个月</w:t>
            </w:r>
          </w:p>
        </w:tc>
      </w:tr>
      <w:tr>
        <w:tblPrEx>
          <w:tblW w:w="0" w:type="auto"/>
          <w:tblInd w:w="1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/>
        </w:trPr>
        <w:tc>
          <w:tcPr>
            <w:tcW w:w="15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8"/>
              <w:ind w:left="33" w:right="13"/>
              <w:jc w:val="center"/>
              <w:rPr>
                <w:sz w:val="24"/>
              </w:rPr>
            </w:pPr>
            <w:r>
              <w:rPr>
                <w:sz w:val="24"/>
              </w:rPr>
              <w:t>是否开工建设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/>
              <w:ind w:left="120"/>
              <w:rPr>
                <w:sz w:val="24"/>
              </w:rPr>
            </w:pPr>
            <w:r>
              <w:rPr>
                <w:rFonts w:ascii="Wingdings" w:eastAsia="Wingdings" w:hAnsi="Wingdings"/>
                <w:sz w:val="24"/>
              </w:rPr>
              <w:sym w:font="Wingdings" w:char="F052"/>
            </w:r>
            <w:r>
              <w:rPr>
                <w:sz w:val="24"/>
              </w:rPr>
              <w:t>否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val="left" w:pos="336"/>
              </w:tabs>
              <w:spacing w:before="5" w:after="0" w:line="289" w:lineRule="exact"/>
              <w:ind w:left="335" w:right="0" w:hanging="216"/>
              <w:jc w:val="left"/>
              <w:rPr>
                <w:sz w:val="24"/>
              </w:rPr>
            </w:pPr>
            <w:r>
              <w:rPr>
                <w:sz w:val="24"/>
              </w:rPr>
              <w:t>是：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/>
              <w:ind w:left="75" w:right="55"/>
              <w:jc w:val="center"/>
              <w:rPr>
                <w:sz w:val="24"/>
              </w:rPr>
            </w:pPr>
            <w:r>
              <w:rPr>
                <w:sz w:val="24"/>
              </w:rPr>
              <w:t>用地（用海）面积</w:t>
            </w:r>
          </w:p>
          <w:p>
            <w:pPr>
              <w:pStyle w:val="TableParagraph"/>
              <w:spacing w:before="5" w:line="289" w:lineRule="exact"/>
              <w:ind w:left="73" w:right="55"/>
              <w:jc w:val="center"/>
              <w:rPr>
                <w:sz w:val="24"/>
              </w:rPr>
            </w:pPr>
            <w:r>
              <w:rPr>
                <w:sz w:val="24"/>
              </w:rPr>
              <w:t>（</w:t>
            </w:r>
            <w:r>
              <w:rPr>
                <w:rFonts w:ascii="Times New Roman" w:eastAsia="Times New Roman" w:hAnsi="Times New Roman"/>
                <w:sz w:val="24"/>
              </w:rPr>
              <w:t>m²</w:t>
            </w:r>
            <w:r>
              <w:rPr>
                <w:sz w:val="24"/>
              </w:rPr>
              <w:t>）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73"/>
              <w:ind w:left="147" w:right="130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2200</w:t>
            </w:r>
          </w:p>
        </w:tc>
      </w:tr>
      <w:tr>
        <w:tblPrEx>
          <w:tblW w:w="0" w:type="auto"/>
          <w:tblInd w:w="1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4"/>
        </w:trPr>
        <w:tc>
          <w:tcPr>
            <w:tcW w:w="15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rPr>
                <w:rFonts w:ascii="黑体"/>
                <w:sz w:val="26"/>
              </w:rPr>
            </w:pPr>
          </w:p>
          <w:p>
            <w:pPr>
              <w:pStyle w:val="TableParagraph"/>
              <w:spacing w:line="242" w:lineRule="auto"/>
              <w:ind w:left="533" w:right="30" w:hanging="480"/>
              <w:rPr>
                <w:sz w:val="24"/>
              </w:rPr>
            </w:pPr>
            <w:r>
              <w:rPr>
                <w:sz w:val="24"/>
              </w:rPr>
              <w:t>专项评价设置情况</w:t>
            </w:r>
          </w:p>
        </w:tc>
        <w:tc>
          <w:tcPr>
            <w:tcW w:w="7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黑体"/>
                <w:sz w:val="24"/>
              </w:rPr>
            </w:pPr>
          </w:p>
          <w:p>
            <w:pPr>
              <w:pStyle w:val="TableParagraph"/>
              <w:spacing w:before="7"/>
              <w:rPr>
                <w:rFonts w:ascii="黑体"/>
                <w:sz w:val="17"/>
              </w:rPr>
            </w:pPr>
          </w:p>
          <w:p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无</w:t>
            </w:r>
          </w:p>
        </w:tc>
      </w:tr>
      <w:tr>
        <w:tblPrEx>
          <w:tblW w:w="0" w:type="auto"/>
          <w:tblInd w:w="1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3"/>
        </w:trPr>
        <w:tc>
          <w:tcPr>
            <w:tcW w:w="15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黑体"/>
                <w:sz w:val="24"/>
              </w:rPr>
            </w:pPr>
          </w:p>
          <w:p>
            <w:pPr>
              <w:pStyle w:val="TableParagraph"/>
              <w:spacing w:before="190"/>
              <w:ind w:left="33" w:right="13"/>
              <w:jc w:val="center"/>
              <w:rPr>
                <w:sz w:val="24"/>
              </w:rPr>
            </w:pPr>
            <w:r>
              <w:rPr>
                <w:sz w:val="24"/>
              </w:rPr>
              <w:t>规划情况</w:t>
            </w:r>
          </w:p>
        </w:tc>
        <w:tc>
          <w:tcPr>
            <w:tcW w:w="7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黑体"/>
                <w:sz w:val="24"/>
              </w:rPr>
            </w:pPr>
          </w:p>
          <w:p>
            <w:pPr>
              <w:pStyle w:val="TableParagraph"/>
              <w:spacing w:before="6"/>
              <w:rPr>
                <w:rFonts w:ascii="黑体"/>
                <w:sz w:val="17"/>
              </w:rPr>
            </w:pPr>
          </w:p>
          <w:p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无</w:t>
            </w:r>
          </w:p>
        </w:tc>
      </w:tr>
      <w:tr>
        <w:tblPrEx>
          <w:tblW w:w="0" w:type="auto"/>
          <w:tblInd w:w="1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4"/>
        </w:trPr>
        <w:tc>
          <w:tcPr>
            <w:tcW w:w="15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rPr>
                <w:rFonts w:ascii="黑体"/>
                <w:sz w:val="26"/>
              </w:rPr>
            </w:pPr>
          </w:p>
          <w:p>
            <w:pPr>
              <w:pStyle w:val="TableParagraph"/>
              <w:spacing w:line="242" w:lineRule="auto"/>
              <w:ind w:left="293" w:right="30" w:hanging="240"/>
              <w:rPr>
                <w:sz w:val="24"/>
              </w:rPr>
            </w:pPr>
            <w:r>
              <w:rPr>
                <w:sz w:val="24"/>
              </w:rPr>
              <w:t>规划环境影响评价情况</w:t>
            </w:r>
          </w:p>
        </w:tc>
        <w:tc>
          <w:tcPr>
            <w:tcW w:w="7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黑体"/>
                <w:sz w:val="24"/>
              </w:rPr>
            </w:pPr>
          </w:p>
          <w:p>
            <w:pPr>
              <w:pStyle w:val="TableParagraph"/>
              <w:spacing w:before="7"/>
              <w:rPr>
                <w:rFonts w:ascii="黑体"/>
                <w:sz w:val="17"/>
              </w:rPr>
            </w:pPr>
          </w:p>
          <w:p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无</w:t>
            </w:r>
          </w:p>
        </w:tc>
      </w:tr>
      <w:tr>
        <w:tblPrEx>
          <w:tblW w:w="0" w:type="auto"/>
          <w:tblInd w:w="1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2"/>
        </w:trPr>
        <w:tc>
          <w:tcPr>
            <w:tcW w:w="15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86" w:line="242" w:lineRule="auto"/>
              <w:ind w:left="38" w:right="15"/>
              <w:jc w:val="center"/>
              <w:rPr>
                <w:sz w:val="24"/>
              </w:rPr>
            </w:pPr>
            <w:r>
              <w:rPr>
                <w:sz w:val="24"/>
              </w:rPr>
              <w:t>规划及规划环境影响评价符合性分析</w:t>
            </w:r>
          </w:p>
        </w:tc>
        <w:tc>
          <w:tcPr>
            <w:tcW w:w="7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黑体"/>
                <w:sz w:val="24"/>
              </w:rPr>
            </w:pPr>
          </w:p>
          <w:p>
            <w:pPr>
              <w:pStyle w:val="TableParagraph"/>
              <w:spacing w:before="6"/>
              <w:rPr>
                <w:rFonts w:ascii="黑体"/>
                <w:sz w:val="17"/>
              </w:rPr>
            </w:pPr>
          </w:p>
          <w:p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无</w:t>
            </w:r>
          </w:p>
        </w:tc>
      </w:tr>
    </w:tbl>
    <w:p>
      <w:pPr>
        <w:spacing w:after="0"/>
        <w:jc w:val="center"/>
        <w:rPr>
          <w:sz w:val="24"/>
        </w:rPr>
        <w:sectPr>
          <w:footerReference w:type="default" r:id="rId5"/>
          <w:pgSz w:w="11910" w:h="16840"/>
          <w:pgMar w:top="1560" w:right="1200" w:bottom="940" w:left="1220" w:header="0" w:footer="743" w:gutter="0"/>
          <w:pgNumType w:start="1"/>
          <w:cols w:num="1"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41"/>
        <w:gridCol w:w="129"/>
        <w:gridCol w:w="655"/>
        <w:gridCol w:w="5302"/>
        <w:gridCol w:w="1489"/>
        <w:gridCol w:w="134"/>
      </w:tblGrid>
      <w:tr>
        <w:tblPrEx>
          <w:tblW w:w="0" w:type="auto"/>
          <w:tblInd w:w="121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4"/>
        </w:trPr>
        <w:tc>
          <w:tcPr>
            <w:tcW w:w="1541" w:type="dxa"/>
            <w:tcBorders>
              <w:left w:val="single" w:sz="8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709" w:type="dxa"/>
            <w:gridSpan w:val="5"/>
            <w:tcBorders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2"/>
              <w:ind w:left="545"/>
              <w:rPr>
                <w:b/>
                <w:sz w:val="24"/>
              </w:rPr>
            </w:pPr>
            <w:bookmarkStart w:id="2" w:name="（一）产业政策的符合性分析"/>
            <w:bookmarkEnd w:id="2"/>
            <w:r>
              <w:rPr>
                <w:b/>
                <w:sz w:val="24"/>
              </w:rPr>
              <w:t>（一）产业政策的符合性分析</w:t>
            </w:r>
          </w:p>
        </w:tc>
      </w:tr>
      <w:tr>
        <w:tblPrEx>
          <w:tblW w:w="0" w:type="auto"/>
          <w:tblInd w:w="1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/>
        </w:trPr>
        <w:tc>
          <w:tcPr>
            <w:tcW w:w="1541" w:type="dxa"/>
            <w:tcBorders>
              <w:top w:val="nil"/>
              <w:left w:val="single" w:sz="8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709" w:type="dxa"/>
            <w:gridSpan w:val="5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83"/>
              <w:ind w:left="545"/>
              <w:rPr>
                <w:sz w:val="24"/>
              </w:rPr>
            </w:pPr>
            <w:r>
              <w:rPr>
                <w:sz w:val="24"/>
              </w:rPr>
              <w:t>对照《产业结构调整指导目录（</w:t>
            </w:r>
            <w:r>
              <w:rPr>
                <w:rFonts w:ascii="Times New Roman" w:eastAsia="Times New Roman"/>
                <w:sz w:val="24"/>
              </w:rPr>
              <w:t xml:space="preserve">2019 </w:t>
            </w:r>
            <w:r>
              <w:rPr>
                <w:sz w:val="24"/>
              </w:rPr>
              <w:t>年本）》（国家发展和改革委</w:t>
            </w:r>
          </w:p>
        </w:tc>
      </w:tr>
      <w:tr>
        <w:tblPrEx>
          <w:tblW w:w="0" w:type="auto"/>
          <w:tblInd w:w="1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/>
        </w:trPr>
        <w:tc>
          <w:tcPr>
            <w:tcW w:w="1541" w:type="dxa"/>
            <w:tcBorders>
              <w:top w:val="nil"/>
              <w:left w:val="single" w:sz="8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709" w:type="dxa"/>
            <w:gridSpan w:val="5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76"/>
              <w:ind w:left="65"/>
              <w:rPr>
                <w:sz w:val="24"/>
              </w:rPr>
            </w:pPr>
            <w:r>
              <w:rPr>
                <w:sz w:val="24"/>
              </w:rPr>
              <w:t xml:space="preserve">员会令第 </w:t>
            </w:r>
            <w:r>
              <w:rPr>
                <w:rFonts w:ascii="Times New Roman" w:eastAsia="Times New Roman" w:hAnsi="Times New Roman"/>
                <w:sz w:val="24"/>
              </w:rPr>
              <w:t xml:space="preserve">29 </w:t>
            </w:r>
            <w:r>
              <w:rPr>
                <w:sz w:val="24"/>
              </w:rPr>
              <w:t>号），拟建项目不属于指导目录中</w:t>
            </w:r>
            <w:r>
              <w:rPr>
                <w:rFonts w:ascii="Times New Roman" w:eastAsia="Times New Roman" w:hAnsi="Times New Roman"/>
                <w:sz w:val="24"/>
              </w:rPr>
              <w:t>“</w:t>
            </w:r>
            <w:r>
              <w:rPr>
                <w:sz w:val="24"/>
              </w:rPr>
              <w:t>限制类</w:t>
            </w:r>
            <w:r>
              <w:rPr>
                <w:rFonts w:ascii="Times New Roman" w:eastAsia="Times New Roman" w:hAnsi="Times New Roman"/>
                <w:sz w:val="24"/>
              </w:rPr>
              <w:t>”</w:t>
            </w:r>
            <w:r>
              <w:rPr>
                <w:sz w:val="24"/>
              </w:rPr>
              <w:t>、</w:t>
            </w:r>
            <w:r>
              <w:rPr>
                <w:rFonts w:ascii="Times New Roman" w:eastAsia="Times New Roman" w:hAnsi="Times New Roman"/>
                <w:sz w:val="24"/>
              </w:rPr>
              <w:t>“</w:t>
            </w:r>
            <w:r>
              <w:rPr>
                <w:sz w:val="24"/>
              </w:rPr>
              <w:t>淘汰类</w:t>
            </w:r>
            <w:r>
              <w:rPr>
                <w:rFonts w:ascii="Times New Roman" w:eastAsia="Times New Roman" w:hAnsi="Times New Roman"/>
                <w:sz w:val="24"/>
              </w:rPr>
              <w:t>”</w:t>
            </w:r>
            <w:r>
              <w:rPr>
                <w:sz w:val="24"/>
              </w:rPr>
              <w:t>，为</w:t>
            </w:r>
          </w:p>
        </w:tc>
      </w:tr>
      <w:tr>
        <w:tblPrEx>
          <w:tblW w:w="0" w:type="auto"/>
          <w:tblInd w:w="1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/>
        </w:trPr>
        <w:tc>
          <w:tcPr>
            <w:tcW w:w="1541" w:type="dxa"/>
            <w:tcBorders>
              <w:top w:val="nil"/>
              <w:left w:val="single" w:sz="8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709" w:type="dxa"/>
            <w:gridSpan w:val="5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71"/>
              <w:ind w:left="65"/>
              <w:rPr>
                <w:sz w:val="24"/>
              </w:rPr>
            </w:pPr>
            <w:r>
              <w:rPr>
                <w:sz w:val="24"/>
              </w:rPr>
              <w:t>允许建设的项目，符合国家的产业政策。</w:t>
            </w:r>
          </w:p>
        </w:tc>
      </w:tr>
      <w:tr>
        <w:tblPrEx>
          <w:tblW w:w="0" w:type="auto"/>
          <w:tblInd w:w="1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/>
        </w:trPr>
        <w:tc>
          <w:tcPr>
            <w:tcW w:w="1541" w:type="dxa"/>
            <w:tcBorders>
              <w:top w:val="nil"/>
              <w:left w:val="single" w:sz="8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709" w:type="dxa"/>
            <w:gridSpan w:val="5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80"/>
              <w:ind w:left="545"/>
              <w:rPr>
                <w:b/>
                <w:sz w:val="24"/>
              </w:rPr>
            </w:pPr>
            <w:bookmarkStart w:id="3" w:name="（二）环保政策的符合性"/>
            <w:bookmarkEnd w:id="3"/>
            <w:r>
              <w:rPr>
                <w:b/>
                <w:sz w:val="24"/>
              </w:rPr>
              <w:t>（二）环保政策的符合性</w:t>
            </w:r>
          </w:p>
        </w:tc>
      </w:tr>
      <w:tr>
        <w:tblPrEx>
          <w:tblW w:w="0" w:type="auto"/>
          <w:tblInd w:w="1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/>
        </w:trPr>
        <w:tc>
          <w:tcPr>
            <w:tcW w:w="1541" w:type="dxa"/>
            <w:tcBorders>
              <w:top w:val="nil"/>
              <w:left w:val="single" w:sz="8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709" w:type="dxa"/>
            <w:gridSpan w:val="5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85"/>
              <w:ind w:left="533"/>
              <w:rPr>
                <w:rFonts w:ascii="Times New Roman" w:eastAsia="Times New Roman"/>
                <w:sz w:val="24"/>
              </w:rPr>
            </w:pPr>
            <w:bookmarkStart w:id="4" w:name="拟建项目与《山东省深入打好蓝天保卫战行动计划（2021-2025年）》（鲁环委办"/>
            <w:bookmarkEnd w:id="4"/>
            <w:r>
              <w:rPr>
                <w:spacing w:val="24"/>
                <w:sz w:val="24"/>
              </w:rPr>
              <w:t>拟建项目与《山东省深入打好蓝天保卫战行动计划</w:t>
            </w:r>
            <w:r>
              <w:rPr>
                <w:sz w:val="24"/>
              </w:rPr>
              <w:t>（</w:t>
            </w:r>
            <w:r>
              <w:rPr>
                <w:spacing w:val="-97"/>
                <w:sz w:val="24"/>
              </w:rPr>
              <w:t xml:space="preserve"> </w:t>
            </w:r>
            <w:r>
              <w:rPr>
                <w:rFonts w:ascii="Times New Roman" w:eastAsia="Times New Roman"/>
                <w:sz w:val="24"/>
              </w:rPr>
              <w:t>2021-2025</w:t>
            </w:r>
          </w:p>
        </w:tc>
      </w:tr>
      <w:tr>
        <w:tblPrEx>
          <w:tblW w:w="0" w:type="auto"/>
          <w:tblInd w:w="1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/>
        </w:trPr>
        <w:tc>
          <w:tcPr>
            <w:tcW w:w="1541" w:type="dxa"/>
            <w:tcBorders>
              <w:top w:val="nil"/>
              <w:left w:val="single" w:sz="8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709" w:type="dxa"/>
            <w:gridSpan w:val="5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75"/>
              <w:ind w:left="53"/>
              <w:rPr>
                <w:sz w:val="24"/>
              </w:rPr>
            </w:pPr>
            <w:r>
              <w:rPr>
                <w:sz w:val="24"/>
              </w:rPr>
              <w:t>年）》（鲁环委办〔</w:t>
            </w:r>
            <w:r>
              <w:rPr>
                <w:rFonts w:ascii="Times New Roman" w:eastAsia="Times New Roman"/>
                <w:sz w:val="24"/>
              </w:rPr>
              <w:t>2021</w:t>
            </w:r>
            <w:r>
              <w:rPr>
                <w:sz w:val="24"/>
              </w:rPr>
              <w:t>〕</w:t>
            </w:r>
            <w:r>
              <w:rPr>
                <w:rFonts w:ascii="Times New Roman" w:eastAsia="Times New Roman"/>
                <w:sz w:val="24"/>
              </w:rPr>
              <w:t xml:space="preserve">30 </w:t>
            </w:r>
            <w:r>
              <w:rPr>
                <w:sz w:val="24"/>
              </w:rPr>
              <w:t>号）、《山东省环境保护条例》（</w:t>
            </w:r>
            <w:r>
              <w:rPr>
                <w:rFonts w:ascii="Times New Roman" w:eastAsia="Times New Roman"/>
                <w:sz w:val="24"/>
              </w:rPr>
              <w:t xml:space="preserve">2018 </w:t>
            </w:r>
            <w:r>
              <w:rPr>
                <w:sz w:val="24"/>
              </w:rPr>
              <w:t>年</w:t>
            </w:r>
          </w:p>
        </w:tc>
      </w:tr>
      <w:tr>
        <w:tblPrEx>
          <w:tblW w:w="0" w:type="auto"/>
          <w:tblInd w:w="1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/>
        </w:trPr>
        <w:tc>
          <w:tcPr>
            <w:tcW w:w="1541" w:type="dxa"/>
            <w:tcBorders>
              <w:top w:val="nil"/>
              <w:left w:val="single" w:sz="8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709" w:type="dxa"/>
            <w:gridSpan w:val="5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76"/>
              <w:ind w:left="53"/>
              <w:rPr>
                <w:rFonts w:ascii="Times New Roman" w:eastAsia="Times New Roman" w:hAnsi="Times New Roman"/>
                <w:sz w:val="24"/>
              </w:rPr>
            </w:pPr>
            <w:r>
              <w:rPr>
                <w:sz w:val="24"/>
              </w:rPr>
              <w:t>修订版）、关于印发《德州市新一轮“四减四增”三年行动方案（</w:t>
            </w:r>
            <w:r>
              <w:rPr>
                <w:rFonts w:ascii="Times New Roman" w:eastAsia="Times New Roman" w:hAnsi="Times New Roman"/>
                <w:sz w:val="24"/>
              </w:rPr>
              <w:t>2021-</w:t>
            </w:r>
          </w:p>
        </w:tc>
      </w:tr>
      <w:tr>
        <w:tblPrEx>
          <w:tblW w:w="0" w:type="auto"/>
          <w:tblInd w:w="1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/>
        </w:trPr>
        <w:tc>
          <w:tcPr>
            <w:tcW w:w="1541" w:type="dxa"/>
            <w:tcBorders>
              <w:top w:val="nil"/>
              <w:left w:val="single" w:sz="8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709" w:type="dxa"/>
            <w:gridSpan w:val="5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75"/>
              <w:ind w:left="53"/>
              <w:rPr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2023 </w:t>
            </w:r>
            <w:r>
              <w:rPr>
                <w:sz w:val="24"/>
              </w:rPr>
              <w:t>年）》的通知（德环委发〔</w:t>
            </w:r>
            <w:r>
              <w:rPr>
                <w:rFonts w:ascii="Times New Roman" w:eastAsia="Times New Roman" w:hAnsi="Times New Roman"/>
                <w:sz w:val="24"/>
              </w:rPr>
              <w:t>2022</w:t>
            </w:r>
            <w:r>
              <w:rPr>
                <w:sz w:val="24"/>
              </w:rPr>
              <w:t>〕</w:t>
            </w:r>
            <w:r>
              <w:rPr>
                <w:rFonts w:ascii="Times New Roman" w:eastAsia="Times New Roman" w:hAnsi="Times New Roman"/>
                <w:sz w:val="24"/>
              </w:rPr>
              <w:t xml:space="preserve">2 </w:t>
            </w:r>
            <w:r>
              <w:rPr>
                <w:sz w:val="24"/>
              </w:rPr>
              <w:t>号）及《山东省</w:t>
            </w:r>
            <w:r>
              <w:rPr>
                <w:rFonts w:ascii="Times New Roman" w:eastAsia="Times New Roman" w:hAnsi="Times New Roman"/>
                <w:sz w:val="24"/>
              </w:rPr>
              <w:t>“</w:t>
            </w:r>
            <w:r>
              <w:rPr>
                <w:sz w:val="24"/>
              </w:rPr>
              <w:t>十四五</w:t>
            </w:r>
            <w:r>
              <w:rPr>
                <w:rFonts w:ascii="Times New Roman" w:eastAsia="Times New Roman" w:hAnsi="Times New Roman"/>
                <w:sz w:val="24"/>
              </w:rPr>
              <w:t>”</w:t>
            </w:r>
            <w:r>
              <w:rPr>
                <w:sz w:val="24"/>
              </w:rPr>
              <w:t>生态</w:t>
            </w:r>
          </w:p>
        </w:tc>
      </w:tr>
      <w:tr>
        <w:tblPrEx>
          <w:tblW w:w="0" w:type="auto"/>
          <w:tblInd w:w="1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/>
        </w:trPr>
        <w:tc>
          <w:tcPr>
            <w:tcW w:w="1541" w:type="dxa"/>
            <w:tcBorders>
              <w:top w:val="nil"/>
              <w:left w:val="single" w:sz="8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709" w:type="dxa"/>
            <w:gridSpan w:val="5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73"/>
              <w:ind w:left="53"/>
              <w:rPr>
                <w:sz w:val="24"/>
              </w:rPr>
            </w:pPr>
            <w:r>
              <w:rPr>
                <w:sz w:val="24"/>
              </w:rPr>
              <w:t>环境保护规划》（鲁政发〔</w:t>
            </w:r>
            <w:r>
              <w:rPr>
                <w:rFonts w:ascii="Times New Roman" w:eastAsia="Times New Roman"/>
                <w:sz w:val="24"/>
              </w:rPr>
              <w:t>2021</w:t>
            </w:r>
            <w:r>
              <w:rPr>
                <w:sz w:val="24"/>
              </w:rPr>
              <w:t>〕</w:t>
            </w:r>
            <w:r>
              <w:rPr>
                <w:rFonts w:ascii="Times New Roman" w:eastAsia="Times New Roman"/>
                <w:sz w:val="24"/>
              </w:rPr>
              <w:t xml:space="preserve">12 </w:t>
            </w:r>
            <w:r>
              <w:rPr>
                <w:sz w:val="24"/>
              </w:rPr>
              <w:t>号）符合性分析。</w:t>
            </w:r>
          </w:p>
        </w:tc>
      </w:tr>
      <w:tr>
        <w:tblPrEx>
          <w:tblW w:w="0" w:type="auto"/>
          <w:tblInd w:w="1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"/>
        </w:trPr>
        <w:tc>
          <w:tcPr>
            <w:tcW w:w="1541" w:type="dxa"/>
            <w:tcBorders>
              <w:top w:val="nil"/>
              <w:left w:val="single" w:sz="8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709" w:type="dxa"/>
            <w:gridSpan w:val="5"/>
            <w:tcBorders>
              <w:top w:val="nil"/>
              <w:right w:val="single" w:sz="8" w:space="0" w:color="000000"/>
            </w:tcBorders>
          </w:tcPr>
          <w:p>
            <w:pPr>
              <w:pStyle w:val="TableParagraph"/>
              <w:spacing w:before="75" w:line="252" w:lineRule="exact"/>
              <w:ind w:left="953" w:right="93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表 </w:t>
            </w:r>
            <w:r>
              <w:rPr>
                <w:rFonts w:ascii="Times New Roman" w:eastAsia="Times New Roman"/>
                <w:b/>
                <w:sz w:val="21"/>
              </w:rPr>
              <w:t xml:space="preserve">1-1 </w:t>
            </w:r>
            <w:r>
              <w:rPr>
                <w:b/>
                <w:sz w:val="21"/>
              </w:rPr>
              <w:t>符合性分析</w:t>
            </w:r>
          </w:p>
        </w:tc>
      </w:tr>
      <w:tr>
        <w:tblPrEx>
          <w:tblW w:w="0" w:type="auto"/>
          <w:tblInd w:w="1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"/>
        </w:trPr>
        <w:tc>
          <w:tcPr>
            <w:tcW w:w="1541" w:type="dxa"/>
            <w:tcBorders>
              <w:top w:val="nil"/>
              <w:left w:val="single" w:sz="8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" w:type="dxa"/>
            <w:vMerge w:val="restart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55" w:type="dxa"/>
          </w:tcPr>
          <w:p>
            <w:pPr>
              <w:pStyle w:val="TableParagraph"/>
              <w:spacing w:before="63"/>
              <w:ind w:left="103" w:right="79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序号</w:t>
            </w:r>
          </w:p>
        </w:tc>
        <w:tc>
          <w:tcPr>
            <w:tcW w:w="5302" w:type="dxa"/>
          </w:tcPr>
          <w:p>
            <w:pPr>
              <w:pStyle w:val="TableParagraph"/>
              <w:spacing w:before="63"/>
              <w:ind w:left="114" w:right="8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相关要求</w:t>
            </w:r>
          </w:p>
        </w:tc>
        <w:tc>
          <w:tcPr>
            <w:tcW w:w="1489" w:type="dxa"/>
          </w:tcPr>
          <w:p>
            <w:pPr>
              <w:pStyle w:val="TableParagraph"/>
              <w:spacing w:before="63"/>
              <w:ind w:left="118" w:right="8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符合性分析</w:t>
            </w:r>
          </w:p>
        </w:tc>
        <w:tc>
          <w:tcPr>
            <w:tcW w:w="134" w:type="dxa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blPrEx>
          <w:tblW w:w="0" w:type="auto"/>
          <w:tblInd w:w="1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/>
        </w:trPr>
        <w:tc>
          <w:tcPr>
            <w:tcW w:w="1541" w:type="dxa"/>
            <w:tcBorders>
              <w:top w:val="nil"/>
              <w:left w:val="single" w:sz="8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46" w:type="dxa"/>
            <w:gridSpan w:val="3"/>
          </w:tcPr>
          <w:p>
            <w:pPr>
              <w:pStyle w:val="TableParagraph"/>
              <w:spacing w:before="57"/>
              <w:ind w:left="831" w:right="80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《山东省深入打好蓝天保卫战行动计划（</w:t>
            </w:r>
            <w:r>
              <w:rPr>
                <w:rFonts w:ascii="Times New Roman" w:eastAsia="Times New Roman"/>
                <w:b/>
                <w:sz w:val="21"/>
              </w:rPr>
              <w:t>2021-2025</w:t>
            </w:r>
            <w:r>
              <w:rPr>
                <w:b/>
                <w:sz w:val="21"/>
              </w:rPr>
              <w:t>年）》</w:t>
            </w:r>
          </w:p>
        </w:tc>
        <w:tc>
          <w:tcPr>
            <w:tcW w:w="134" w:type="dxa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blPrEx>
          <w:tblW w:w="0" w:type="auto"/>
          <w:tblInd w:w="1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7"/>
        </w:trPr>
        <w:tc>
          <w:tcPr>
            <w:tcW w:w="1541" w:type="dxa"/>
            <w:tcBorders>
              <w:top w:val="nil"/>
              <w:left w:val="single" w:sz="8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5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02" w:type="dxa"/>
            <w:tcBorders>
              <w:bottom w:val="nil"/>
            </w:tcBorders>
          </w:tcPr>
          <w:p>
            <w:pPr>
              <w:pStyle w:val="TableParagraph"/>
              <w:spacing w:line="237" w:lineRule="exact"/>
              <w:ind w:left="111" w:right="97"/>
              <w:jc w:val="center"/>
              <w:rPr>
                <w:sz w:val="21"/>
              </w:rPr>
            </w:pPr>
            <w:r>
              <w:rPr>
                <w:sz w:val="21"/>
              </w:rPr>
              <w:t>一、淘汰低效落后产能</w:t>
            </w:r>
          </w:p>
        </w:tc>
        <w:tc>
          <w:tcPr>
            <w:tcW w:w="1489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4" w:type="dxa"/>
            <w:vMerge w:val="restart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blPrEx>
          <w:tblW w:w="0" w:type="auto"/>
          <w:tblInd w:w="1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46"/>
        </w:trPr>
        <w:tc>
          <w:tcPr>
            <w:tcW w:w="1541" w:type="dxa"/>
            <w:tcBorders>
              <w:top w:val="nil"/>
              <w:left w:val="single" w:sz="8" w:space="0" w:color="000000"/>
              <w:bottom w:val="nil"/>
            </w:tcBorders>
          </w:tcPr>
          <w:p>
            <w:pPr>
              <w:pStyle w:val="TableParagraph"/>
              <w:spacing w:before="12"/>
              <w:rPr>
                <w:rFonts w:ascii="黑体"/>
                <w:sz w:val="26"/>
              </w:rPr>
            </w:pPr>
          </w:p>
          <w:p>
            <w:pPr>
              <w:pStyle w:val="TableParagraph"/>
              <w:spacing w:line="242" w:lineRule="auto"/>
              <w:ind w:left="653" w:right="30" w:hanging="600"/>
              <w:rPr>
                <w:sz w:val="24"/>
              </w:rPr>
            </w:pPr>
            <w:r>
              <w:rPr>
                <w:sz w:val="24"/>
              </w:rPr>
              <w:t>其他符合性分析</w:t>
            </w:r>
          </w:p>
        </w:tc>
        <w:tc>
          <w:tcPr>
            <w:tcW w:w="129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5" w:type="dxa"/>
            <w:tcBorders>
              <w:top w:val="nil"/>
            </w:tcBorders>
          </w:tcPr>
          <w:p>
            <w:pPr>
              <w:pStyle w:val="TableParagraph"/>
              <w:spacing w:before="3"/>
              <w:rPr>
                <w:rFonts w:ascii="黑体"/>
                <w:sz w:val="32"/>
              </w:rPr>
            </w:pPr>
          </w:p>
          <w:p>
            <w:pPr>
              <w:pStyle w:val="TableParagraph"/>
              <w:spacing w:before="1"/>
              <w:ind w:left="18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9"/>
                <w:sz w:val="21"/>
              </w:rPr>
              <w:t>1</w:t>
            </w:r>
          </w:p>
        </w:tc>
        <w:tc>
          <w:tcPr>
            <w:tcW w:w="5302" w:type="dxa"/>
            <w:tcBorders>
              <w:top w:val="nil"/>
            </w:tcBorders>
          </w:tcPr>
          <w:p>
            <w:pPr>
              <w:pStyle w:val="TableParagraph"/>
              <w:spacing w:line="242" w:lineRule="auto"/>
              <w:ind w:left="135" w:right="116"/>
              <w:jc w:val="both"/>
              <w:rPr>
                <w:sz w:val="21"/>
              </w:rPr>
            </w:pPr>
            <w:r>
              <w:rPr>
                <w:w w:val="95"/>
                <w:sz w:val="21"/>
              </w:rPr>
              <w:t xml:space="preserve">聚焦钢铁、地炼、焦化、煤电、水泥、轮胎、煤炭、化 </w:t>
            </w:r>
            <w:r>
              <w:rPr>
                <w:sz w:val="21"/>
              </w:rPr>
              <w:t>工</w:t>
            </w:r>
            <w:r>
              <w:rPr>
                <w:rFonts w:ascii="Times New Roman" w:eastAsia="Times New Roman" w:hAnsi="Times New Roman"/>
                <w:sz w:val="21"/>
              </w:rPr>
              <w:t>8</w:t>
            </w:r>
            <w:r>
              <w:rPr>
                <w:sz w:val="21"/>
              </w:rPr>
              <w:t>个重点行业，加快淘汰低效落后产能。严格执行质</w:t>
            </w:r>
            <w:r>
              <w:rPr>
                <w:w w:val="95"/>
                <w:sz w:val="21"/>
              </w:rPr>
              <w:t xml:space="preserve">量、环保、能蚝、安全等法规标准，按照《产业结构调 </w:t>
            </w:r>
            <w:r>
              <w:rPr>
                <w:sz w:val="21"/>
              </w:rPr>
              <w:t>整指导目录》，对</w:t>
            </w:r>
            <w:r>
              <w:rPr>
                <w:rFonts w:ascii="Times New Roman" w:eastAsia="Times New Roman" w:hAnsi="Times New Roman"/>
                <w:sz w:val="21"/>
              </w:rPr>
              <w:t>“</w:t>
            </w:r>
            <w:r>
              <w:rPr>
                <w:sz w:val="21"/>
              </w:rPr>
              <w:t>淘汰类</w:t>
            </w:r>
            <w:r>
              <w:rPr>
                <w:rFonts w:ascii="Times New Roman" w:eastAsia="Times New Roman" w:hAnsi="Times New Roman"/>
                <w:sz w:val="21"/>
              </w:rPr>
              <w:t>”</w:t>
            </w:r>
            <w:r>
              <w:rPr>
                <w:sz w:val="21"/>
              </w:rPr>
              <w:t>落后生产工艺装备和落后产</w:t>
            </w:r>
          </w:p>
          <w:p>
            <w:pPr>
              <w:pStyle w:val="TableParagraph"/>
              <w:spacing w:line="248" w:lineRule="exact"/>
              <w:ind w:left="114" w:right="97"/>
              <w:jc w:val="center"/>
              <w:rPr>
                <w:sz w:val="21"/>
              </w:rPr>
            </w:pPr>
            <w:r>
              <w:rPr>
                <w:sz w:val="21"/>
              </w:rPr>
              <w:t>品全部淘汰出清。</w:t>
            </w:r>
          </w:p>
        </w:tc>
        <w:tc>
          <w:tcPr>
            <w:tcW w:w="1489" w:type="dxa"/>
            <w:tcBorders>
              <w:top w:val="nil"/>
            </w:tcBorders>
          </w:tcPr>
          <w:p>
            <w:pPr>
              <w:pStyle w:val="TableParagraph"/>
              <w:spacing w:before="126" w:line="242" w:lineRule="auto"/>
              <w:ind w:left="118" w:right="100"/>
              <w:jc w:val="both"/>
              <w:rPr>
                <w:sz w:val="21"/>
              </w:rPr>
            </w:pPr>
            <w:r>
              <w:rPr>
                <w:sz w:val="21"/>
              </w:rPr>
              <w:t>拟建项目不属于低效落后产能，符合。</w:t>
            </w:r>
          </w:p>
        </w:tc>
        <w:tc>
          <w:tcPr>
            <w:tcW w:w="134" w:type="dxa"/>
            <w:vMerge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1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/>
        </w:trPr>
        <w:tc>
          <w:tcPr>
            <w:tcW w:w="1541" w:type="dxa"/>
            <w:tcBorders>
              <w:top w:val="nil"/>
              <w:left w:val="single" w:sz="8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46" w:type="dxa"/>
            <w:gridSpan w:val="3"/>
          </w:tcPr>
          <w:p>
            <w:pPr>
              <w:pStyle w:val="TableParagraph"/>
              <w:spacing w:before="58"/>
              <w:ind w:left="831" w:right="806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《山东省</w:t>
            </w:r>
            <w:r>
              <w:rPr>
                <w:rFonts w:ascii="Times New Roman" w:eastAsia="Times New Roman" w:hAnsi="Times New Roman"/>
                <w:b/>
                <w:sz w:val="21"/>
              </w:rPr>
              <w:t>“</w:t>
            </w:r>
            <w:r>
              <w:rPr>
                <w:b/>
                <w:sz w:val="21"/>
              </w:rPr>
              <w:t>十四五</w:t>
            </w:r>
            <w:r>
              <w:rPr>
                <w:rFonts w:ascii="Times New Roman" w:eastAsia="Times New Roman" w:hAnsi="Times New Roman"/>
                <w:b/>
                <w:sz w:val="21"/>
              </w:rPr>
              <w:t>”</w:t>
            </w:r>
            <w:r>
              <w:rPr>
                <w:b/>
                <w:sz w:val="21"/>
              </w:rPr>
              <w:t>生态环境保护规划》</w:t>
            </w:r>
          </w:p>
        </w:tc>
        <w:tc>
          <w:tcPr>
            <w:tcW w:w="134" w:type="dxa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blPrEx>
          <w:tblW w:w="0" w:type="auto"/>
          <w:tblInd w:w="1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46"/>
        </w:trPr>
        <w:tc>
          <w:tcPr>
            <w:tcW w:w="1541" w:type="dxa"/>
            <w:tcBorders>
              <w:top w:val="nil"/>
              <w:left w:val="single" w:sz="8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5" w:type="dxa"/>
            <w:tcBorders>
              <w:bottom w:val="nil"/>
            </w:tcBorders>
          </w:tcPr>
          <w:p>
            <w:pPr>
              <w:pStyle w:val="TableParagraph"/>
              <w:rPr>
                <w:rFonts w:ascii="黑体"/>
                <w:sz w:val="22"/>
              </w:rPr>
            </w:pPr>
          </w:p>
          <w:p>
            <w:pPr>
              <w:pStyle w:val="TableParagraph"/>
              <w:rPr>
                <w:rFonts w:ascii="黑体"/>
                <w:sz w:val="22"/>
              </w:rPr>
            </w:pPr>
          </w:p>
          <w:p>
            <w:pPr>
              <w:pStyle w:val="TableParagraph"/>
              <w:spacing w:before="2"/>
              <w:rPr>
                <w:rFonts w:ascii="黑体"/>
                <w:sz w:val="31"/>
              </w:rPr>
            </w:pPr>
          </w:p>
          <w:p>
            <w:pPr>
              <w:pStyle w:val="TableParagraph"/>
              <w:ind w:left="18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9"/>
                <w:sz w:val="21"/>
              </w:rPr>
              <w:t>2</w:t>
            </w:r>
          </w:p>
        </w:tc>
        <w:tc>
          <w:tcPr>
            <w:tcW w:w="5302" w:type="dxa"/>
            <w:tcBorders>
              <w:bottom w:val="nil"/>
            </w:tcBorders>
          </w:tcPr>
          <w:p>
            <w:pPr>
              <w:pStyle w:val="TableParagraph"/>
              <w:spacing w:line="242" w:lineRule="auto"/>
              <w:ind w:left="135" w:right="116" w:firstLine="2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坚决淘汰落后动能。严格落实《产业结构调整指导目 </w:t>
            </w:r>
            <w:r>
              <w:rPr>
                <w:w w:val="95"/>
                <w:sz w:val="21"/>
              </w:rPr>
              <w:t>录》，加快推动</w:t>
            </w:r>
            <w:r>
              <w:rPr>
                <w:rFonts w:ascii="Times New Roman" w:eastAsia="Times New Roman" w:hAnsi="Times New Roman"/>
                <w:w w:val="95"/>
                <w:sz w:val="21"/>
              </w:rPr>
              <w:t>“</w:t>
            </w:r>
            <w:r>
              <w:rPr>
                <w:w w:val="95"/>
                <w:sz w:val="21"/>
              </w:rPr>
              <w:t>淘汰类</w:t>
            </w:r>
            <w:r>
              <w:rPr>
                <w:rFonts w:ascii="Times New Roman" w:eastAsia="Times New Roman" w:hAnsi="Times New Roman"/>
                <w:w w:val="95"/>
                <w:sz w:val="21"/>
              </w:rPr>
              <w:t>”</w:t>
            </w:r>
            <w:r>
              <w:rPr>
                <w:w w:val="95"/>
                <w:sz w:val="21"/>
              </w:rPr>
              <w:t xml:space="preserve">生产工艺和产品退出。精准聚 焦钢铁、地炼、焦化、煤电、水泥、轮胎、煤炭、化工 </w:t>
            </w:r>
            <w:r>
              <w:rPr>
                <w:sz w:val="21"/>
              </w:rPr>
              <w:t>等</w:t>
            </w:r>
            <w:r>
              <w:rPr>
                <w:rFonts w:ascii="Times New Roman" w:eastAsia="Times New Roman" w:hAnsi="Times New Roman"/>
                <w:sz w:val="21"/>
              </w:rPr>
              <w:t>8</w:t>
            </w:r>
            <w:r>
              <w:rPr>
                <w:sz w:val="21"/>
              </w:rPr>
              <w:t>个重点行业，加快淘汰低效落后动能。进一步健全</w:t>
            </w:r>
          </w:p>
          <w:p>
            <w:pPr>
              <w:pStyle w:val="TableParagraph"/>
              <w:spacing w:line="240" w:lineRule="exact"/>
              <w:ind w:left="114" w:right="97"/>
              <w:jc w:val="center"/>
              <w:rPr>
                <w:sz w:val="21"/>
              </w:rPr>
            </w:pPr>
            <w:r>
              <w:rPr>
                <w:sz w:val="21"/>
              </w:rPr>
              <w:t>并严格落实环保、安全、技术、能蚝、效益标准，各市</w:t>
            </w:r>
          </w:p>
        </w:tc>
        <w:tc>
          <w:tcPr>
            <w:tcW w:w="1489" w:type="dxa"/>
            <w:vMerge w:val="restart"/>
          </w:tcPr>
          <w:p>
            <w:pPr>
              <w:pStyle w:val="TableParagraph"/>
              <w:rPr>
                <w:rFonts w:ascii="黑体"/>
                <w:sz w:val="20"/>
              </w:rPr>
            </w:pPr>
          </w:p>
          <w:p>
            <w:pPr>
              <w:pStyle w:val="TableParagraph"/>
              <w:spacing w:before="148" w:line="242" w:lineRule="auto"/>
              <w:ind w:left="118" w:right="100"/>
              <w:jc w:val="center"/>
              <w:rPr>
                <w:sz w:val="21"/>
              </w:rPr>
            </w:pPr>
            <w:r>
              <w:rPr>
                <w:spacing w:val="-3"/>
                <w:sz w:val="21"/>
              </w:rPr>
              <w:t xml:space="preserve">拟建项目不属于落后动能， </w:t>
            </w:r>
            <w:r>
              <w:rPr>
                <w:sz w:val="21"/>
              </w:rPr>
              <w:t>无</w:t>
            </w:r>
            <w:r>
              <w:rPr>
                <w:rFonts w:ascii="Times New Roman" w:eastAsia="Times New Roman" w:hAnsi="Times New Roman"/>
                <w:sz w:val="21"/>
              </w:rPr>
              <w:t>“</w:t>
            </w:r>
            <w:r>
              <w:rPr>
                <w:sz w:val="21"/>
              </w:rPr>
              <w:t>淘汰类</w:t>
            </w:r>
            <w:r>
              <w:rPr>
                <w:rFonts w:ascii="Times New Roman" w:eastAsia="Times New Roman" w:hAnsi="Times New Roman"/>
                <w:sz w:val="21"/>
              </w:rPr>
              <w:t>”</w:t>
            </w:r>
            <w:r>
              <w:rPr>
                <w:sz w:val="21"/>
              </w:rPr>
              <w:t>生产工艺和产 品，符合</w:t>
            </w:r>
          </w:p>
        </w:tc>
        <w:tc>
          <w:tcPr>
            <w:tcW w:w="134" w:type="dxa"/>
            <w:vMerge w:val="restart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blPrEx>
          <w:tblW w:w="0" w:type="auto"/>
          <w:tblInd w:w="1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/>
        </w:trPr>
        <w:tc>
          <w:tcPr>
            <w:tcW w:w="1541" w:type="dxa"/>
            <w:tcBorders>
              <w:top w:val="nil"/>
              <w:left w:val="single" w:sz="8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0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2" w:lineRule="exact"/>
              <w:ind w:left="114" w:right="97"/>
              <w:jc w:val="center"/>
              <w:rPr>
                <w:sz w:val="21"/>
              </w:rPr>
            </w:pPr>
            <w:r>
              <w:rPr>
                <w:sz w:val="21"/>
              </w:rPr>
              <w:t>制定具体措施，重点围绕再生橡胶、废旧塑料再生、砖</w:t>
            </w:r>
          </w:p>
        </w:tc>
        <w:tc>
          <w:tcPr>
            <w:tcW w:w="14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" w:type="dxa"/>
            <w:vMerge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1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/>
        </w:trPr>
        <w:tc>
          <w:tcPr>
            <w:tcW w:w="1541" w:type="dxa"/>
            <w:tcBorders>
              <w:top w:val="nil"/>
              <w:left w:val="single" w:sz="8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0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2" w:lineRule="exact"/>
              <w:ind w:left="114" w:right="97"/>
              <w:jc w:val="center"/>
              <w:rPr>
                <w:sz w:val="21"/>
              </w:rPr>
            </w:pPr>
            <w:r>
              <w:rPr>
                <w:sz w:val="21"/>
              </w:rPr>
              <w:t>瓦、石灰、石膏等行业，分类组织实施转移、压减、整</w:t>
            </w:r>
          </w:p>
        </w:tc>
        <w:tc>
          <w:tcPr>
            <w:tcW w:w="14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" w:type="dxa"/>
            <w:vMerge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1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7"/>
        </w:trPr>
        <w:tc>
          <w:tcPr>
            <w:tcW w:w="1541" w:type="dxa"/>
            <w:tcBorders>
              <w:top w:val="nil"/>
              <w:left w:val="single" w:sz="8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5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02" w:type="dxa"/>
            <w:tcBorders>
              <w:top w:val="nil"/>
            </w:tcBorders>
          </w:tcPr>
          <w:p>
            <w:pPr>
              <w:pStyle w:val="TableParagraph"/>
              <w:spacing w:line="238" w:lineRule="exact"/>
              <w:ind w:left="111" w:right="97"/>
              <w:jc w:val="center"/>
              <w:rPr>
                <w:sz w:val="21"/>
              </w:rPr>
            </w:pPr>
            <w:r>
              <w:rPr>
                <w:sz w:val="21"/>
              </w:rPr>
              <w:t>合、关停任务，推动低效落后产能退出。</w:t>
            </w:r>
          </w:p>
        </w:tc>
        <w:tc>
          <w:tcPr>
            <w:tcW w:w="14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" w:type="dxa"/>
            <w:vMerge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1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</w:trPr>
        <w:tc>
          <w:tcPr>
            <w:tcW w:w="1541" w:type="dxa"/>
            <w:tcBorders>
              <w:top w:val="nil"/>
              <w:left w:val="single" w:sz="8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5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02" w:type="dxa"/>
            <w:tcBorders>
              <w:bottom w:val="nil"/>
            </w:tcBorders>
          </w:tcPr>
          <w:p>
            <w:pPr>
              <w:pStyle w:val="TableParagraph"/>
              <w:spacing w:line="236" w:lineRule="exact"/>
              <w:ind w:left="114" w:right="97"/>
              <w:jc w:val="center"/>
              <w:rPr>
                <w:sz w:val="21"/>
              </w:rPr>
            </w:pPr>
            <w:r>
              <w:rPr>
                <w:sz w:val="21"/>
              </w:rPr>
              <w:t>狠抓工业污染防治。实施差别化流域环境准入政策，强</w:t>
            </w:r>
          </w:p>
        </w:tc>
        <w:tc>
          <w:tcPr>
            <w:tcW w:w="1489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4" w:type="dxa"/>
            <w:vMerge w:val="restart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blPrEx>
          <w:tblW w:w="0" w:type="auto"/>
          <w:tblInd w:w="1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/>
        </w:trPr>
        <w:tc>
          <w:tcPr>
            <w:tcW w:w="1541" w:type="dxa"/>
            <w:tcBorders>
              <w:top w:val="nil"/>
              <w:left w:val="single" w:sz="8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0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2" w:lineRule="exact"/>
              <w:ind w:left="114" w:right="97"/>
              <w:jc w:val="center"/>
              <w:rPr>
                <w:sz w:val="21"/>
              </w:rPr>
            </w:pPr>
            <w:r>
              <w:rPr>
                <w:sz w:val="21"/>
              </w:rPr>
              <w:t>化准入管理和底线约束。严格控制缺水地区、水污染严</w:t>
            </w:r>
          </w:p>
        </w:tc>
        <w:tc>
          <w:tcPr>
            <w:tcW w:w="148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4" w:type="dxa"/>
            <w:vMerge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1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3"/>
        </w:trPr>
        <w:tc>
          <w:tcPr>
            <w:tcW w:w="1541" w:type="dxa"/>
            <w:tcBorders>
              <w:top w:val="nil"/>
              <w:left w:val="single" w:sz="8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0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0" w:lineRule="exact"/>
              <w:ind w:left="188" w:hanging="53"/>
              <w:rPr>
                <w:sz w:val="21"/>
              </w:rPr>
            </w:pPr>
            <w:r>
              <w:rPr>
                <w:w w:val="95"/>
                <w:sz w:val="21"/>
              </w:rPr>
              <w:t>重地区和敏感区域高耗水、高污染行业发展。加快推进</w:t>
            </w:r>
          </w:p>
          <w:p>
            <w:pPr>
              <w:pStyle w:val="TableParagraph"/>
              <w:spacing w:before="3" w:line="270" w:lineRule="atLeast"/>
              <w:ind w:left="135" w:right="116" w:firstLine="52"/>
              <w:rPr>
                <w:sz w:val="21"/>
              </w:rPr>
            </w:pPr>
            <w:r>
              <w:rPr>
                <w:sz w:val="21"/>
              </w:rPr>
              <w:t>黄河干流及主要支流岸线</w:t>
            </w:r>
            <w:r>
              <w:rPr>
                <w:rFonts w:ascii="Times New Roman" w:eastAsia="Times New Roman"/>
                <w:sz w:val="21"/>
              </w:rPr>
              <w:t>1</w:t>
            </w:r>
            <w:r>
              <w:rPr>
                <w:sz w:val="21"/>
              </w:rPr>
              <w:t>公里范围内的高耗水、高污</w:t>
            </w:r>
            <w:r>
              <w:rPr>
                <w:w w:val="95"/>
                <w:sz w:val="21"/>
              </w:rPr>
              <w:t>染企业搬迁入园。继续推进城市建成区内现有焦化、造</w:t>
            </w:r>
          </w:p>
        </w:tc>
        <w:tc>
          <w:tcPr>
            <w:tcW w:w="148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2" w:lineRule="auto"/>
              <w:ind w:left="118" w:right="100"/>
              <w:rPr>
                <w:sz w:val="21"/>
              </w:rPr>
            </w:pPr>
            <w:r>
              <w:rPr>
                <w:spacing w:val="-3"/>
                <w:sz w:val="21"/>
              </w:rPr>
              <w:t>拟建项目不属</w:t>
            </w:r>
            <w:r>
              <w:rPr>
                <w:spacing w:val="-3"/>
                <w:w w:val="95"/>
                <w:sz w:val="21"/>
              </w:rPr>
              <w:t>于高耗水、高</w:t>
            </w:r>
          </w:p>
          <w:p>
            <w:pPr>
              <w:pStyle w:val="TableParagraph"/>
              <w:spacing w:line="238" w:lineRule="exact"/>
              <w:ind w:left="118"/>
              <w:rPr>
                <w:sz w:val="21"/>
              </w:rPr>
            </w:pPr>
            <w:r>
              <w:rPr>
                <w:w w:val="95"/>
                <w:sz w:val="21"/>
              </w:rPr>
              <w:t>污染项目，无</w:t>
            </w:r>
          </w:p>
        </w:tc>
        <w:tc>
          <w:tcPr>
            <w:tcW w:w="134" w:type="dxa"/>
            <w:vMerge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1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/>
        </w:trPr>
        <w:tc>
          <w:tcPr>
            <w:tcW w:w="1541" w:type="dxa"/>
            <w:tcBorders>
              <w:top w:val="nil"/>
              <w:left w:val="single" w:sz="8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4" w:lineRule="exact"/>
              <w:ind w:left="18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9"/>
                <w:sz w:val="21"/>
              </w:rPr>
              <w:t>3</w:t>
            </w:r>
          </w:p>
        </w:tc>
        <w:tc>
          <w:tcPr>
            <w:tcW w:w="530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5" w:lineRule="exact"/>
              <w:ind w:left="114" w:right="97"/>
              <w:jc w:val="center"/>
              <w:rPr>
                <w:sz w:val="21"/>
              </w:rPr>
            </w:pPr>
            <w:r>
              <w:rPr>
                <w:sz w:val="21"/>
              </w:rPr>
              <w:t>纸、印染、原料药制造、化工等污染较重的企业有序搬</w:t>
            </w:r>
          </w:p>
        </w:tc>
        <w:tc>
          <w:tcPr>
            <w:tcW w:w="148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5" w:lineRule="exact"/>
              <w:ind w:left="96" w:right="81"/>
              <w:jc w:val="center"/>
              <w:rPr>
                <w:sz w:val="21"/>
              </w:rPr>
            </w:pPr>
            <w:r>
              <w:rPr>
                <w:sz w:val="21"/>
              </w:rPr>
              <w:t>全盐量、硫酸</w:t>
            </w:r>
          </w:p>
        </w:tc>
        <w:tc>
          <w:tcPr>
            <w:tcW w:w="134" w:type="dxa"/>
            <w:vMerge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1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3"/>
        </w:trPr>
        <w:tc>
          <w:tcPr>
            <w:tcW w:w="1541" w:type="dxa"/>
            <w:tcBorders>
              <w:top w:val="nil"/>
              <w:left w:val="single" w:sz="8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0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3" w:lineRule="exact"/>
              <w:ind w:left="114" w:right="97"/>
              <w:jc w:val="center"/>
              <w:rPr>
                <w:sz w:val="21"/>
              </w:rPr>
            </w:pPr>
            <w:r>
              <w:rPr>
                <w:sz w:val="21"/>
              </w:rPr>
              <w:t>迁改造或依法关闭。严格执行各流域水污染物综合排放</w:t>
            </w:r>
          </w:p>
        </w:tc>
        <w:tc>
          <w:tcPr>
            <w:tcW w:w="148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3" w:lineRule="exact"/>
              <w:ind w:left="96" w:right="81"/>
              <w:jc w:val="center"/>
              <w:rPr>
                <w:sz w:val="21"/>
              </w:rPr>
            </w:pPr>
            <w:r>
              <w:rPr>
                <w:sz w:val="21"/>
              </w:rPr>
              <w:t>盐、氟化物等</w:t>
            </w:r>
          </w:p>
        </w:tc>
        <w:tc>
          <w:tcPr>
            <w:tcW w:w="134" w:type="dxa"/>
            <w:vMerge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1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/>
        </w:trPr>
        <w:tc>
          <w:tcPr>
            <w:tcW w:w="1541" w:type="dxa"/>
            <w:tcBorders>
              <w:top w:val="nil"/>
              <w:left w:val="single" w:sz="8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0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4" w:lineRule="exact"/>
              <w:ind w:left="114" w:right="97"/>
              <w:jc w:val="center"/>
              <w:rPr>
                <w:sz w:val="21"/>
              </w:rPr>
            </w:pPr>
            <w:r>
              <w:rPr>
                <w:sz w:val="21"/>
              </w:rPr>
              <w:t>标准，加强全盐量、硫酸盐、氟化物等特征污染物治</w:t>
            </w:r>
          </w:p>
        </w:tc>
        <w:tc>
          <w:tcPr>
            <w:tcW w:w="148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4" w:lineRule="exact"/>
              <w:ind w:left="96" w:right="81"/>
              <w:jc w:val="center"/>
              <w:rPr>
                <w:sz w:val="21"/>
              </w:rPr>
            </w:pPr>
            <w:r>
              <w:rPr>
                <w:sz w:val="21"/>
              </w:rPr>
              <w:t>特征污染物，</w:t>
            </w:r>
          </w:p>
        </w:tc>
        <w:tc>
          <w:tcPr>
            <w:tcW w:w="134" w:type="dxa"/>
            <w:vMerge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1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/>
        </w:trPr>
        <w:tc>
          <w:tcPr>
            <w:tcW w:w="1541" w:type="dxa"/>
            <w:tcBorders>
              <w:top w:val="nil"/>
              <w:left w:val="single" w:sz="8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0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2" w:lineRule="exact"/>
              <w:ind w:left="114" w:right="97"/>
              <w:jc w:val="center"/>
              <w:rPr>
                <w:sz w:val="21"/>
              </w:rPr>
            </w:pPr>
            <w:r>
              <w:rPr>
                <w:sz w:val="21"/>
              </w:rPr>
              <w:t>理。加强化工、印染、农副食品加工等行业综合治理，</w:t>
            </w:r>
          </w:p>
        </w:tc>
        <w:tc>
          <w:tcPr>
            <w:tcW w:w="148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2" w:lineRule="exact"/>
              <w:ind w:left="115" w:right="100"/>
              <w:jc w:val="center"/>
              <w:rPr>
                <w:sz w:val="21"/>
              </w:rPr>
            </w:pPr>
            <w:r>
              <w:rPr>
                <w:sz w:val="21"/>
              </w:rPr>
              <w:t>符合。</w:t>
            </w:r>
          </w:p>
        </w:tc>
        <w:tc>
          <w:tcPr>
            <w:tcW w:w="134" w:type="dxa"/>
            <w:vMerge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1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/>
        </w:trPr>
        <w:tc>
          <w:tcPr>
            <w:tcW w:w="1541" w:type="dxa"/>
            <w:tcBorders>
              <w:top w:val="nil"/>
              <w:left w:val="single" w:sz="8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0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2" w:lineRule="exact"/>
              <w:ind w:left="114" w:right="97"/>
              <w:jc w:val="center"/>
              <w:rPr>
                <w:sz w:val="21"/>
              </w:rPr>
            </w:pPr>
            <w:r>
              <w:rPr>
                <w:sz w:val="21"/>
              </w:rPr>
              <w:t>推进玉米淀粉、糖醇生产、肉类及水产品加工、印染等</w:t>
            </w:r>
          </w:p>
        </w:tc>
        <w:tc>
          <w:tcPr>
            <w:tcW w:w="148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4" w:type="dxa"/>
            <w:vMerge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1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"/>
        </w:trPr>
        <w:tc>
          <w:tcPr>
            <w:tcW w:w="1541" w:type="dxa"/>
            <w:tcBorders>
              <w:top w:val="nil"/>
              <w:left w:val="single" w:sz="8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5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02" w:type="dxa"/>
            <w:tcBorders>
              <w:top w:val="nil"/>
            </w:tcBorders>
          </w:tcPr>
          <w:p>
            <w:pPr>
              <w:pStyle w:val="TableParagraph"/>
              <w:spacing w:line="239" w:lineRule="exact"/>
              <w:ind w:left="114" w:right="97"/>
              <w:jc w:val="center"/>
              <w:rPr>
                <w:sz w:val="21"/>
              </w:rPr>
            </w:pPr>
            <w:r>
              <w:rPr>
                <w:sz w:val="21"/>
              </w:rPr>
              <w:t>企业清洁化改造。</w:t>
            </w:r>
          </w:p>
        </w:tc>
        <w:tc>
          <w:tcPr>
            <w:tcW w:w="1489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4" w:type="dxa"/>
            <w:vMerge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1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/>
        </w:trPr>
        <w:tc>
          <w:tcPr>
            <w:tcW w:w="1541" w:type="dxa"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46" w:type="dxa"/>
            <w:gridSpan w:val="3"/>
            <w:tcBorders>
              <w:bottom w:val="thickThinMediumGap" w:sz="4" w:space="0" w:color="000000"/>
            </w:tcBorders>
          </w:tcPr>
          <w:p>
            <w:pPr>
              <w:pStyle w:val="TableParagraph"/>
              <w:spacing w:before="57"/>
              <w:ind w:left="831" w:right="806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《德州市新一轮“四减四增”三年行动方案（</w:t>
            </w:r>
            <w:r>
              <w:rPr>
                <w:rFonts w:ascii="Times New Roman" w:eastAsia="Times New Roman" w:hAnsi="Times New Roman"/>
                <w:b/>
                <w:sz w:val="21"/>
              </w:rPr>
              <w:t>2021-2023</w:t>
            </w:r>
            <w:r>
              <w:rPr>
                <w:b/>
                <w:sz w:val="21"/>
              </w:rPr>
              <w:t>年）》</w:t>
            </w:r>
          </w:p>
        </w:tc>
        <w:tc>
          <w:tcPr>
            <w:tcW w:w="134" w:type="dxa"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spacing w:after="0"/>
        <w:rPr>
          <w:rFonts w:ascii="Times New Roman"/>
          <w:sz w:val="20"/>
        </w:rPr>
        <w:sectPr>
          <w:footerReference w:type="default" r:id="rId6"/>
          <w:pgSz w:w="11910" w:h="16840"/>
          <w:pgMar w:top="1540" w:right="1200" w:bottom="940" w:left="1220" w:header="0" w:footer="743" w:gutter="0"/>
          <w:pgNumType w:start="2"/>
          <w:cols w:num="1"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41"/>
        <w:gridCol w:w="129"/>
        <w:gridCol w:w="655"/>
        <w:gridCol w:w="5302"/>
        <w:gridCol w:w="1489"/>
        <w:gridCol w:w="134"/>
      </w:tblGrid>
      <w:tr>
        <w:tblPrEx>
          <w:tblW w:w="0" w:type="auto"/>
          <w:tblInd w:w="121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/>
        </w:trPr>
        <w:tc>
          <w:tcPr>
            <w:tcW w:w="1541" w:type="dxa"/>
            <w:vMerge w:val="restart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" w:type="dxa"/>
            <w:vMerge w:val="restart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55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02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before="41" w:line="240" w:lineRule="exact"/>
              <w:ind w:left="241"/>
              <w:rPr>
                <w:sz w:val="21"/>
              </w:rPr>
            </w:pPr>
            <w:r>
              <w:rPr>
                <w:sz w:val="21"/>
              </w:rPr>
              <w:t>（三）淘汰低效落后产能。根据省部署要求，依据安</w:t>
            </w:r>
          </w:p>
        </w:tc>
        <w:tc>
          <w:tcPr>
            <w:tcW w:w="1489" w:type="dxa"/>
            <w:vMerge w:val="restart"/>
            <w:tcBorders>
              <w:top w:val="single" w:sz="8" w:space="0" w:color="000000"/>
            </w:tcBorders>
          </w:tcPr>
          <w:p>
            <w:pPr>
              <w:pStyle w:val="TableParagraph"/>
              <w:rPr>
                <w:rFonts w:ascii="黑体"/>
                <w:sz w:val="20"/>
              </w:rPr>
            </w:pPr>
          </w:p>
          <w:p>
            <w:pPr>
              <w:pStyle w:val="TableParagraph"/>
              <w:rPr>
                <w:rFonts w:ascii="黑体"/>
                <w:sz w:val="20"/>
              </w:rPr>
            </w:pPr>
          </w:p>
          <w:p>
            <w:pPr>
              <w:pStyle w:val="TableParagraph"/>
              <w:spacing w:before="2"/>
              <w:rPr>
                <w:rFonts w:ascii="黑体"/>
                <w:sz w:val="16"/>
              </w:rPr>
            </w:pPr>
          </w:p>
          <w:p>
            <w:pPr>
              <w:pStyle w:val="TableParagraph"/>
              <w:spacing w:before="1" w:line="242" w:lineRule="auto"/>
              <w:ind w:left="118" w:right="100"/>
              <w:jc w:val="center"/>
              <w:rPr>
                <w:sz w:val="21"/>
              </w:rPr>
            </w:pPr>
            <w:r>
              <w:rPr>
                <w:spacing w:val="-3"/>
                <w:sz w:val="21"/>
              </w:rPr>
              <w:t>拟建项目属于</w:t>
            </w:r>
            <w:r>
              <w:rPr>
                <w:sz w:val="21"/>
              </w:rPr>
              <w:t xml:space="preserve">食品制造行 </w:t>
            </w:r>
            <w:r>
              <w:rPr>
                <w:spacing w:val="-3"/>
                <w:sz w:val="21"/>
              </w:rPr>
              <w:t>业，无低效落</w:t>
            </w:r>
            <w:r>
              <w:rPr>
                <w:sz w:val="21"/>
              </w:rPr>
              <w:t>后产能。</w:t>
            </w:r>
          </w:p>
        </w:tc>
        <w:tc>
          <w:tcPr>
            <w:tcW w:w="134" w:type="dxa"/>
            <w:vMerge w:val="restart"/>
            <w:tcBorders>
              <w:bottom w:val="nil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blPrEx>
          <w:tblW w:w="0" w:type="auto"/>
          <w:tblInd w:w="1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/>
        </w:trPr>
        <w:tc>
          <w:tcPr>
            <w:tcW w:w="1541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9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0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1" w:lineRule="exact"/>
              <w:ind w:right="116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全、环保、技术、能蚝、效益标准，以钢铁、地炼、煤</w:t>
            </w:r>
          </w:p>
        </w:tc>
        <w:tc>
          <w:tcPr>
            <w:tcW w:w="14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" w:type="dxa"/>
            <w:vMerge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1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/>
        </w:trPr>
        <w:tc>
          <w:tcPr>
            <w:tcW w:w="1541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9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0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2" w:lineRule="exact"/>
              <w:ind w:right="116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电、水泥、轮胎、煤炭、化工等行业为重点，分类组织</w:t>
            </w:r>
          </w:p>
        </w:tc>
        <w:tc>
          <w:tcPr>
            <w:tcW w:w="14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" w:type="dxa"/>
            <w:vMerge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1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/>
        </w:trPr>
        <w:tc>
          <w:tcPr>
            <w:tcW w:w="1541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9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0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9" w:lineRule="exact"/>
              <w:ind w:right="116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实施转移、压减、整合、关停任务，加快淘汰低效落后</w:t>
            </w:r>
          </w:p>
        </w:tc>
        <w:tc>
          <w:tcPr>
            <w:tcW w:w="14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" w:type="dxa"/>
            <w:vMerge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1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1"/>
        </w:trPr>
        <w:tc>
          <w:tcPr>
            <w:tcW w:w="1541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9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0" w:line="231" w:lineRule="exact"/>
              <w:ind w:left="279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9"/>
                <w:sz w:val="21"/>
              </w:rPr>
              <w:t>4</w:t>
            </w:r>
          </w:p>
        </w:tc>
        <w:tc>
          <w:tcPr>
            <w:tcW w:w="530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2" w:lineRule="exact"/>
              <w:ind w:left="205"/>
              <w:rPr>
                <w:sz w:val="21"/>
              </w:rPr>
            </w:pPr>
            <w:r>
              <w:rPr>
                <w:sz w:val="21"/>
              </w:rPr>
              <w:t>产能。实施</w:t>
            </w:r>
            <w:r>
              <w:rPr>
                <w:rFonts w:ascii="Times New Roman" w:eastAsia="Times New Roman" w:hAnsi="Times New Roman"/>
                <w:sz w:val="21"/>
              </w:rPr>
              <w:t>“</w:t>
            </w:r>
            <w:r>
              <w:rPr>
                <w:sz w:val="21"/>
              </w:rPr>
              <w:t>散乱污</w:t>
            </w:r>
            <w:r>
              <w:rPr>
                <w:rFonts w:ascii="Times New Roman" w:eastAsia="Times New Roman" w:hAnsi="Times New Roman"/>
                <w:sz w:val="21"/>
              </w:rPr>
              <w:t>”</w:t>
            </w:r>
            <w:r>
              <w:rPr>
                <w:sz w:val="21"/>
              </w:rPr>
              <w:t>企业动态清零，按照</w:t>
            </w:r>
            <w:r>
              <w:rPr>
                <w:rFonts w:ascii="Times New Roman" w:eastAsia="Times New Roman" w:hAnsi="Times New Roman"/>
                <w:sz w:val="21"/>
              </w:rPr>
              <w:t>“</w:t>
            </w:r>
            <w:r>
              <w:rPr>
                <w:sz w:val="21"/>
              </w:rPr>
              <w:t>发现一起、</w:t>
            </w:r>
          </w:p>
        </w:tc>
        <w:tc>
          <w:tcPr>
            <w:tcW w:w="14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" w:type="dxa"/>
            <w:vMerge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1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/>
        </w:trPr>
        <w:tc>
          <w:tcPr>
            <w:tcW w:w="1541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9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0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5" w:lineRule="exact"/>
              <w:ind w:right="174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处置一起</w:t>
            </w:r>
            <w:r>
              <w:rPr>
                <w:rFonts w:ascii="Times New Roman" w:eastAsia="Times New Roman" w:hAnsi="Times New Roman"/>
                <w:w w:val="95"/>
                <w:sz w:val="21"/>
              </w:rPr>
              <w:t>”</w:t>
            </w:r>
            <w:r>
              <w:rPr>
                <w:w w:val="95"/>
                <w:sz w:val="21"/>
              </w:rPr>
              <w:t>的原则，实施分类整治。要制定实施方案，</w:t>
            </w:r>
          </w:p>
        </w:tc>
        <w:tc>
          <w:tcPr>
            <w:tcW w:w="14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" w:type="dxa"/>
            <w:vMerge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1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/>
        </w:trPr>
        <w:tc>
          <w:tcPr>
            <w:tcW w:w="1541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9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0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4" w:lineRule="exact"/>
              <w:ind w:right="116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重点围绕再生橡胶、废旧塑料再生、砖瓦、石灰、石膏</w:t>
            </w:r>
          </w:p>
        </w:tc>
        <w:tc>
          <w:tcPr>
            <w:tcW w:w="14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" w:type="dxa"/>
            <w:vMerge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1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/>
        </w:trPr>
        <w:tc>
          <w:tcPr>
            <w:tcW w:w="1541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9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0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2" w:lineRule="exact"/>
              <w:ind w:right="116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等行业，对生产工艺装备进行筛查，按照有关法律法规</w:t>
            </w:r>
          </w:p>
        </w:tc>
        <w:tc>
          <w:tcPr>
            <w:tcW w:w="14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" w:type="dxa"/>
            <w:vMerge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1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/>
        </w:trPr>
        <w:tc>
          <w:tcPr>
            <w:tcW w:w="1541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9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5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02" w:type="dxa"/>
            <w:tcBorders>
              <w:top w:val="nil"/>
            </w:tcBorders>
          </w:tcPr>
          <w:p>
            <w:pPr>
              <w:pStyle w:val="TableParagraph"/>
              <w:spacing w:line="260" w:lineRule="exact"/>
              <w:ind w:left="870"/>
              <w:rPr>
                <w:sz w:val="21"/>
              </w:rPr>
            </w:pPr>
            <w:r>
              <w:rPr>
                <w:sz w:val="21"/>
              </w:rPr>
              <w:t>和程序要求，推动低效落后产能退出。</w:t>
            </w:r>
          </w:p>
        </w:tc>
        <w:tc>
          <w:tcPr>
            <w:tcW w:w="14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" w:type="dxa"/>
            <w:vMerge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1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/>
        </w:trPr>
        <w:tc>
          <w:tcPr>
            <w:tcW w:w="1541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9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5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02" w:type="dxa"/>
            <w:tcBorders>
              <w:bottom w:val="nil"/>
            </w:tcBorders>
          </w:tcPr>
          <w:p>
            <w:pPr>
              <w:pStyle w:val="TableParagraph"/>
              <w:spacing w:line="234" w:lineRule="exact"/>
              <w:ind w:right="116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（四）严控重点行业新增产能。重大项目建设，必须首</w:t>
            </w:r>
          </w:p>
        </w:tc>
        <w:tc>
          <w:tcPr>
            <w:tcW w:w="1489" w:type="dxa"/>
            <w:vMerge w:val="restart"/>
          </w:tcPr>
          <w:p>
            <w:pPr>
              <w:pStyle w:val="TableParagraph"/>
              <w:rPr>
                <w:rFonts w:ascii="黑体"/>
                <w:sz w:val="20"/>
              </w:rPr>
            </w:pPr>
          </w:p>
          <w:p>
            <w:pPr>
              <w:pStyle w:val="TableParagraph"/>
              <w:rPr>
                <w:rFonts w:ascii="黑体"/>
                <w:sz w:val="20"/>
              </w:rPr>
            </w:pPr>
          </w:p>
          <w:p>
            <w:pPr>
              <w:pStyle w:val="TableParagraph"/>
              <w:rPr>
                <w:rFonts w:ascii="黑体"/>
                <w:sz w:val="20"/>
              </w:rPr>
            </w:pPr>
          </w:p>
          <w:p>
            <w:pPr>
              <w:pStyle w:val="TableParagraph"/>
              <w:rPr>
                <w:rFonts w:ascii="黑体"/>
                <w:sz w:val="20"/>
              </w:rPr>
            </w:pPr>
          </w:p>
          <w:p>
            <w:pPr>
              <w:pStyle w:val="TableParagraph"/>
              <w:spacing w:before="3"/>
              <w:rPr>
                <w:rFonts w:ascii="黑体"/>
                <w:sz w:val="15"/>
              </w:rPr>
            </w:pPr>
          </w:p>
          <w:p>
            <w:pPr>
              <w:pStyle w:val="TableParagraph"/>
              <w:spacing w:before="1" w:line="242" w:lineRule="auto"/>
              <w:ind w:left="118" w:right="100"/>
              <w:jc w:val="center"/>
              <w:rPr>
                <w:sz w:val="21"/>
              </w:rPr>
            </w:pPr>
            <w:r>
              <w:rPr>
                <w:sz w:val="21"/>
              </w:rPr>
              <w:t>拟建项目不属于重点行业和</w:t>
            </w:r>
            <w:r>
              <w:rPr>
                <w:rFonts w:ascii="Times New Roman" w:eastAsia="Times New Roman" w:hAnsi="Times New Roman"/>
                <w:sz w:val="21"/>
              </w:rPr>
              <w:t>“</w:t>
            </w:r>
            <w:r>
              <w:rPr>
                <w:sz w:val="21"/>
              </w:rPr>
              <w:t>两高</w:t>
            </w:r>
            <w:r>
              <w:rPr>
                <w:rFonts w:ascii="Times New Roman" w:eastAsia="Times New Roman" w:hAnsi="Times New Roman"/>
                <w:sz w:val="21"/>
              </w:rPr>
              <w:t>”</w:t>
            </w:r>
            <w:r>
              <w:rPr>
                <w:sz w:val="21"/>
              </w:rPr>
              <w:t>项目， 符合</w:t>
            </w:r>
          </w:p>
        </w:tc>
        <w:tc>
          <w:tcPr>
            <w:tcW w:w="134" w:type="dxa"/>
            <w:vMerge w:val="restart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blPrEx>
          <w:tblW w:w="0" w:type="auto"/>
          <w:tblInd w:w="1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/>
        </w:trPr>
        <w:tc>
          <w:tcPr>
            <w:tcW w:w="1541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9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0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9" w:lineRule="exact"/>
              <w:ind w:right="128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先满足环境质量</w:t>
            </w:r>
            <w:r>
              <w:rPr>
                <w:rFonts w:ascii="Times New Roman" w:eastAsia="Times New Roman" w:hAnsi="Times New Roman"/>
                <w:w w:val="95"/>
                <w:sz w:val="21"/>
              </w:rPr>
              <w:t>“</w:t>
            </w:r>
            <w:r>
              <w:rPr>
                <w:w w:val="95"/>
                <w:sz w:val="21"/>
              </w:rPr>
              <w:t>只能更好，不能变坏</w:t>
            </w:r>
            <w:r>
              <w:rPr>
                <w:rFonts w:ascii="Times New Roman" w:eastAsia="Times New Roman" w:hAnsi="Times New Roman"/>
                <w:w w:val="95"/>
                <w:sz w:val="21"/>
              </w:rPr>
              <w:t>”</w:t>
            </w:r>
            <w:r>
              <w:rPr>
                <w:w w:val="95"/>
                <w:sz w:val="21"/>
              </w:rPr>
              <w:t>的底线，严格落</w:t>
            </w:r>
          </w:p>
        </w:tc>
        <w:tc>
          <w:tcPr>
            <w:tcW w:w="14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" w:type="dxa"/>
            <w:vMerge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1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</w:trPr>
        <w:tc>
          <w:tcPr>
            <w:tcW w:w="1541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9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0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6" w:lineRule="exact"/>
              <w:ind w:right="128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实污染物排放</w:t>
            </w:r>
            <w:r>
              <w:rPr>
                <w:rFonts w:ascii="Times New Roman" w:eastAsia="Times New Roman" w:hAnsi="Times New Roman"/>
                <w:w w:val="95"/>
                <w:sz w:val="21"/>
              </w:rPr>
              <w:t>“</w:t>
            </w:r>
            <w:r>
              <w:rPr>
                <w:w w:val="95"/>
                <w:sz w:val="21"/>
              </w:rPr>
              <w:t>减量替代是原则，等量替代是例外</w:t>
            </w:r>
            <w:r>
              <w:rPr>
                <w:rFonts w:ascii="Times New Roman" w:eastAsia="Times New Roman" w:hAnsi="Times New Roman"/>
                <w:w w:val="95"/>
                <w:sz w:val="21"/>
              </w:rPr>
              <w:t>”</w:t>
            </w:r>
            <w:r>
              <w:rPr>
                <w:w w:val="95"/>
                <w:sz w:val="21"/>
              </w:rPr>
              <w:t>的总</w:t>
            </w:r>
          </w:p>
        </w:tc>
        <w:tc>
          <w:tcPr>
            <w:tcW w:w="14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" w:type="dxa"/>
            <w:vMerge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1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"/>
        </w:trPr>
        <w:tc>
          <w:tcPr>
            <w:tcW w:w="1541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9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0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1" w:lineRule="exact"/>
              <w:ind w:left="241"/>
              <w:rPr>
                <w:sz w:val="21"/>
              </w:rPr>
            </w:pPr>
            <w:r>
              <w:rPr>
                <w:sz w:val="21"/>
              </w:rPr>
              <w:t>量控制刚性要求。按照国家相关产业政策，深入实施</w:t>
            </w:r>
          </w:p>
        </w:tc>
        <w:tc>
          <w:tcPr>
            <w:tcW w:w="14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" w:type="dxa"/>
            <w:vMerge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1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/>
        </w:trPr>
        <w:tc>
          <w:tcPr>
            <w:tcW w:w="1541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9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0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exact"/>
              <w:ind w:right="116"/>
              <w:jc w:val="right"/>
              <w:rPr>
                <w:sz w:val="21"/>
              </w:rPr>
            </w:pPr>
            <w:r>
              <w:rPr>
                <w:rFonts w:ascii="Times New Roman" w:eastAsia="Times New Roman" w:hAnsi="Times New Roman"/>
                <w:w w:val="95"/>
                <w:sz w:val="21"/>
              </w:rPr>
              <w:t>“</w:t>
            </w:r>
            <w:r>
              <w:rPr>
                <w:w w:val="95"/>
                <w:sz w:val="21"/>
              </w:rPr>
              <w:t>四上四压</w:t>
            </w:r>
            <w:r>
              <w:rPr>
                <w:rFonts w:ascii="Times New Roman" w:eastAsia="Times New Roman" w:hAnsi="Times New Roman"/>
                <w:w w:val="95"/>
                <w:sz w:val="21"/>
              </w:rPr>
              <w:t>”</w:t>
            </w:r>
            <w:r>
              <w:rPr>
                <w:w w:val="95"/>
                <w:sz w:val="21"/>
              </w:rPr>
              <w:t>，坚持</w:t>
            </w:r>
            <w:r>
              <w:rPr>
                <w:rFonts w:ascii="Times New Roman" w:eastAsia="Times New Roman" w:hAnsi="Times New Roman"/>
                <w:w w:val="95"/>
                <w:sz w:val="21"/>
              </w:rPr>
              <w:t>“</w:t>
            </w:r>
            <w:r>
              <w:rPr>
                <w:w w:val="95"/>
                <w:sz w:val="21"/>
              </w:rPr>
              <w:t>上新压旧</w:t>
            </w:r>
            <w:r>
              <w:rPr>
                <w:rFonts w:ascii="Times New Roman" w:eastAsia="Times New Roman" w:hAnsi="Times New Roman"/>
                <w:w w:val="95"/>
                <w:sz w:val="21"/>
              </w:rPr>
              <w:t>”“</w:t>
            </w:r>
            <w:r>
              <w:rPr>
                <w:w w:val="95"/>
                <w:sz w:val="21"/>
              </w:rPr>
              <w:t>上大压小</w:t>
            </w:r>
            <w:r>
              <w:rPr>
                <w:rFonts w:ascii="Times New Roman" w:eastAsia="Times New Roman" w:hAnsi="Times New Roman"/>
                <w:w w:val="95"/>
                <w:sz w:val="21"/>
              </w:rPr>
              <w:t>”“</w:t>
            </w:r>
            <w:r>
              <w:rPr>
                <w:w w:val="95"/>
                <w:sz w:val="21"/>
              </w:rPr>
              <w:t>上高压低</w:t>
            </w:r>
            <w:r>
              <w:rPr>
                <w:rFonts w:ascii="Times New Roman" w:eastAsia="Times New Roman" w:hAnsi="Times New Roman"/>
                <w:w w:val="95"/>
                <w:sz w:val="21"/>
              </w:rPr>
              <w:t>”“</w:t>
            </w:r>
            <w:r>
              <w:rPr>
                <w:w w:val="95"/>
                <w:sz w:val="21"/>
              </w:rPr>
              <w:t>上</w:t>
            </w:r>
          </w:p>
        </w:tc>
        <w:tc>
          <w:tcPr>
            <w:tcW w:w="14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" w:type="dxa"/>
            <w:vMerge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1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/>
        </w:trPr>
        <w:tc>
          <w:tcPr>
            <w:tcW w:w="1541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9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0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2" w:lineRule="exact"/>
              <w:ind w:right="176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整压散</w:t>
            </w:r>
            <w:r>
              <w:rPr>
                <w:rFonts w:ascii="Times New Roman" w:eastAsia="Times New Roman" w:hAnsi="Times New Roman"/>
                <w:w w:val="95"/>
                <w:sz w:val="21"/>
              </w:rPr>
              <w:t>”</w:t>
            </w:r>
            <w:r>
              <w:rPr>
                <w:w w:val="95"/>
                <w:sz w:val="21"/>
              </w:rPr>
              <w:t>。对钢铁、地炼、焦化、煤电、水泥、轮胎、</w:t>
            </w:r>
          </w:p>
        </w:tc>
        <w:tc>
          <w:tcPr>
            <w:tcW w:w="14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" w:type="dxa"/>
            <w:vMerge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1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</w:trPr>
        <w:tc>
          <w:tcPr>
            <w:tcW w:w="1541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9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6" w:lineRule="exact"/>
              <w:ind w:left="279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9"/>
                <w:sz w:val="21"/>
              </w:rPr>
              <w:t>5</w:t>
            </w:r>
          </w:p>
        </w:tc>
        <w:tc>
          <w:tcPr>
            <w:tcW w:w="530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6" w:lineRule="exact"/>
              <w:ind w:right="116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平板玻璃等重点行业，严格执行产能置换要求。严格执</w:t>
            </w:r>
          </w:p>
        </w:tc>
        <w:tc>
          <w:tcPr>
            <w:tcW w:w="14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" w:type="dxa"/>
            <w:vMerge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1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"/>
        </w:trPr>
        <w:tc>
          <w:tcPr>
            <w:tcW w:w="1541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9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0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1" w:lineRule="exact"/>
              <w:ind w:left="241"/>
              <w:rPr>
                <w:sz w:val="21"/>
              </w:rPr>
            </w:pPr>
            <w:r>
              <w:rPr>
                <w:sz w:val="21"/>
              </w:rPr>
              <w:t>行国家煤化工、铁合金等行业产能控制或产能置换办</w:t>
            </w:r>
          </w:p>
        </w:tc>
        <w:tc>
          <w:tcPr>
            <w:tcW w:w="14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" w:type="dxa"/>
            <w:vMerge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1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/>
        </w:trPr>
        <w:tc>
          <w:tcPr>
            <w:tcW w:w="1541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9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0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exact"/>
              <w:ind w:right="128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法。</w:t>
            </w:r>
            <w:r>
              <w:rPr>
                <w:rFonts w:ascii="Times New Roman" w:eastAsia="Times New Roman" w:hAnsi="Times New Roman"/>
                <w:w w:val="95"/>
                <w:sz w:val="21"/>
              </w:rPr>
              <w:t>“</w:t>
            </w:r>
            <w:r>
              <w:rPr>
                <w:w w:val="95"/>
                <w:sz w:val="21"/>
              </w:rPr>
              <w:t>两高</w:t>
            </w:r>
            <w:r>
              <w:rPr>
                <w:rFonts w:ascii="Times New Roman" w:eastAsia="Times New Roman" w:hAnsi="Times New Roman"/>
                <w:w w:val="95"/>
                <w:sz w:val="21"/>
              </w:rPr>
              <w:t>”</w:t>
            </w:r>
            <w:r>
              <w:rPr>
                <w:w w:val="95"/>
                <w:sz w:val="21"/>
              </w:rPr>
              <w:t>项目建设做到产能减量、能蚝减量、煤炭减</w:t>
            </w:r>
          </w:p>
        </w:tc>
        <w:tc>
          <w:tcPr>
            <w:tcW w:w="14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" w:type="dxa"/>
            <w:vMerge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1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</w:trPr>
        <w:tc>
          <w:tcPr>
            <w:tcW w:w="1541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9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0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6" w:lineRule="exact"/>
              <w:ind w:right="102"/>
              <w:jc w:val="right"/>
              <w:rPr>
                <w:sz w:val="21"/>
              </w:rPr>
            </w:pPr>
            <w:r>
              <w:rPr>
                <w:sz w:val="21"/>
              </w:rPr>
              <w:t>量、碳排放减量和常规污染物减量等</w:t>
            </w:r>
            <w:r>
              <w:rPr>
                <w:rFonts w:ascii="Times New Roman" w:eastAsia="Times New Roman" w:hAnsi="Times New Roman"/>
                <w:sz w:val="21"/>
              </w:rPr>
              <w:t>“</w:t>
            </w:r>
            <w:r>
              <w:rPr>
                <w:sz w:val="21"/>
              </w:rPr>
              <w:t>五个减 量</w:t>
            </w:r>
            <w:r>
              <w:rPr>
                <w:rFonts w:ascii="Times New Roman" w:eastAsia="Times New Roman" w:hAnsi="Times New Roman"/>
                <w:sz w:val="21"/>
              </w:rPr>
              <w:t>”</w:t>
            </w:r>
            <w:r>
              <w:rPr>
                <w:sz w:val="21"/>
              </w:rPr>
              <w:t>，新建</w:t>
            </w:r>
          </w:p>
        </w:tc>
        <w:tc>
          <w:tcPr>
            <w:tcW w:w="14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" w:type="dxa"/>
            <w:vMerge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1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/>
        </w:trPr>
        <w:tc>
          <w:tcPr>
            <w:tcW w:w="1541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9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0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5" w:lineRule="exact"/>
              <w:ind w:right="116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项目要按照规定实施减量替代，不符合要求的高蚝能、</w:t>
            </w:r>
          </w:p>
        </w:tc>
        <w:tc>
          <w:tcPr>
            <w:tcW w:w="14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" w:type="dxa"/>
            <w:vMerge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1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/>
        </w:trPr>
        <w:tc>
          <w:tcPr>
            <w:tcW w:w="1541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9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0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2" w:lineRule="exact"/>
              <w:ind w:right="116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高排放项目要坚决拿下来。严禁新增水泥熟料、粉磨产</w:t>
            </w:r>
          </w:p>
        </w:tc>
        <w:tc>
          <w:tcPr>
            <w:tcW w:w="14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" w:type="dxa"/>
            <w:vMerge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1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7"/>
        </w:trPr>
        <w:tc>
          <w:tcPr>
            <w:tcW w:w="1541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9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5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02" w:type="dxa"/>
            <w:tcBorders>
              <w:top w:val="nil"/>
            </w:tcBorders>
          </w:tcPr>
          <w:p>
            <w:pPr>
              <w:pStyle w:val="TableParagraph"/>
              <w:spacing w:line="237" w:lineRule="exact"/>
              <w:ind w:left="241"/>
              <w:rPr>
                <w:sz w:val="21"/>
              </w:rPr>
            </w:pPr>
            <w:r>
              <w:rPr>
                <w:sz w:val="21"/>
              </w:rPr>
              <w:t>能，严禁省外水泥熟料、粉磨、焦化产能转入我市。</w:t>
            </w:r>
          </w:p>
        </w:tc>
        <w:tc>
          <w:tcPr>
            <w:tcW w:w="14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" w:type="dxa"/>
            <w:vMerge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1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7"/>
        </w:trPr>
        <w:tc>
          <w:tcPr>
            <w:tcW w:w="1541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9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5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02" w:type="dxa"/>
            <w:tcBorders>
              <w:bottom w:val="nil"/>
            </w:tcBorders>
          </w:tcPr>
          <w:p>
            <w:pPr>
              <w:pStyle w:val="TableParagraph"/>
              <w:spacing w:line="237" w:lineRule="exact"/>
              <w:ind w:right="116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（五）推动绿色循环低碳改造。电力、钢铁、建材、有</w:t>
            </w:r>
          </w:p>
        </w:tc>
        <w:tc>
          <w:tcPr>
            <w:tcW w:w="1489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4" w:type="dxa"/>
            <w:vMerge w:val="restart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blPrEx>
          <w:tblW w:w="0" w:type="auto"/>
          <w:tblInd w:w="1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/>
        </w:trPr>
        <w:tc>
          <w:tcPr>
            <w:tcW w:w="1541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9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0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1" w:lineRule="exact"/>
              <w:ind w:right="116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色、石化、化工等重点行业制定碳达峰目标，按照上级</w:t>
            </w:r>
          </w:p>
        </w:tc>
        <w:tc>
          <w:tcPr>
            <w:tcW w:w="148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4" w:type="dxa"/>
            <w:vMerge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1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/>
        </w:trPr>
        <w:tc>
          <w:tcPr>
            <w:tcW w:w="1541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9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0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2" w:lineRule="exact"/>
              <w:ind w:right="116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工作部署，推动开展碳排放权交易工作，实施减污降碳</w:t>
            </w:r>
          </w:p>
        </w:tc>
        <w:tc>
          <w:tcPr>
            <w:tcW w:w="148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4" w:type="dxa"/>
            <w:vMerge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1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/>
        </w:trPr>
        <w:tc>
          <w:tcPr>
            <w:tcW w:w="1541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9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0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2" w:lineRule="exact"/>
              <w:ind w:right="116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协同治理。优化整合钢铁、焦化、煤电、水泥、轮胎、</w:t>
            </w:r>
          </w:p>
        </w:tc>
        <w:tc>
          <w:tcPr>
            <w:tcW w:w="148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2" w:lineRule="exact"/>
              <w:ind w:left="96" w:right="81"/>
              <w:jc w:val="center"/>
              <w:rPr>
                <w:sz w:val="21"/>
              </w:rPr>
            </w:pPr>
            <w:r>
              <w:rPr>
                <w:sz w:val="21"/>
              </w:rPr>
              <w:t>拟建项目不属</w:t>
            </w:r>
          </w:p>
        </w:tc>
        <w:tc>
          <w:tcPr>
            <w:tcW w:w="134" w:type="dxa"/>
            <w:vMerge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1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/>
        </w:trPr>
        <w:tc>
          <w:tcPr>
            <w:tcW w:w="1541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9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0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9" w:lineRule="exact"/>
              <w:ind w:right="116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煤炭、化工等行业产能布局。对人口密集、资源开发强</w:t>
            </w:r>
          </w:p>
        </w:tc>
        <w:tc>
          <w:tcPr>
            <w:tcW w:w="148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9" w:lineRule="exact"/>
              <w:ind w:left="97" w:right="81"/>
              <w:jc w:val="center"/>
              <w:rPr>
                <w:sz w:val="21"/>
              </w:rPr>
            </w:pPr>
            <w:r>
              <w:rPr>
                <w:sz w:val="21"/>
              </w:rPr>
              <w:t>于重点行业，</w:t>
            </w:r>
          </w:p>
        </w:tc>
        <w:tc>
          <w:tcPr>
            <w:tcW w:w="134" w:type="dxa"/>
            <w:vMerge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1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1"/>
        </w:trPr>
        <w:tc>
          <w:tcPr>
            <w:tcW w:w="1541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9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9" w:line="232" w:lineRule="exact"/>
              <w:ind w:left="279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9"/>
                <w:sz w:val="21"/>
              </w:rPr>
              <w:t>6</w:t>
            </w:r>
          </w:p>
        </w:tc>
        <w:tc>
          <w:tcPr>
            <w:tcW w:w="530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1" w:lineRule="exact"/>
              <w:ind w:right="116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度大、污染物排放强度高的区域实施重点管控，推进产</w:t>
            </w:r>
          </w:p>
        </w:tc>
        <w:tc>
          <w:tcPr>
            <w:tcW w:w="148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1" w:lineRule="exact"/>
              <w:ind w:left="97" w:right="80"/>
              <w:jc w:val="center"/>
              <w:rPr>
                <w:rFonts w:ascii="Times New Roman" w:eastAsia="Times New Roman" w:hAnsi="Times New Roman"/>
                <w:sz w:val="21"/>
              </w:rPr>
            </w:pPr>
            <w:r>
              <w:rPr>
                <w:sz w:val="21"/>
              </w:rPr>
              <w:t>以</w:t>
            </w:r>
            <w:r>
              <w:rPr>
                <w:rFonts w:ascii="Times New Roman" w:eastAsia="Times New Roman" w:hAnsi="Times New Roman"/>
                <w:sz w:val="21"/>
              </w:rPr>
              <w:t>“</w:t>
            </w:r>
            <w:r>
              <w:rPr>
                <w:sz w:val="21"/>
              </w:rPr>
              <w:t>三线一单</w:t>
            </w:r>
            <w:r>
              <w:rPr>
                <w:rFonts w:ascii="Times New Roman" w:eastAsia="Times New Roman" w:hAnsi="Times New Roman"/>
                <w:sz w:val="21"/>
              </w:rPr>
              <w:t>”</w:t>
            </w:r>
          </w:p>
        </w:tc>
        <w:tc>
          <w:tcPr>
            <w:tcW w:w="134" w:type="dxa"/>
            <w:vMerge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1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</w:trPr>
        <w:tc>
          <w:tcPr>
            <w:tcW w:w="1541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9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0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6" w:lineRule="exact"/>
              <w:ind w:right="128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业布局优化、转型升级。将</w:t>
            </w:r>
            <w:r>
              <w:rPr>
                <w:rFonts w:ascii="Times New Roman" w:eastAsia="Times New Roman" w:hAnsi="Times New Roman"/>
                <w:w w:val="95"/>
                <w:sz w:val="21"/>
              </w:rPr>
              <w:t>“</w:t>
            </w:r>
            <w:r>
              <w:rPr>
                <w:w w:val="95"/>
                <w:sz w:val="21"/>
              </w:rPr>
              <w:t>三线一单</w:t>
            </w:r>
            <w:r>
              <w:rPr>
                <w:rFonts w:ascii="Times New Roman" w:eastAsia="Times New Roman" w:hAnsi="Times New Roman"/>
                <w:w w:val="95"/>
                <w:sz w:val="21"/>
              </w:rPr>
              <w:t>”</w:t>
            </w:r>
            <w:r>
              <w:rPr>
                <w:w w:val="95"/>
                <w:sz w:val="21"/>
              </w:rPr>
              <w:t>作为综合决策的</w:t>
            </w:r>
          </w:p>
        </w:tc>
        <w:tc>
          <w:tcPr>
            <w:tcW w:w="148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6" w:lineRule="exact"/>
              <w:ind w:left="97" w:right="81"/>
              <w:jc w:val="center"/>
              <w:rPr>
                <w:sz w:val="21"/>
              </w:rPr>
            </w:pPr>
            <w:r>
              <w:rPr>
                <w:sz w:val="21"/>
              </w:rPr>
              <w:t>为重要依据，</w:t>
            </w:r>
          </w:p>
        </w:tc>
        <w:tc>
          <w:tcPr>
            <w:tcW w:w="134" w:type="dxa"/>
            <w:vMerge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1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3"/>
        </w:trPr>
        <w:tc>
          <w:tcPr>
            <w:tcW w:w="1541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9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0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3" w:lineRule="exact"/>
              <w:ind w:right="116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前提条件，加强在政策制定、环境准入、园区管理、执</w:t>
            </w:r>
          </w:p>
        </w:tc>
        <w:tc>
          <w:tcPr>
            <w:tcW w:w="148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3" w:lineRule="exact"/>
              <w:ind w:left="115" w:right="100"/>
              <w:jc w:val="center"/>
              <w:rPr>
                <w:sz w:val="21"/>
              </w:rPr>
            </w:pPr>
            <w:r>
              <w:rPr>
                <w:sz w:val="21"/>
              </w:rPr>
              <w:t>符合。</w:t>
            </w:r>
          </w:p>
        </w:tc>
        <w:tc>
          <w:tcPr>
            <w:tcW w:w="134" w:type="dxa"/>
            <w:vMerge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1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/>
        </w:trPr>
        <w:tc>
          <w:tcPr>
            <w:tcW w:w="1541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9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0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2" w:lineRule="exact"/>
              <w:ind w:right="116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法监管等方面的应用，作为区域资源开发、产业布局和</w:t>
            </w:r>
          </w:p>
        </w:tc>
        <w:tc>
          <w:tcPr>
            <w:tcW w:w="148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4" w:type="dxa"/>
            <w:vMerge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1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/>
        </w:trPr>
        <w:tc>
          <w:tcPr>
            <w:tcW w:w="1541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9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0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2" w:lineRule="exact"/>
              <w:ind w:left="241"/>
              <w:rPr>
                <w:sz w:val="21"/>
              </w:rPr>
            </w:pPr>
            <w:r>
              <w:rPr>
                <w:sz w:val="21"/>
              </w:rPr>
              <w:t>结构调整、城镇建设、重大项目选址和审批的重要依</w:t>
            </w:r>
          </w:p>
        </w:tc>
        <w:tc>
          <w:tcPr>
            <w:tcW w:w="148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4" w:type="dxa"/>
            <w:vMerge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1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"/>
        </w:trPr>
        <w:tc>
          <w:tcPr>
            <w:tcW w:w="1541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9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5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02" w:type="dxa"/>
            <w:tcBorders>
              <w:top w:val="nil"/>
            </w:tcBorders>
          </w:tcPr>
          <w:p>
            <w:pPr>
              <w:pStyle w:val="TableParagraph"/>
              <w:spacing w:line="239" w:lineRule="exact"/>
              <w:ind w:left="111" w:right="97"/>
              <w:jc w:val="center"/>
              <w:rPr>
                <w:sz w:val="21"/>
              </w:rPr>
            </w:pPr>
            <w:r>
              <w:rPr>
                <w:sz w:val="21"/>
              </w:rPr>
              <w:t>据。</w:t>
            </w:r>
          </w:p>
        </w:tc>
        <w:tc>
          <w:tcPr>
            <w:tcW w:w="1489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4" w:type="dxa"/>
            <w:vMerge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1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7"/>
        </w:trPr>
        <w:tc>
          <w:tcPr>
            <w:tcW w:w="1541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9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46" w:type="dxa"/>
            <w:gridSpan w:val="3"/>
          </w:tcPr>
          <w:p>
            <w:pPr>
              <w:pStyle w:val="TableParagraph"/>
              <w:spacing w:before="57"/>
              <w:ind w:left="831" w:right="8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《山东省环境保护条例》</w:t>
            </w:r>
          </w:p>
        </w:tc>
        <w:tc>
          <w:tcPr>
            <w:tcW w:w="134" w:type="dxa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blPrEx>
          <w:tblW w:w="0" w:type="auto"/>
          <w:tblInd w:w="1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"/>
        </w:trPr>
        <w:tc>
          <w:tcPr>
            <w:tcW w:w="1541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9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5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02" w:type="dxa"/>
            <w:tcBorders>
              <w:bottom w:val="nil"/>
            </w:tcBorders>
          </w:tcPr>
          <w:p>
            <w:pPr>
              <w:pStyle w:val="TableParagraph"/>
              <w:spacing w:line="237" w:lineRule="exact"/>
              <w:ind w:left="212"/>
              <w:rPr>
                <w:sz w:val="21"/>
              </w:rPr>
            </w:pPr>
            <w:r>
              <w:rPr>
                <w:sz w:val="21"/>
              </w:rPr>
              <w:t>第十五条 禁止建设不符合国家和省产业政策的小型造</w:t>
            </w:r>
          </w:p>
        </w:tc>
        <w:tc>
          <w:tcPr>
            <w:tcW w:w="1489" w:type="dxa"/>
            <w:vMerge w:val="restart"/>
          </w:tcPr>
          <w:p>
            <w:pPr>
              <w:pStyle w:val="TableParagraph"/>
              <w:spacing w:before="130" w:line="242" w:lineRule="auto"/>
              <w:ind w:left="118" w:right="100"/>
              <w:jc w:val="center"/>
              <w:rPr>
                <w:sz w:val="21"/>
              </w:rPr>
            </w:pPr>
            <w:r>
              <w:rPr>
                <w:spacing w:val="-3"/>
                <w:sz w:val="21"/>
              </w:rPr>
              <w:t>拟建项目不属于严重污染环</w:t>
            </w:r>
            <w:r>
              <w:rPr>
                <w:sz w:val="21"/>
              </w:rPr>
              <w:t>境的生产项 目，符合</w:t>
            </w:r>
          </w:p>
        </w:tc>
        <w:tc>
          <w:tcPr>
            <w:tcW w:w="134" w:type="dxa"/>
            <w:vMerge w:val="restart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blPrEx>
          <w:tblW w:w="0" w:type="auto"/>
          <w:tblInd w:w="1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/>
        </w:trPr>
        <w:tc>
          <w:tcPr>
            <w:tcW w:w="1541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9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0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9" w:lineRule="exact"/>
              <w:ind w:right="116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纸、制革、印染、染料、炼焦、炼硫、炼砷、炼汞、炼</w:t>
            </w:r>
          </w:p>
        </w:tc>
        <w:tc>
          <w:tcPr>
            <w:tcW w:w="14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" w:type="dxa"/>
            <w:vMerge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1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/>
        </w:trPr>
        <w:tc>
          <w:tcPr>
            <w:tcW w:w="1541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9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9" w:line="234" w:lineRule="exact"/>
              <w:ind w:left="279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9"/>
                <w:sz w:val="21"/>
              </w:rPr>
              <w:t>7</w:t>
            </w:r>
          </w:p>
        </w:tc>
        <w:tc>
          <w:tcPr>
            <w:tcW w:w="530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4" w:lineRule="exact"/>
              <w:ind w:right="116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油、电镀、农药、石棉、水泥、玻璃、钢铁、火电以及</w:t>
            </w:r>
          </w:p>
        </w:tc>
        <w:tc>
          <w:tcPr>
            <w:tcW w:w="14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" w:type="dxa"/>
            <w:vMerge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1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/>
        </w:trPr>
        <w:tc>
          <w:tcPr>
            <w:tcW w:w="1541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9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0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4" w:lineRule="exact"/>
              <w:ind w:right="116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其他严重污染环境的生产项目。已经建设的，由所在地</w:t>
            </w:r>
          </w:p>
        </w:tc>
        <w:tc>
          <w:tcPr>
            <w:tcW w:w="14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" w:type="dxa"/>
            <w:vMerge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1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7"/>
        </w:trPr>
        <w:tc>
          <w:tcPr>
            <w:tcW w:w="1541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9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5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02" w:type="dxa"/>
            <w:tcBorders>
              <w:top w:val="nil"/>
            </w:tcBorders>
          </w:tcPr>
          <w:p>
            <w:pPr>
              <w:pStyle w:val="TableParagraph"/>
              <w:spacing w:line="238" w:lineRule="exact"/>
              <w:ind w:left="764"/>
              <w:rPr>
                <w:sz w:val="21"/>
              </w:rPr>
            </w:pPr>
            <w:r>
              <w:rPr>
                <w:sz w:val="21"/>
              </w:rPr>
              <w:t>的县级以上人民政府责令拆除或者关闭。</w:t>
            </w:r>
          </w:p>
        </w:tc>
        <w:tc>
          <w:tcPr>
            <w:tcW w:w="14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" w:type="dxa"/>
            <w:vMerge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1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</w:trPr>
        <w:tc>
          <w:tcPr>
            <w:tcW w:w="1541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9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5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02" w:type="dxa"/>
            <w:tcBorders>
              <w:bottom w:val="nil"/>
            </w:tcBorders>
          </w:tcPr>
          <w:p>
            <w:pPr>
              <w:pStyle w:val="TableParagraph"/>
              <w:spacing w:line="235" w:lineRule="exact"/>
              <w:ind w:left="212"/>
              <w:rPr>
                <w:sz w:val="21"/>
              </w:rPr>
            </w:pPr>
            <w:r>
              <w:rPr>
                <w:sz w:val="21"/>
              </w:rPr>
              <w:t>第四十五条 排污单位应当采取措施，防治在生产建设</w:t>
            </w:r>
          </w:p>
        </w:tc>
        <w:tc>
          <w:tcPr>
            <w:tcW w:w="1489" w:type="dxa"/>
            <w:tcBorders>
              <w:bottom w:val="nil"/>
            </w:tcBorders>
          </w:tcPr>
          <w:p>
            <w:pPr>
              <w:pStyle w:val="TableParagraph"/>
              <w:spacing w:line="235" w:lineRule="exact"/>
              <w:ind w:left="96" w:right="81"/>
              <w:jc w:val="center"/>
              <w:rPr>
                <w:sz w:val="21"/>
              </w:rPr>
            </w:pPr>
            <w:r>
              <w:rPr>
                <w:sz w:val="21"/>
              </w:rPr>
              <w:t>拟建项目污染</w:t>
            </w:r>
          </w:p>
        </w:tc>
        <w:tc>
          <w:tcPr>
            <w:tcW w:w="134" w:type="dxa"/>
            <w:vMerge w:val="restart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blPrEx>
          <w:tblW w:w="0" w:type="auto"/>
          <w:tblInd w:w="1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/>
        </w:trPr>
        <w:tc>
          <w:tcPr>
            <w:tcW w:w="1541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9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0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9" w:lineRule="exact"/>
              <w:ind w:right="116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或者其他活动中产生的废气、废水、废渣、医疗废物、</w:t>
            </w:r>
          </w:p>
        </w:tc>
        <w:tc>
          <w:tcPr>
            <w:tcW w:w="148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9" w:lineRule="exact"/>
              <w:ind w:left="96" w:right="81"/>
              <w:jc w:val="center"/>
              <w:rPr>
                <w:sz w:val="21"/>
              </w:rPr>
            </w:pPr>
            <w:r>
              <w:rPr>
                <w:sz w:val="21"/>
              </w:rPr>
              <w:t>物排放严格执</w:t>
            </w:r>
          </w:p>
        </w:tc>
        <w:tc>
          <w:tcPr>
            <w:tcW w:w="134" w:type="dxa"/>
            <w:vMerge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1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/>
        </w:trPr>
        <w:tc>
          <w:tcPr>
            <w:tcW w:w="1541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9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9" w:line="236" w:lineRule="exact"/>
              <w:ind w:left="279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9"/>
                <w:sz w:val="21"/>
              </w:rPr>
              <w:t>8</w:t>
            </w:r>
          </w:p>
        </w:tc>
        <w:tc>
          <w:tcPr>
            <w:tcW w:w="530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5" w:lineRule="exact"/>
              <w:ind w:left="241"/>
              <w:rPr>
                <w:sz w:val="21"/>
              </w:rPr>
            </w:pPr>
            <w:r>
              <w:rPr>
                <w:sz w:val="21"/>
              </w:rPr>
              <w:t>粉尘、恶臭气体、放射性物质以及噪声、振动、光辐</w:t>
            </w:r>
          </w:p>
        </w:tc>
        <w:tc>
          <w:tcPr>
            <w:tcW w:w="148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5" w:lineRule="exact"/>
              <w:ind w:left="96" w:right="81"/>
              <w:jc w:val="center"/>
              <w:rPr>
                <w:sz w:val="21"/>
              </w:rPr>
            </w:pPr>
            <w:r>
              <w:rPr>
                <w:sz w:val="21"/>
              </w:rPr>
              <w:t>行排放标准和</w:t>
            </w:r>
          </w:p>
        </w:tc>
        <w:tc>
          <w:tcPr>
            <w:tcW w:w="134" w:type="dxa"/>
            <w:vMerge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1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/>
        </w:trPr>
        <w:tc>
          <w:tcPr>
            <w:tcW w:w="1541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9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0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4" w:lineRule="exact"/>
              <w:ind w:right="116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射、电磁辐射等对环境的污染和危害，其污染排放不得</w:t>
            </w:r>
          </w:p>
        </w:tc>
        <w:tc>
          <w:tcPr>
            <w:tcW w:w="148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4" w:lineRule="exact"/>
              <w:ind w:left="118" w:right="100"/>
              <w:jc w:val="center"/>
              <w:rPr>
                <w:sz w:val="21"/>
              </w:rPr>
            </w:pPr>
            <w:r>
              <w:rPr>
                <w:sz w:val="21"/>
              </w:rPr>
              <w:t>总量控制指</w:t>
            </w:r>
          </w:p>
        </w:tc>
        <w:tc>
          <w:tcPr>
            <w:tcW w:w="134" w:type="dxa"/>
            <w:vMerge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1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"/>
        </w:trPr>
        <w:tc>
          <w:tcPr>
            <w:tcW w:w="1541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9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5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02" w:type="dxa"/>
            <w:tcBorders>
              <w:top w:val="nil"/>
            </w:tcBorders>
          </w:tcPr>
          <w:p>
            <w:pPr>
              <w:pStyle w:val="TableParagraph"/>
              <w:spacing w:line="238" w:lineRule="exact"/>
              <w:ind w:left="450"/>
              <w:rPr>
                <w:sz w:val="21"/>
              </w:rPr>
            </w:pPr>
            <w:r>
              <w:rPr>
                <w:sz w:val="21"/>
              </w:rPr>
              <w:t>超过排放标准和重点污染物排放总量控制指标。</w:t>
            </w:r>
          </w:p>
        </w:tc>
        <w:tc>
          <w:tcPr>
            <w:tcW w:w="1489" w:type="dxa"/>
            <w:tcBorders>
              <w:top w:val="nil"/>
            </w:tcBorders>
          </w:tcPr>
          <w:p>
            <w:pPr>
              <w:pStyle w:val="TableParagraph"/>
              <w:spacing w:line="238" w:lineRule="exact"/>
              <w:ind w:left="113" w:right="100"/>
              <w:jc w:val="center"/>
              <w:rPr>
                <w:sz w:val="21"/>
              </w:rPr>
            </w:pPr>
            <w:r>
              <w:rPr>
                <w:sz w:val="21"/>
              </w:rPr>
              <w:t>标，符合</w:t>
            </w:r>
          </w:p>
        </w:tc>
        <w:tc>
          <w:tcPr>
            <w:tcW w:w="134" w:type="dxa"/>
            <w:vMerge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1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8"/>
        </w:trPr>
        <w:tc>
          <w:tcPr>
            <w:tcW w:w="1541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9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5" w:type="dxa"/>
            <w:tcBorders>
              <w:bottom w:val="thickThinMediumGap" w:sz="4" w:space="0" w:color="000000"/>
            </w:tcBorders>
          </w:tcPr>
          <w:p>
            <w:pPr>
              <w:pStyle w:val="TableParagraph"/>
              <w:rPr>
                <w:rFonts w:ascii="黑体"/>
                <w:sz w:val="22"/>
              </w:rPr>
            </w:pPr>
          </w:p>
          <w:p>
            <w:pPr>
              <w:pStyle w:val="TableParagraph"/>
              <w:spacing w:before="1"/>
              <w:rPr>
                <w:rFonts w:ascii="黑体"/>
                <w:sz w:val="21"/>
              </w:rPr>
            </w:pPr>
          </w:p>
          <w:p>
            <w:pPr>
              <w:pStyle w:val="TableParagraph"/>
              <w:ind w:left="279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9"/>
                <w:sz w:val="21"/>
              </w:rPr>
              <w:t>9</w:t>
            </w:r>
          </w:p>
        </w:tc>
        <w:tc>
          <w:tcPr>
            <w:tcW w:w="5302" w:type="dxa"/>
            <w:tcBorders>
              <w:bottom w:val="thickThinMediumGap" w:sz="4" w:space="0" w:color="000000"/>
            </w:tcBorders>
          </w:tcPr>
          <w:p>
            <w:pPr>
              <w:pStyle w:val="TableParagraph"/>
              <w:spacing w:before="130" w:line="242" w:lineRule="auto"/>
              <w:ind w:left="135" w:right="116" w:firstLine="76"/>
              <w:rPr>
                <w:sz w:val="21"/>
              </w:rPr>
            </w:pPr>
            <w:r>
              <w:rPr>
                <w:spacing w:val="-8"/>
                <w:sz w:val="21"/>
              </w:rPr>
              <w:t>第四十六条 新建、改建、扩建建设项目，应当根据环</w:t>
            </w:r>
            <w:r>
              <w:rPr>
                <w:spacing w:val="-8"/>
                <w:w w:val="95"/>
                <w:sz w:val="21"/>
              </w:rPr>
              <w:t>境影响评价文件以及生态环境主管部门审批决定的要求 建设环境保护设施、落实环境保护措施。环境保护设施 应当与主体工程同时设计、同时施工、同时投产使用。</w:t>
            </w:r>
          </w:p>
        </w:tc>
        <w:tc>
          <w:tcPr>
            <w:tcW w:w="1489" w:type="dxa"/>
            <w:tcBorders>
              <w:bottom w:val="thickThinMediumGap" w:sz="4" w:space="0" w:color="000000"/>
            </w:tcBorders>
          </w:tcPr>
          <w:p>
            <w:pPr>
              <w:pStyle w:val="TableParagraph"/>
              <w:spacing w:line="242" w:lineRule="auto"/>
              <w:ind w:left="118" w:right="100"/>
              <w:jc w:val="both"/>
              <w:rPr>
                <w:sz w:val="21"/>
              </w:rPr>
            </w:pPr>
            <w:r>
              <w:rPr>
                <w:spacing w:val="-3"/>
                <w:sz w:val="21"/>
              </w:rPr>
              <w:t>拟建项目将根据环境影响评价文件以及生</w:t>
            </w:r>
            <w:r>
              <w:rPr>
                <w:spacing w:val="-3"/>
                <w:w w:val="95"/>
                <w:sz w:val="21"/>
              </w:rPr>
              <w:t>态环境主管部</w:t>
            </w:r>
          </w:p>
          <w:p>
            <w:pPr>
              <w:pStyle w:val="TableParagraph"/>
              <w:spacing w:line="264" w:lineRule="exact"/>
              <w:ind w:left="118"/>
              <w:rPr>
                <w:sz w:val="21"/>
              </w:rPr>
            </w:pPr>
            <w:r>
              <w:rPr>
                <w:w w:val="95"/>
                <w:sz w:val="21"/>
              </w:rPr>
              <w:t>门审批决定的</w:t>
            </w:r>
          </w:p>
        </w:tc>
        <w:tc>
          <w:tcPr>
            <w:tcW w:w="134" w:type="dxa"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spacing w:after="0"/>
        <w:rPr>
          <w:rFonts w:ascii="Times New Roman"/>
          <w:sz w:val="20"/>
        </w:rPr>
        <w:sectPr>
          <w:footerReference w:type="default" r:id="rId7"/>
          <w:pgSz w:w="11910" w:h="16840"/>
          <w:pgMar w:top="1540" w:right="1200" w:bottom="960" w:left="1220" w:header="0" w:footer="743" w:gutter="0"/>
          <w:pgNumType w:start="3"/>
          <w:cols w:num="1"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41"/>
        <w:gridCol w:w="129"/>
        <w:gridCol w:w="655"/>
        <w:gridCol w:w="5302"/>
        <w:gridCol w:w="1489"/>
        <w:gridCol w:w="134"/>
      </w:tblGrid>
      <w:tr>
        <w:tblPrEx>
          <w:tblW w:w="0" w:type="auto"/>
          <w:tblInd w:w="121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/>
        </w:trPr>
        <w:tc>
          <w:tcPr>
            <w:tcW w:w="1541" w:type="dxa"/>
            <w:vMerge w:val="restart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9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655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302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89" w:type="dxa"/>
            <w:tcBorders>
              <w:top w:val="single" w:sz="8" w:space="0" w:color="000000"/>
            </w:tcBorders>
          </w:tcPr>
          <w:p>
            <w:pPr>
              <w:pStyle w:val="TableParagraph"/>
              <w:ind w:left="96" w:right="81"/>
              <w:jc w:val="center"/>
              <w:rPr>
                <w:sz w:val="21"/>
              </w:rPr>
            </w:pPr>
            <w:r>
              <w:rPr>
                <w:sz w:val="21"/>
              </w:rPr>
              <w:t>要求建设，符</w:t>
            </w:r>
          </w:p>
          <w:p>
            <w:pPr>
              <w:pStyle w:val="TableParagraph"/>
              <w:spacing w:before="5" w:line="246" w:lineRule="exact"/>
              <w:ind w:left="115" w:right="100"/>
              <w:jc w:val="center"/>
              <w:rPr>
                <w:sz w:val="21"/>
              </w:rPr>
            </w:pPr>
            <w:r>
              <w:rPr>
                <w:sz w:val="21"/>
              </w:rPr>
              <w:t>合。</w:t>
            </w:r>
          </w:p>
        </w:tc>
        <w:tc>
          <w:tcPr>
            <w:tcW w:w="134" w:type="dxa"/>
            <w:tcBorders>
              <w:bottom w:val="nil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blPrEx>
          <w:tblW w:w="0" w:type="auto"/>
          <w:tblInd w:w="1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/>
        </w:trPr>
        <w:tc>
          <w:tcPr>
            <w:tcW w:w="1541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709" w:type="dxa"/>
            <w:gridSpan w:val="5"/>
            <w:tcBorders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304" w:lineRule="exact"/>
              <w:ind w:left="545"/>
              <w:rPr>
                <w:b/>
                <w:sz w:val="24"/>
              </w:rPr>
            </w:pPr>
            <w:bookmarkStart w:id="5" w:name="（三）与“三线一单”符合性分析"/>
            <w:bookmarkEnd w:id="5"/>
            <w:r>
              <w:rPr>
                <w:b/>
                <w:sz w:val="24"/>
              </w:rPr>
              <w:t>（三）与</w:t>
            </w:r>
            <w:r>
              <w:rPr>
                <w:rFonts w:ascii="Times New Roman" w:eastAsia="Times New Roman" w:hAnsi="Times New Roman"/>
                <w:b/>
                <w:sz w:val="24"/>
              </w:rPr>
              <w:t>“</w:t>
            </w:r>
            <w:r>
              <w:rPr>
                <w:b/>
                <w:sz w:val="24"/>
              </w:rPr>
              <w:t>三线一单</w:t>
            </w:r>
            <w:r>
              <w:rPr>
                <w:rFonts w:ascii="Times New Roman" w:eastAsia="Times New Roman" w:hAnsi="Times New Roman"/>
                <w:b/>
                <w:sz w:val="24"/>
              </w:rPr>
              <w:t>”</w:t>
            </w:r>
            <w:r>
              <w:rPr>
                <w:b/>
                <w:sz w:val="24"/>
              </w:rPr>
              <w:t>符合性分析</w:t>
            </w:r>
          </w:p>
        </w:tc>
      </w:tr>
      <w:tr>
        <w:tblPrEx>
          <w:tblW w:w="0" w:type="auto"/>
          <w:tblInd w:w="1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/>
        </w:trPr>
        <w:tc>
          <w:tcPr>
            <w:tcW w:w="1541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709" w:type="dxa"/>
            <w:gridSpan w:val="5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66"/>
              <w:ind w:left="490" w:right="-15"/>
              <w:rPr>
                <w:sz w:val="24"/>
              </w:rPr>
            </w:pPr>
            <w:bookmarkStart w:id="6" w:name="拟建项目位于山东省德州市乐陵市杨安镇248省道西侧、323省道南侧，依据2023"/>
            <w:bookmarkEnd w:id="6"/>
            <w:r>
              <w:rPr>
                <w:spacing w:val="-3"/>
                <w:sz w:val="24"/>
              </w:rPr>
              <w:t xml:space="preserve">拟建项目位于山东省德州市乐陵市杨安镇 </w:t>
            </w:r>
            <w:r>
              <w:rPr>
                <w:rFonts w:ascii="Times New Roman" w:eastAsia="Times New Roman"/>
                <w:sz w:val="24"/>
              </w:rPr>
              <w:t>248</w:t>
            </w:r>
            <w:r>
              <w:rPr>
                <w:rFonts w:ascii="Times New Roman" w:eastAsia="Times New Roman"/>
                <w:spacing w:val="-4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>省道西侧、</w:t>
            </w:r>
            <w:r>
              <w:rPr>
                <w:rFonts w:ascii="Times New Roman" w:eastAsia="Times New Roman"/>
                <w:sz w:val="24"/>
              </w:rPr>
              <w:t>323</w:t>
            </w:r>
            <w:r>
              <w:rPr>
                <w:rFonts w:ascii="Times New Roman" w:eastAsia="Times New Roman"/>
                <w:spacing w:val="-5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>省道南</w:t>
            </w:r>
          </w:p>
        </w:tc>
      </w:tr>
      <w:tr>
        <w:tblPrEx>
          <w:tblW w:w="0" w:type="auto"/>
          <w:tblInd w:w="1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/>
        </w:trPr>
        <w:tc>
          <w:tcPr>
            <w:tcW w:w="1541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709" w:type="dxa"/>
            <w:gridSpan w:val="5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65"/>
              <w:ind w:left="10" w:right="-15"/>
              <w:rPr>
                <w:sz w:val="24"/>
              </w:rPr>
            </w:pPr>
            <w:r>
              <w:rPr>
                <w:spacing w:val="-9"/>
                <w:sz w:val="24"/>
              </w:rPr>
              <w:t xml:space="preserve">侧，依据 </w:t>
            </w:r>
            <w:r>
              <w:rPr>
                <w:rFonts w:ascii="Times New Roman" w:eastAsia="Times New Roman"/>
                <w:sz w:val="24"/>
              </w:rPr>
              <w:t>2023</w:t>
            </w:r>
            <w:r>
              <w:rPr>
                <w:rFonts w:ascii="Times New Roman" w:eastAsia="Times New Roman"/>
                <w:spacing w:val="-5"/>
                <w:sz w:val="24"/>
              </w:rPr>
              <w:t xml:space="preserve"> </w:t>
            </w:r>
            <w:r>
              <w:rPr>
                <w:spacing w:val="-28"/>
                <w:sz w:val="24"/>
              </w:rPr>
              <w:t xml:space="preserve">年 </w:t>
            </w:r>
            <w:r>
              <w:rPr>
                <w:rFonts w:ascii="Times New Roman" w:eastAsia="Times New Roman"/>
                <w:sz w:val="24"/>
              </w:rPr>
              <w:t>4</w:t>
            </w:r>
            <w:r>
              <w:rPr>
                <w:rFonts w:ascii="Times New Roman" w:eastAsia="Times New Roman"/>
                <w:spacing w:val="-5"/>
                <w:sz w:val="24"/>
              </w:rPr>
              <w:t xml:space="preserve"> </w:t>
            </w:r>
            <w:r>
              <w:rPr>
                <w:spacing w:val="-28"/>
                <w:sz w:val="24"/>
              </w:rPr>
              <w:t xml:space="preserve">月 </w:t>
            </w:r>
            <w:r>
              <w:rPr>
                <w:rFonts w:ascii="Times New Roman" w:eastAsia="Times New Roman"/>
                <w:sz w:val="24"/>
              </w:rPr>
              <w:t>7</w:t>
            </w:r>
            <w:r>
              <w:rPr>
                <w:rFonts w:ascii="Times New Roman" w:eastAsia="Times New Roman"/>
                <w:spacing w:val="-5"/>
                <w:sz w:val="24"/>
              </w:rPr>
              <w:t xml:space="preserve"> </w:t>
            </w:r>
            <w:r>
              <w:rPr>
                <w:spacing w:val="3"/>
                <w:sz w:val="24"/>
              </w:rPr>
              <w:t>日德州市生态环境保护委员会办公室印发的《关</w:t>
            </w:r>
          </w:p>
        </w:tc>
      </w:tr>
      <w:tr>
        <w:tblPrEx>
          <w:tblW w:w="0" w:type="auto"/>
          <w:tblInd w:w="1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/>
        </w:trPr>
        <w:tc>
          <w:tcPr>
            <w:tcW w:w="1541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709" w:type="dxa"/>
            <w:gridSpan w:val="5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66"/>
              <w:ind w:left="10" w:right="-15"/>
              <w:rPr>
                <w:sz w:val="24"/>
              </w:rPr>
            </w:pPr>
            <w:r>
              <w:rPr>
                <w:spacing w:val="4"/>
                <w:sz w:val="24"/>
              </w:rPr>
              <w:t>于德州市</w:t>
            </w:r>
            <w:r>
              <w:rPr>
                <w:rFonts w:ascii="Times New Roman" w:eastAsia="Times New Roman" w:hAnsi="Times New Roman"/>
                <w:spacing w:val="6"/>
                <w:sz w:val="24"/>
              </w:rPr>
              <w:t>“</w:t>
            </w:r>
            <w:r>
              <w:rPr>
                <w:spacing w:val="4"/>
                <w:sz w:val="24"/>
              </w:rPr>
              <w:t>三线一单</w:t>
            </w:r>
            <w:r>
              <w:rPr>
                <w:rFonts w:ascii="Times New Roman" w:eastAsia="Times New Roman" w:hAnsi="Times New Roman"/>
                <w:spacing w:val="3"/>
                <w:sz w:val="24"/>
              </w:rPr>
              <w:t>”</w:t>
            </w:r>
            <w:r>
              <w:rPr>
                <w:spacing w:val="-3"/>
                <w:sz w:val="24"/>
              </w:rPr>
              <w:t xml:space="preserve">生态环境分区管控方案 </w:t>
            </w:r>
            <w:r>
              <w:rPr>
                <w:rFonts w:ascii="Times New Roman" w:eastAsia="Times New Roman" w:hAnsi="Times New Roman"/>
                <w:sz w:val="24"/>
              </w:rPr>
              <w:t>2022</w:t>
            </w:r>
            <w:r>
              <w:rPr>
                <w:rFonts w:ascii="Times New Roman" w:eastAsia="Times New Roman" w:hAnsi="Times New Roman"/>
                <w:spacing w:val="-5"/>
                <w:sz w:val="24"/>
              </w:rPr>
              <w:t xml:space="preserve"> </w:t>
            </w:r>
            <w:r>
              <w:rPr>
                <w:spacing w:val="3"/>
                <w:sz w:val="24"/>
              </w:rPr>
              <w:t>年度更新内容的通知》</w:t>
            </w:r>
          </w:p>
        </w:tc>
      </w:tr>
      <w:tr>
        <w:tblPrEx>
          <w:tblW w:w="0" w:type="auto"/>
          <w:tblInd w:w="1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1"/>
        </w:trPr>
        <w:tc>
          <w:tcPr>
            <w:tcW w:w="1541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709" w:type="dxa"/>
            <w:gridSpan w:val="5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65"/>
              <w:ind w:left="10" w:right="-15"/>
              <w:rPr>
                <w:sz w:val="24"/>
              </w:rPr>
            </w:pPr>
            <w:r>
              <w:rPr>
                <w:sz w:val="24"/>
              </w:rPr>
              <w:t>（德环委办字〔</w:t>
            </w:r>
            <w:r>
              <w:rPr>
                <w:rFonts w:ascii="Times New Roman" w:eastAsia="Times New Roman"/>
                <w:sz w:val="24"/>
              </w:rPr>
              <w:t>2023</w:t>
            </w:r>
            <w:r>
              <w:rPr>
                <w:sz w:val="24"/>
              </w:rPr>
              <w:t>〕</w:t>
            </w:r>
            <w:r>
              <w:rPr>
                <w:rFonts w:ascii="Times New Roman" w:eastAsia="Times New Roman"/>
                <w:sz w:val="24"/>
              </w:rPr>
              <w:t>8</w:t>
            </w:r>
            <w:r>
              <w:rPr>
                <w:rFonts w:ascii="Times New Roman" w:eastAsia="Times New Roman"/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号</w:t>
            </w:r>
            <w:r>
              <w:rPr>
                <w:spacing w:val="3"/>
                <w:sz w:val="24"/>
              </w:rPr>
              <w:t>）</w:t>
            </w:r>
            <w:r>
              <w:rPr>
                <w:sz w:val="24"/>
              </w:rPr>
              <w:t>，属于乐陵市杨安镇环境管控单元，对相关</w:t>
            </w:r>
          </w:p>
        </w:tc>
      </w:tr>
      <w:tr>
        <w:tblPrEx>
          <w:tblW w:w="0" w:type="auto"/>
          <w:tblInd w:w="1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/>
        </w:trPr>
        <w:tc>
          <w:tcPr>
            <w:tcW w:w="1541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709" w:type="dxa"/>
            <w:gridSpan w:val="5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61"/>
              <w:ind w:left="10"/>
              <w:rPr>
                <w:sz w:val="24"/>
              </w:rPr>
            </w:pPr>
            <w:r>
              <w:rPr>
                <w:sz w:val="24"/>
              </w:rPr>
              <w:t>内容进行分析，分析如下：</w:t>
            </w:r>
          </w:p>
        </w:tc>
      </w:tr>
      <w:tr>
        <w:tblPrEx>
          <w:tblW w:w="0" w:type="auto"/>
          <w:tblInd w:w="1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/>
        </w:trPr>
        <w:tc>
          <w:tcPr>
            <w:tcW w:w="1541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709" w:type="dxa"/>
            <w:gridSpan w:val="5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73"/>
              <w:ind w:left="490"/>
              <w:rPr>
                <w:sz w:val="24"/>
              </w:rPr>
            </w:pPr>
            <w:bookmarkStart w:id="7" w:name="1、生态保护红线"/>
            <w:bookmarkEnd w:id="7"/>
            <w:r>
              <w:rPr>
                <w:rFonts w:ascii="Times New Roman" w:eastAsia="Times New Roman"/>
                <w:sz w:val="24"/>
              </w:rPr>
              <w:t>1</w:t>
            </w:r>
            <w:r>
              <w:rPr>
                <w:sz w:val="24"/>
              </w:rPr>
              <w:t>、生态保护红线</w:t>
            </w:r>
          </w:p>
        </w:tc>
      </w:tr>
      <w:tr>
        <w:tblPrEx>
          <w:tblW w:w="0" w:type="auto"/>
          <w:tblInd w:w="1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/>
        </w:trPr>
        <w:tc>
          <w:tcPr>
            <w:tcW w:w="1541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709" w:type="dxa"/>
            <w:gridSpan w:val="5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66"/>
              <w:ind w:left="490"/>
              <w:rPr>
                <w:sz w:val="24"/>
              </w:rPr>
            </w:pPr>
            <w:bookmarkStart w:id="8" w:name="（1）与生态保护红线的符合性"/>
            <w:bookmarkEnd w:id="8"/>
            <w:r>
              <w:rPr>
                <w:sz w:val="24"/>
              </w:rPr>
              <w:t>（</w:t>
            </w:r>
            <w:r>
              <w:rPr>
                <w:rFonts w:ascii="Times New Roman" w:eastAsia="Times New Roman"/>
                <w:sz w:val="24"/>
              </w:rPr>
              <w:t>1</w:t>
            </w:r>
            <w:r>
              <w:rPr>
                <w:sz w:val="24"/>
              </w:rPr>
              <w:t>）与生态保护红线的符合性</w:t>
            </w:r>
          </w:p>
        </w:tc>
      </w:tr>
      <w:tr>
        <w:tblPrEx>
          <w:tblW w:w="0" w:type="auto"/>
          <w:tblInd w:w="1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/>
        </w:trPr>
        <w:tc>
          <w:tcPr>
            <w:tcW w:w="1541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709" w:type="dxa"/>
            <w:gridSpan w:val="5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65"/>
              <w:ind w:left="490"/>
              <w:rPr>
                <w:sz w:val="24"/>
              </w:rPr>
            </w:pPr>
            <w:r>
              <w:rPr>
                <w:sz w:val="24"/>
              </w:rPr>
              <w:t xml:space="preserve">乐陵市周边共有 </w:t>
            </w:r>
            <w:r>
              <w:rPr>
                <w:rFonts w:ascii="Times New Roman" w:eastAsia="Times New Roman"/>
                <w:sz w:val="24"/>
              </w:rPr>
              <w:t xml:space="preserve">7 </w:t>
            </w:r>
            <w:r>
              <w:rPr>
                <w:sz w:val="24"/>
              </w:rPr>
              <w:t>处生态保护红线区，具体情况见下表。</w:t>
            </w:r>
          </w:p>
        </w:tc>
      </w:tr>
      <w:tr>
        <w:tblPrEx>
          <w:tblW w:w="0" w:type="auto"/>
          <w:tblInd w:w="1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69"/>
        </w:trPr>
        <w:tc>
          <w:tcPr>
            <w:tcW w:w="1541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709" w:type="dxa"/>
            <w:gridSpan w:val="5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65"/>
              <w:ind w:left="950" w:right="93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表 </w:t>
            </w:r>
            <w:r>
              <w:rPr>
                <w:rFonts w:ascii="Times New Roman" w:eastAsia="Times New Roman"/>
                <w:b/>
                <w:sz w:val="21"/>
              </w:rPr>
              <w:t xml:space="preserve">1-2 </w:t>
            </w:r>
            <w:r>
              <w:rPr>
                <w:b/>
                <w:sz w:val="21"/>
              </w:rPr>
              <w:t>乐陵市生态红线区域信息表</w:t>
            </w:r>
          </w:p>
        </w:tc>
      </w:tr>
      <w:tr>
        <w:tblPrEx>
          <w:tblW w:w="0" w:type="auto"/>
          <w:tblInd w:w="1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7"/>
        </w:trPr>
        <w:tc>
          <w:tcPr>
            <w:tcW w:w="1541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709" w:type="dxa"/>
            <w:gridSpan w:val="5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rPr>
                <w:rFonts w:ascii="黑体"/>
                <w:sz w:val="24"/>
              </w:rPr>
            </w:pPr>
          </w:p>
          <w:p>
            <w:pPr>
              <w:pStyle w:val="TableParagraph"/>
              <w:rPr>
                <w:rFonts w:ascii="黑体"/>
                <w:sz w:val="24"/>
              </w:rPr>
            </w:pPr>
          </w:p>
          <w:p>
            <w:pPr>
              <w:pStyle w:val="TableParagraph"/>
              <w:rPr>
                <w:rFonts w:ascii="黑体"/>
                <w:sz w:val="24"/>
              </w:rPr>
            </w:pPr>
          </w:p>
          <w:p>
            <w:pPr>
              <w:pStyle w:val="TableParagraph"/>
              <w:rPr>
                <w:rFonts w:ascii="黑体"/>
                <w:sz w:val="24"/>
              </w:rPr>
            </w:pPr>
          </w:p>
          <w:p>
            <w:pPr>
              <w:pStyle w:val="TableParagraph"/>
              <w:rPr>
                <w:rFonts w:ascii="黑体"/>
                <w:sz w:val="30"/>
              </w:rPr>
            </w:pPr>
          </w:p>
          <w:p>
            <w:pPr>
              <w:pStyle w:val="TableParagraph"/>
              <w:ind w:left="490"/>
              <w:rPr>
                <w:sz w:val="24"/>
              </w:rPr>
            </w:pPr>
            <w:r>
              <w:rPr>
                <w:sz w:val="24"/>
              </w:rPr>
              <w:t>由上表可知，拟建项目选址不在生态保护红线范围内。</w:t>
            </w:r>
          </w:p>
        </w:tc>
      </w:tr>
      <w:tr>
        <w:tblPrEx>
          <w:tblW w:w="0" w:type="auto"/>
          <w:tblInd w:w="1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/>
        </w:trPr>
        <w:tc>
          <w:tcPr>
            <w:tcW w:w="1541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709" w:type="dxa"/>
            <w:gridSpan w:val="5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75"/>
              <w:ind w:left="490"/>
              <w:rPr>
                <w:sz w:val="24"/>
              </w:rPr>
            </w:pPr>
            <w:bookmarkStart w:id="9" w:name="（2）与一般生态空间的符合性"/>
            <w:bookmarkEnd w:id="9"/>
            <w:r>
              <w:rPr>
                <w:sz w:val="24"/>
              </w:rPr>
              <w:t>（</w:t>
            </w:r>
            <w:r>
              <w:rPr>
                <w:rFonts w:ascii="Times New Roman" w:eastAsia="Times New Roman"/>
                <w:sz w:val="24"/>
              </w:rPr>
              <w:t>2</w:t>
            </w:r>
            <w:r>
              <w:rPr>
                <w:sz w:val="24"/>
              </w:rPr>
              <w:t>）与一般生态空间的符合性</w:t>
            </w:r>
          </w:p>
        </w:tc>
      </w:tr>
      <w:tr>
        <w:tblPrEx>
          <w:tblW w:w="0" w:type="auto"/>
          <w:tblInd w:w="1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/>
        </w:trPr>
        <w:tc>
          <w:tcPr>
            <w:tcW w:w="1541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709" w:type="dxa"/>
            <w:gridSpan w:val="5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65"/>
              <w:ind w:left="490" w:right="-15"/>
              <w:rPr>
                <w:sz w:val="24"/>
              </w:rPr>
            </w:pPr>
            <w:r>
              <w:rPr>
                <w:spacing w:val="9"/>
                <w:sz w:val="24"/>
              </w:rPr>
              <w:t>在生态保护红线的基础上，按照</w:t>
            </w:r>
            <w:r>
              <w:rPr>
                <w:rFonts w:ascii="Times New Roman" w:eastAsia="Times New Roman" w:hAnsi="Times New Roman"/>
                <w:spacing w:val="8"/>
                <w:sz w:val="24"/>
              </w:rPr>
              <w:t>“</w:t>
            </w:r>
            <w:r>
              <w:rPr>
                <w:spacing w:val="9"/>
                <w:sz w:val="24"/>
              </w:rPr>
              <w:t>应划则划</w:t>
            </w:r>
            <w:r>
              <w:rPr>
                <w:rFonts w:ascii="Times New Roman" w:eastAsia="Times New Roman" w:hAnsi="Times New Roman"/>
                <w:spacing w:val="8"/>
                <w:sz w:val="24"/>
              </w:rPr>
              <w:t>”</w:t>
            </w:r>
            <w:r>
              <w:rPr>
                <w:spacing w:val="8"/>
                <w:sz w:val="24"/>
              </w:rPr>
              <w:t>的原则划定一般生态空</w:t>
            </w:r>
          </w:p>
        </w:tc>
      </w:tr>
      <w:tr>
        <w:tblPrEx>
          <w:tblW w:w="0" w:type="auto"/>
          <w:tblInd w:w="1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/>
        </w:trPr>
        <w:tc>
          <w:tcPr>
            <w:tcW w:w="1541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709" w:type="dxa"/>
            <w:gridSpan w:val="5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66"/>
              <w:ind w:left="10" w:right="-1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间，德州市一般生态空间总面积 </w:t>
            </w:r>
            <w:r>
              <w:rPr>
                <w:rFonts w:ascii="Times New Roman" w:eastAsia="Times New Roman" w:hAnsi="Times New Roman"/>
                <w:sz w:val="24"/>
              </w:rPr>
              <w:t>574.60km²</w:t>
            </w:r>
            <w:r>
              <w:rPr>
                <w:spacing w:val="-3"/>
                <w:sz w:val="24"/>
              </w:rPr>
              <w:t xml:space="preserve">，占全市国土面积的 </w:t>
            </w:r>
            <w:r>
              <w:rPr>
                <w:rFonts w:ascii="Times New Roman" w:eastAsia="Times New Roman" w:hAnsi="Times New Roman"/>
                <w:sz w:val="24"/>
              </w:rPr>
              <w:t>5.55%</w:t>
            </w:r>
            <w:r>
              <w:rPr>
                <w:sz w:val="24"/>
              </w:rPr>
              <w:t>，</w:t>
            </w:r>
          </w:p>
        </w:tc>
      </w:tr>
      <w:tr>
        <w:tblPrEx>
          <w:tblW w:w="0" w:type="auto"/>
          <w:tblInd w:w="1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8"/>
        </w:trPr>
        <w:tc>
          <w:tcPr>
            <w:tcW w:w="1541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709" w:type="dxa"/>
            <w:gridSpan w:val="5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61"/>
              <w:ind w:left="10" w:right="-15"/>
              <w:rPr>
                <w:sz w:val="24"/>
              </w:rPr>
            </w:pPr>
            <w:r>
              <w:rPr>
                <w:spacing w:val="-1"/>
                <w:sz w:val="24"/>
              </w:rPr>
              <w:t>包括未纳入生态保护红线的森林公园、湿地公园、饮用水水源地保护区以</w:t>
            </w:r>
          </w:p>
        </w:tc>
      </w:tr>
      <w:tr>
        <w:tblPrEx>
          <w:tblW w:w="0" w:type="auto"/>
          <w:tblInd w:w="1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/>
        </w:trPr>
        <w:tc>
          <w:tcPr>
            <w:tcW w:w="1541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709" w:type="dxa"/>
            <w:gridSpan w:val="5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70"/>
              <w:ind w:left="10" w:right="-15"/>
              <w:rPr>
                <w:sz w:val="24"/>
              </w:rPr>
            </w:pPr>
            <w:r>
              <w:rPr>
                <w:spacing w:val="-1"/>
                <w:sz w:val="24"/>
              </w:rPr>
              <w:t>及拟划定的饮用水水源地保护区、公园绿地、公益林，除此之外还包括评</w:t>
            </w:r>
          </w:p>
        </w:tc>
      </w:tr>
      <w:tr>
        <w:tblPrEx>
          <w:tblW w:w="0" w:type="auto"/>
          <w:tblInd w:w="1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/>
        </w:trPr>
        <w:tc>
          <w:tcPr>
            <w:tcW w:w="1541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709" w:type="dxa"/>
            <w:gridSpan w:val="5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70"/>
              <w:ind w:left="10" w:right="-15"/>
              <w:rPr>
                <w:sz w:val="24"/>
              </w:rPr>
            </w:pPr>
            <w:r>
              <w:rPr>
                <w:spacing w:val="-1"/>
                <w:sz w:val="24"/>
              </w:rPr>
              <w:t>价确定的生态系统服务功能极重要区、重要区及生态环境极敏感区、敏感</w:t>
            </w:r>
          </w:p>
        </w:tc>
      </w:tr>
      <w:tr>
        <w:tblPrEx>
          <w:tblW w:w="0" w:type="auto"/>
          <w:tblInd w:w="1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1"/>
        </w:trPr>
        <w:tc>
          <w:tcPr>
            <w:tcW w:w="1541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709" w:type="dxa"/>
            <w:gridSpan w:val="5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69"/>
              <w:ind w:left="10"/>
              <w:rPr>
                <w:sz w:val="24"/>
              </w:rPr>
            </w:pPr>
            <w:r>
              <w:rPr>
                <w:sz w:val="24"/>
              </w:rPr>
              <w:t>区。</w:t>
            </w:r>
          </w:p>
        </w:tc>
      </w:tr>
      <w:tr>
        <w:tblPrEx>
          <w:tblW w:w="0" w:type="auto"/>
          <w:tblInd w:w="1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/>
        </w:trPr>
        <w:tc>
          <w:tcPr>
            <w:tcW w:w="1541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709" w:type="dxa"/>
            <w:gridSpan w:val="5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73"/>
              <w:ind w:left="490" w:right="-15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拟建项目位于山东省德州市乐陵市杨安镇 </w:t>
            </w:r>
            <w:r>
              <w:rPr>
                <w:rFonts w:ascii="Times New Roman" w:eastAsia="Times New Roman"/>
                <w:sz w:val="24"/>
              </w:rPr>
              <w:t>248</w:t>
            </w:r>
            <w:r>
              <w:rPr>
                <w:rFonts w:ascii="Times New Roman" w:eastAsia="Times New Roman"/>
                <w:spacing w:val="-4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>省道西侧、</w:t>
            </w:r>
            <w:r>
              <w:rPr>
                <w:rFonts w:ascii="Times New Roman" w:eastAsia="Times New Roman"/>
                <w:sz w:val="24"/>
              </w:rPr>
              <w:t>323</w:t>
            </w:r>
            <w:r>
              <w:rPr>
                <w:rFonts w:ascii="Times New Roman" w:eastAsia="Times New Roman"/>
                <w:spacing w:val="-5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>省道南</w:t>
            </w:r>
          </w:p>
        </w:tc>
      </w:tr>
      <w:tr>
        <w:tblPrEx>
          <w:tblW w:w="0" w:type="auto"/>
          <w:tblInd w:w="1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/>
        </w:trPr>
        <w:tc>
          <w:tcPr>
            <w:tcW w:w="1541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709" w:type="dxa"/>
            <w:gridSpan w:val="5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61"/>
              <w:ind w:left="10"/>
              <w:rPr>
                <w:sz w:val="24"/>
              </w:rPr>
            </w:pPr>
            <w:r>
              <w:rPr>
                <w:sz w:val="24"/>
              </w:rPr>
              <w:t>侧，未包含在一般生态空间范围内。</w:t>
            </w:r>
          </w:p>
        </w:tc>
      </w:tr>
      <w:tr>
        <w:tblPrEx>
          <w:tblW w:w="0" w:type="auto"/>
          <w:tblInd w:w="1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8"/>
        </w:trPr>
        <w:tc>
          <w:tcPr>
            <w:tcW w:w="1541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709" w:type="dxa"/>
            <w:gridSpan w:val="5"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73"/>
              <w:ind w:left="490"/>
              <w:rPr>
                <w:sz w:val="24"/>
              </w:rPr>
            </w:pPr>
            <w:r>
              <w:rPr>
                <w:rFonts w:ascii="Times New Roman" w:eastAsia="Times New Roman"/>
                <w:sz w:val="24"/>
              </w:rPr>
              <w:t>2</w:t>
            </w:r>
            <w:r>
              <w:rPr>
                <w:sz w:val="24"/>
              </w:rPr>
              <w:t>、环境质量底线</w:t>
            </w:r>
          </w:p>
        </w:tc>
      </w:tr>
    </w:tbl>
    <w:p>
      <w:pPr>
        <w:rPr>
          <w:sz w:val="2"/>
          <w:szCs w:val="2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o:spid="_x0000_s1025" type="#_x0000_t202" style="width:377.2pt;height:163.3pt;margin-top:329.5pt;margin-left:147.7pt;mso-height-relative:page;mso-position-horizontal-relative:page;mso-position-vertical-relative:page;mso-width-relative:page;position:absolute;z-index:251658240" coordsize="21600,21600" filled="f" stroked="f">
            <v:stroke joinstyle="miter"/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1976"/>
                    <w:gridCol w:w="4070"/>
                    <w:gridCol w:w="1483"/>
                  </w:tblGrid>
                  <w:tr>
                    <w:tblPrEx>
                      <w:tblW w:w="0" w:type="auto"/>
                      <w:tblInd w:w="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97"/>
                    </w:trPr>
                    <w:tc>
                      <w:tcPr>
                        <w:tcW w:w="1976" w:type="dxa"/>
                      </w:tcPr>
                      <w:p>
                        <w:pPr>
                          <w:pStyle w:val="TableParagraph"/>
                          <w:spacing w:before="61"/>
                          <w:ind w:left="203" w:right="187"/>
                          <w:jc w:val="center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编号</w:t>
                        </w:r>
                      </w:p>
                    </w:tc>
                    <w:tc>
                      <w:tcPr>
                        <w:tcW w:w="4070" w:type="dxa"/>
                      </w:tcPr>
                      <w:p>
                        <w:pPr>
                          <w:pStyle w:val="TableParagraph"/>
                          <w:spacing w:before="61"/>
                          <w:ind w:left="124" w:right="106"/>
                          <w:jc w:val="center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要素</w:t>
                        </w:r>
                      </w:p>
                    </w:tc>
                    <w:tc>
                      <w:tcPr>
                        <w:tcW w:w="1483" w:type="dxa"/>
                      </w:tcPr>
                      <w:p>
                        <w:pPr>
                          <w:pStyle w:val="TableParagraph"/>
                          <w:spacing w:before="61"/>
                          <w:ind w:left="124" w:right="108"/>
                          <w:jc w:val="center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面积（</w:t>
                        </w:r>
                        <w:r>
                          <w:rPr>
                            <w:rFonts w:ascii="Times New Roman" w:eastAsia="Times New Roman"/>
                            <w:b/>
                            <w:sz w:val="21"/>
                          </w:rPr>
                          <w:t>km</w:t>
                        </w:r>
                        <w:r>
                          <w:rPr>
                            <w:rFonts w:ascii="Times New Roman" w:eastAsia="Times New Roman"/>
                            <w:b/>
                            <w:position w:val="7"/>
                            <w:sz w:val="13"/>
                          </w:rPr>
                          <w:t>2</w:t>
                        </w:r>
                        <w:r>
                          <w:rPr>
                            <w:b/>
                            <w:sz w:val="21"/>
                          </w:rPr>
                          <w:t>）</w:t>
                        </w:r>
                      </w:p>
                    </w:tc>
                  </w:tr>
                  <w:tr>
                    <w:tblPrEx>
                      <w:tblW w:w="0" w:type="auto"/>
                      <w:tblInd w:w="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97"/>
                    </w:trPr>
                    <w:tc>
                      <w:tcPr>
                        <w:tcW w:w="1976" w:type="dxa"/>
                      </w:tcPr>
                      <w:p>
                        <w:pPr>
                          <w:pStyle w:val="TableParagraph"/>
                          <w:spacing w:before="76"/>
                          <w:ind w:left="209" w:right="187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sz w:val="21"/>
                          </w:rPr>
                          <w:t>YS371481195032</w:t>
                        </w:r>
                      </w:p>
                    </w:tc>
                    <w:tc>
                      <w:tcPr>
                        <w:tcW w:w="4070" w:type="dxa"/>
                      </w:tcPr>
                      <w:p>
                        <w:pPr>
                          <w:pStyle w:val="TableParagraph"/>
                          <w:spacing w:before="62"/>
                          <w:ind w:left="122" w:right="116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两河三堤地方级湿地自然公园周边区域</w:t>
                        </w:r>
                      </w:p>
                    </w:tc>
                    <w:tc>
                      <w:tcPr>
                        <w:tcW w:w="1483" w:type="dxa"/>
                      </w:tcPr>
                      <w:p>
                        <w:pPr>
                          <w:pStyle w:val="TableParagraph"/>
                          <w:spacing w:before="76"/>
                          <w:ind w:left="116" w:right="108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sz w:val="21"/>
                          </w:rPr>
                          <w:t>0.19</w:t>
                        </w:r>
                      </w:p>
                    </w:tc>
                  </w:tr>
                  <w:tr>
                    <w:tblPrEx>
                      <w:tblW w:w="0" w:type="auto"/>
                      <w:tblInd w:w="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96"/>
                    </w:trPr>
                    <w:tc>
                      <w:tcPr>
                        <w:tcW w:w="1976" w:type="dxa"/>
                      </w:tcPr>
                      <w:p>
                        <w:pPr>
                          <w:pStyle w:val="TableParagraph"/>
                          <w:spacing w:before="75"/>
                          <w:ind w:left="209" w:right="187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sz w:val="21"/>
                          </w:rPr>
                          <w:t>YS371481195033</w:t>
                        </w:r>
                      </w:p>
                    </w:tc>
                    <w:tc>
                      <w:tcPr>
                        <w:tcW w:w="4070" w:type="dxa"/>
                      </w:tcPr>
                      <w:p>
                        <w:pPr>
                          <w:pStyle w:val="TableParagraph"/>
                          <w:spacing w:before="61"/>
                          <w:ind w:left="124" w:right="116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德州马颊河地方级湿地自然公园（试点）</w:t>
                        </w:r>
                      </w:p>
                    </w:tc>
                    <w:tc>
                      <w:tcPr>
                        <w:tcW w:w="1483" w:type="dxa"/>
                      </w:tcPr>
                      <w:p>
                        <w:pPr>
                          <w:pStyle w:val="TableParagraph"/>
                          <w:spacing w:before="75"/>
                          <w:ind w:left="116" w:right="108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sz w:val="21"/>
                          </w:rPr>
                          <w:t>2.76</w:t>
                        </w:r>
                      </w:p>
                    </w:tc>
                  </w:tr>
                  <w:tr>
                    <w:tblPrEx>
                      <w:tblW w:w="0" w:type="auto"/>
                      <w:tblInd w:w="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97"/>
                    </w:trPr>
                    <w:tc>
                      <w:tcPr>
                        <w:tcW w:w="1976" w:type="dxa"/>
                      </w:tcPr>
                      <w:p>
                        <w:pPr>
                          <w:pStyle w:val="TableParagraph"/>
                          <w:spacing w:before="76"/>
                          <w:ind w:left="209" w:right="187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sz w:val="21"/>
                          </w:rPr>
                          <w:t>YS371481195034</w:t>
                        </w:r>
                      </w:p>
                    </w:tc>
                    <w:tc>
                      <w:tcPr>
                        <w:tcW w:w="4070" w:type="dxa"/>
                      </w:tcPr>
                      <w:p>
                        <w:pPr>
                          <w:pStyle w:val="TableParagraph"/>
                          <w:spacing w:before="62"/>
                          <w:ind w:left="122" w:right="116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丁坞水库</w:t>
                        </w:r>
                      </w:p>
                    </w:tc>
                    <w:tc>
                      <w:tcPr>
                        <w:tcW w:w="1483" w:type="dxa"/>
                      </w:tcPr>
                      <w:p>
                        <w:pPr>
                          <w:pStyle w:val="TableParagraph"/>
                          <w:spacing w:before="76"/>
                          <w:ind w:left="116" w:right="108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sz w:val="21"/>
                          </w:rPr>
                          <w:t>1.25</w:t>
                        </w:r>
                      </w:p>
                    </w:tc>
                  </w:tr>
                  <w:tr>
                    <w:tblPrEx>
                      <w:tblW w:w="0" w:type="auto"/>
                      <w:tblInd w:w="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97"/>
                    </w:trPr>
                    <w:tc>
                      <w:tcPr>
                        <w:tcW w:w="1976" w:type="dxa"/>
                      </w:tcPr>
                      <w:p>
                        <w:pPr>
                          <w:pStyle w:val="TableParagraph"/>
                          <w:spacing w:before="77"/>
                          <w:ind w:left="209" w:right="187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sz w:val="21"/>
                          </w:rPr>
                          <w:t>YS371481195035</w:t>
                        </w:r>
                      </w:p>
                    </w:tc>
                    <w:tc>
                      <w:tcPr>
                        <w:tcW w:w="4070" w:type="dxa"/>
                      </w:tcPr>
                      <w:p>
                        <w:pPr>
                          <w:pStyle w:val="TableParagraph"/>
                          <w:spacing w:before="63"/>
                          <w:ind w:left="124" w:right="116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马颊河</w:t>
                        </w:r>
                      </w:p>
                    </w:tc>
                    <w:tc>
                      <w:tcPr>
                        <w:tcW w:w="1483" w:type="dxa"/>
                      </w:tcPr>
                      <w:p>
                        <w:pPr>
                          <w:pStyle w:val="TableParagraph"/>
                          <w:spacing w:before="77"/>
                          <w:ind w:left="116" w:right="108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sz w:val="21"/>
                          </w:rPr>
                          <w:t>1.88</w:t>
                        </w:r>
                      </w:p>
                    </w:tc>
                  </w:tr>
                  <w:tr>
                    <w:tblPrEx>
                      <w:tblW w:w="0" w:type="auto"/>
                      <w:tblInd w:w="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96"/>
                    </w:trPr>
                    <w:tc>
                      <w:tcPr>
                        <w:tcW w:w="1976" w:type="dxa"/>
                      </w:tcPr>
                      <w:p>
                        <w:pPr>
                          <w:pStyle w:val="TableParagraph"/>
                          <w:spacing w:before="75"/>
                          <w:ind w:left="209" w:right="187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sz w:val="21"/>
                          </w:rPr>
                          <w:t>YS371481195036</w:t>
                        </w:r>
                      </w:p>
                    </w:tc>
                    <w:tc>
                      <w:tcPr>
                        <w:tcW w:w="4070" w:type="dxa"/>
                      </w:tcPr>
                      <w:p>
                        <w:pPr>
                          <w:pStyle w:val="TableParagraph"/>
                          <w:spacing w:before="61"/>
                          <w:ind w:left="122" w:right="116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山东跃马河国家湿地自然公园（试点）</w:t>
                        </w:r>
                      </w:p>
                    </w:tc>
                    <w:tc>
                      <w:tcPr>
                        <w:tcW w:w="1483" w:type="dxa"/>
                      </w:tcPr>
                      <w:p>
                        <w:pPr>
                          <w:pStyle w:val="TableParagraph"/>
                          <w:spacing w:before="75"/>
                          <w:ind w:left="116" w:right="108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sz w:val="21"/>
                          </w:rPr>
                          <w:t>1.59</w:t>
                        </w:r>
                      </w:p>
                    </w:tc>
                  </w:tr>
                  <w:tr>
                    <w:tblPrEx>
                      <w:tblW w:w="0" w:type="auto"/>
                      <w:tblInd w:w="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97"/>
                    </w:trPr>
                    <w:tc>
                      <w:tcPr>
                        <w:tcW w:w="1976" w:type="dxa"/>
                      </w:tcPr>
                      <w:p>
                        <w:pPr>
                          <w:pStyle w:val="TableParagraph"/>
                          <w:spacing w:before="76"/>
                          <w:ind w:left="209" w:right="187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sz w:val="21"/>
                          </w:rPr>
                          <w:t>YS371481195037</w:t>
                        </w:r>
                      </w:p>
                    </w:tc>
                    <w:tc>
                      <w:tcPr>
                        <w:tcW w:w="4070" w:type="dxa"/>
                      </w:tcPr>
                      <w:p>
                        <w:pPr>
                          <w:pStyle w:val="TableParagraph"/>
                          <w:spacing w:before="62"/>
                          <w:ind w:left="122" w:right="116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杨安镇水库</w:t>
                        </w:r>
                      </w:p>
                    </w:tc>
                    <w:tc>
                      <w:tcPr>
                        <w:tcW w:w="1483" w:type="dxa"/>
                      </w:tcPr>
                      <w:p>
                        <w:pPr>
                          <w:pStyle w:val="TableParagraph"/>
                          <w:spacing w:before="76"/>
                          <w:ind w:left="116" w:right="108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sz w:val="21"/>
                          </w:rPr>
                          <w:t>1.20</w:t>
                        </w:r>
                      </w:p>
                    </w:tc>
                  </w:tr>
                  <w:tr>
                    <w:tblPrEx>
                      <w:tblW w:w="0" w:type="auto"/>
                      <w:tblInd w:w="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96"/>
                    </w:trPr>
                    <w:tc>
                      <w:tcPr>
                        <w:tcW w:w="1976" w:type="dxa"/>
                      </w:tcPr>
                      <w:p>
                        <w:pPr>
                          <w:pStyle w:val="TableParagraph"/>
                          <w:spacing w:before="75"/>
                          <w:ind w:left="209" w:right="187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sz w:val="21"/>
                          </w:rPr>
                          <w:t>YS371481195038</w:t>
                        </w:r>
                      </w:p>
                    </w:tc>
                    <w:tc>
                      <w:tcPr>
                        <w:tcW w:w="4070" w:type="dxa"/>
                      </w:tcPr>
                      <w:p>
                        <w:pPr>
                          <w:pStyle w:val="TableParagraph"/>
                          <w:spacing w:before="61"/>
                          <w:ind w:left="124" w:right="116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跃丰河</w:t>
                        </w:r>
                      </w:p>
                    </w:tc>
                    <w:tc>
                      <w:tcPr>
                        <w:tcW w:w="1483" w:type="dxa"/>
                      </w:tcPr>
                      <w:p>
                        <w:pPr>
                          <w:pStyle w:val="TableParagraph"/>
                          <w:spacing w:before="75"/>
                          <w:ind w:left="116" w:right="108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sz w:val="21"/>
                          </w:rPr>
                          <w:t>0.52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</v:shape>
        </w:pict>
      </w:r>
    </w:p>
    <w:p>
      <w:pPr>
        <w:spacing w:after="0"/>
        <w:rPr>
          <w:sz w:val="2"/>
          <w:szCs w:val="2"/>
        </w:rPr>
        <w:sectPr>
          <w:footerReference w:type="default" r:id="rId8"/>
          <w:pgSz w:w="11910" w:h="16840"/>
          <w:pgMar w:top="1540" w:right="1200" w:bottom="940" w:left="1220" w:header="0" w:footer="743" w:gutter="0"/>
          <w:pgNumType w:start="4"/>
          <w:cols w:num="1"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41"/>
        <w:gridCol w:w="88"/>
        <w:gridCol w:w="858"/>
        <w:gridCol w:w="848"/>
        <w:gridCol w:w="4256"/>
        <w:gridCol w:w="1565"/>
        <w:gridCol w:w="94"/>
      </w:tblGrid>
      <w:tr>
        <w:tblPrEx>
          <w:tblW w:w="0" w:type="auto"/>
          <w:tblInd w:w="121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62"/>
        </w:trPr>
        <w:tc>
          <w:tcPr>
            <w:tcW w:w="1541" w:type="dxa"/>
            <w:vMerge w:val="restart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709" w:type="dxa"/>
            <w:gridSpan w:val="6"/>
            <w:tcBorders>
              <w:right w:val="single" w:sz="8" w:space="0" w:color="000000"/>
            </w:tcBorders>
          </w:tcPr>
          <w:p>
            <w:pPr>
              <w:pStyle w:val="TableParagraph"/>
              <w:spacing w:before="1"/>
              <w:ind w:left="950" w:right="93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表 </w:t>
            </w:r>
            <w:r>
              <w:rPr>
                <w:rFonts w:ascii="Times New Roman" w:eastAsia="Times New Roman"/>
                <w:b/>
                <w:sz w:val="21"/>
              </w:rPr>
              <w:t xml:space="preserve">1-3 </w:t>
            </w:r>
            <w:r>
              <w:rPr>
                <w:b/>
                <w:sz w:val="21"/>
              </w:rPr>
              <w:t>环境质量底线符合性分析</w:t>
            </w:r>
          </w:p>
          <w:p>
            <w:pPr>
              <w:pStyle w:val="TableParagraph"/>
              <w:rPr>
                <w:rFonts w:ascii="黑体"/>
                <w:sz w:val="22"/>
              </w:rPr>
            </w:pPr>
          </w:p>
          <w:p>
            <w:pPr>
              <w:pStyle w:val="TableParagraph"/>
              <w:rPr>
                <w:rFonts w:ascii="黑体"/>
                <w:sz w:val="22"/>
              </w:rPr>
            </w:pPr>
          </w:p>
          <w:p>
            <w:pPr>
              <w:pStyle w:val="TableParagraph"/>
              <w:rPr>
                <w:rFonts w:ascii="黑体"/>
                <w:sz w:val="22"/>
              </w:rPr>
            </w:pPr>
          </w:p>
          <w:p>
            <w:pPr>
              <w:pStyle w:val="TableParagraph"/>
              <w:rPr>
                <w:rFonts w:ascii="黑体"/>
                <w:sz w:val="22"/>
              </w:rPr>
            </w:pPr>
          </w:p>
          <w:p>
            <w:pPr>
              <w:pStyle w:val="TableParagraph"/>
              <w:rPr>
                <w:rFonts w:ascii="黑体"/>
                <w:sz w:val="22"/>
              </w:rPr>
            </w:pPr>
          </w:p>
          <w:p>
            <w:pPr>
              <w:pStyle w:val="TableParagraph"/>
              <w:rPr>
                <w:rFonts w:ascii="黑体"/>
                <w:sz w:val="22"/>
              </w:rPr>
            </w:pPr>
          </w:p>
          <w:p>
            <w:pPr>
              <w:pStyle w:val="TableParagraph"/>
              <w:rPr>
                <w:rFonts w:ascii="黑体"/>
                <w:sz w:val="22"/>
              </w:rPr>
            </w:pPr>
          </w:p>
          <w:p>
            <w:pPr>
              <w:pStyle w:val="TableParagraph"/>
              <w:rPr>
                <w:rFonts w:ascii="黑体"/>
                <w:sz w:val="22"/>
              </w:rPr>
            </w:pPr>
          </w:p>
          <w:p>
            <w:pPr>
              <w:pStyle w:val="TableParagraph"/>
              <w:rPr>
                <w:rFonts w:ascii="黑体"/>
                <w:sz w:val="22"/>
              </w:rPr>
            </w:pPr>
          </w:p>
          <w:p>
            <w:pPr>
              <w:pStyle w:val="TableParagraph"/>
              <w:rPr>
                <w:rFonts w:ascii="黑体"/>
                <w:sz w:val="22"/>
              </w:rPr>
            </w:pPr>
          </w:p>
          <w:p>
            <w:pPr>
              <w:pStyle w:val="TableParagraph"/>
              <w:rPr>
                <w:rFonts w:ascii="黑体"/>
                <w:sz w:val="22"/>
              </w:rPr>
            </w:pPr>
          </w:p>
          <w:p>
            <w:pPr>
              <w:pStyle w:val="TableParagraph"/>
              <w:rPr>
                <w:rFonts w:ascii="黑体"/>
                <w:sz w:val="22"/>
              </w:rPr>
            </w:pPr>
          </w:p>
          <w:p>
            <w:pPr>
              <w:pStyle w:val="TableParagraph"/>
              <w:rPr>
                <w:rFonts w:ascii="黑体"/>
                <w:sz w:val="22"/>
              </w:rPr>
            </w:pPr>
          </w:p>
          <w:p>
            <w:pPr>
              <w:pStyle w:val="TableParagraph"/>
              <w:rPr>
                <w:rFonts w:ascii="黑体"/>
                <w:sz w:val="22"/>
              </w:rPr>
            </w:pPr>
          </w:p>
          <w:p>
            <w:pPr>
              <w:pStyle w:val="TableParagraph"/>
              <w:rPr>
                <w:rFonts w:ascii="黑体"/>
                <w:sz w:val="22"/>
              </w:rPr>
            </w:pPr>
          </w:p>
          <w:p>
            <w:pPr>
              <w:pStyle w:val="TableParagraph"/>
              <w:rPr>
                <w:rFonts w:ascii="黑体"/>
                <w:sz w:val="22"/>
              </w:rPr>
            </w:pPr>
          </w:p>
          <w:p>
            <w:pPr>
              <w:pStyle w:val="TableParagraph"/>
              <w:rPr>
                <w:rFonts w:ascii="黑体"/>
                <w:sz w:val="22"/>
              </w:rPr>
            </w:pPr>
          </w:p>
          <w:p>
            <w:pPr>
              <w:pStyle w:val="TableParagraph"/>
              <w:rPr>
                <w:rFonts w:ascii="黑体"/>
                <w:sz w:val="22"/>
              </w:rPr>
            </w:pPr>
          </w:p>
          <w:p>
            <w:pPr>
              <w:pStyle w:val="TableParagraph"/>
              <w:rPr>
                <w:rFonts w:ascii="黑体"/>
                <w:sz w:val="22"/>
              </w:rPr>
            </w:pPr>
          </w:p>
          <w:p>
            <w:pPr>
              <w:pStyle w:val="TableParagraph"/>
              <w:rPr>
                <w:rFonts w:ascii="黑体"/>
                <w:sz w:val="22"/>
              </w:rPr>
            </w:pPr>
          </w:p>
          <w:p>
            <w:pPr>
              <w:pStyle w:val="TableParagraph"/>
              <w:rPr>
                <w:rFonts w:ascii="黑体"/>
                <w:sz w:val="22"/>
              </w:rPr>
            </w:pPr>
          </w:p>
          <w:p>
            <w:pPr>
              <w:pStyle w:val="TableParagraph"/>
              <w:rPr>
                <w:rFonts w:ascii="黑体"/>
                <w:sz w:val="22"/>
              </w:rPr>
            </w:pPr>
          </w:p>
          <w:p>
            <w:pPr>
              <w:pStyle w:val="TableParagraph"/>
              <w:rPr>
                <w:rFonts w:ascii="黑体"/>
                <w:sz w:val="22"/>
              </w:rPr>
            </w:pPr>
          </w:p>
          <w:p>
            <w:pPr>
              <w:pStyle w:val="TableParagraph"/>
              <w:rPr>
                <w:rFonts w:ascii="黑体"/>
                <w:sz w:val="22"/>
              </w:rPr>
            </w:pPr>
          </w:p>
          <w:p>
            <w:pPr>
              <w:pStyle w:val="TableParagraph"/>
              <w:rPr>
                <w:rFonts w:ascii="黑体"/>
                <w:sz w:val="22"/>
              </w:rPr>
            </w:pPr>
          </w:p>
          <w:p>
            <w:pPr>
              <w:pStyle w:val="TableParagraph"/>
              <w:spacing w:before="6"/>
              <w:rPr>
                <w:rFonts w:ascii="黑体"/>
                <w:sz w:val="16"/>
              </w:rPr>
            </w:pPr>
          </w:p>
          <w:p>
            <w:pPr>
              <w:pStyle w:val="TableParagraph"/>
              <w:ind w:left="490"/>
              <w:rPr>
                <w:sz w:val="24"/>
              </w:rPr>
            </w:pPr>
            <w:r>
              <w:rPr>
                <w:rFonts w:ascii="Times New Roman" w:eastAsia="Times New Roman"/>
                <w:sz w:val="24"/>
              </w:rPr>
              <w:t>3</w:t>
            </w:r>
            <w:r>
              <w:rPr>
                <w:sz w:val="24"/>
              </w:rPr>
              <w:t>、资源利用上线</w:t>
            </w:r>
          </w:p>
          <w:p>
            <w:pPr>
              <w:pStyle w:val="TableParagraph"/>
              <w:spacing w:before="159" w:line="247" w:lineRule="exact"/>
              <w:ind w:left="950" w:right="93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表 </w:t>
            </w:r>
            <w:r>
              <w:rPr>
                <w:rFonts w:ascii="Times New Roman" w:eastAsia="Times New Roman"/>
                <w:b/>
                <w:sz w:val="21"/>
              </w:rPr>
              <w:t xml:space="preserve">1-4 </w:t>
            </w:r>
            <w:r>
              <w:rPr>
                <w:b/>
                <w:sz w:val="21"/>
              </w:rPr>
              <w:t>资源利用上线符合性分析</w:t>
            </w:r>
          </w:p>
        </w:tc>
      </w:tr>
      <w:tr>
        <w:tblPrEx>
          <w:tblW w:w="0" w:type="auto"/>
          <w:tblInd w:w="1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7"/>
        </w:trPr>
        <w:tc>
          <w:tcPr>
            <w:tcW w:w="1541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" w:type="dxa"/>
            <w:vMerge w:val="restart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6" w:type="dxa"/>
            <w:gridSpan w:val="2"/>
          </w:tcPr>
          <w:p>
            <w:pPr>
              <w:pStyle w:val="TableParagraph"/>
              <w:spacing w:before="59"/>
              <w:ind w:left="558"/>
              <w:rPr>
                <w:b/>
                <w:sz w:val="21"/>
              </w:rPr>
            </w:pPr>
            <w:r>
              <w:rPr>
                <w:b/>
                <w:sz w:val="21"/>
              </w:rPr>
              <w:t>管控区</w:t>
            </w:r>
          </w:p>
        </w:tc>
        <w:tc>
          <w:tcPr>
            <w:tcW w:w="4256" w:type="dxa"/>
          </w:tcPr>
          <w:p>
            <w:pPr>
              <w:pStyle w:val="TableParagraph"/>
              <w:spacing w:before="59"/>
              <w:ind w:left="118" w:right="9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管控要求</w:t>
            </w:r>
          </w:p>
        </w:tc>
        <w:tc>
          <w:tcPr>
            <w:tcW w:w="1565" w:type="dxa"/>
          </w:tcPr>
          <w:p>
            <w:pPr>
              <w:pStyle w:val="TableParagraph"/>
              <w:spacing w:before="59"/>
              <w:ind w:left="286"/>
              <w:rPr>
                <w:b/>
                <w:sz w:val="21"/>
              </w:rPr>
            </w:pPr>
            <w:r>
              <w:rPr>
                <w:b/>
                <w:sz w:val="21"/>
              </w:rPr>
              <w:t>符合性分析</w:t>
            </w:r>
          </w:p>
        </w:tc>
        <w:tc>
          <w:tcPr>
            <w:tcW w:w="94" w:type="dxa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blPrEx>
          <w:tblW w:w="0" w:type="auto"/>
          <w:tblInd w:w="1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/>
        </w:trPr>
        <w:tc>
          <w:tcPr>
            <w:tcW w:w="1541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8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8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56" w:type="dxa"/>
            <w:tcBorders>
              <w:bottom w:val="nil"/>
            </w:tcBorders>
          </w:tcPr>
          <w:p>
            <w:pPr>
              <w:pStyle w:val="TableParagraph"/>
              <w:spacing w:line="264" w:lineRule="exact"/>
              <w:ind w:left="150"/>
              <w:rPr>
                <w:sz w:val="21"/>
              </w:rPr>
            </w:pPr>
            <w:r>
              <w:rPr>
                <w:rFonts w:ascii="Times New Roman" w:eastAsia="Times New Roman" w:hAnsi="Times New Roman"/>
                <w:w w:val="95"/>
                <w:sz w:val="21"/>
              </w:rPr>
              <w:t>“</w:t>
            </w:r>
            <w:r>
              <w:rPr>
                <w:w w:val="95"/>
                <w:sz w:val="21"/>
              </w:rPr>
              <w:t>禁燃区</w:t>
            </w:r>
            <w:r>
              <w:rPr>
                <w:rFonts w:ascii="Times New Roman" w:eastAsia="Times New Roman" w:hAnsi="Times New Roman"/>
                <w:w w:val="95"/>
                <w:sz w:val="21"/>
              </w:rPr>
              <w:t>”</w:t>
            </w:r>
            <w:r>
              <w:rPr>
                <w:w w:val="95"/>
                <w:sz w:val="21"/>
              </w:rPr>
              <w:t>范围内，禁止销售、燃用高污染燃</w:t>
            </w:r>
          </w:p>
          <w:p>
            <w:pPr>
              <w:pStyle w:val="TableParagraph"/>
              <w:spacing w:before="4" w:line="241" w:lineRule="exact"/>
              <w:ind w:left="138"/>
              <w:rPr>
                <w:sz w:val="21"/>
              </w:rPr>
            </w:pPr>
            <w:r>
              <w:rPr>
                <w:w w:val="95"/>
                <w:sz w:val="21"/>
              </w:rPr>
              <w:t>料；禁止新（扩、改）建燃用高污染燃料的</w:t>
            </w:r>
          </w:p>
        </w:tc>
        <w:tc>
          <w:tcPr>
            <w:tcW w:w="1565" w:type="dxa"/>
            <w:vMerge w:val="restart"/>
          </w:tcPr>
          <w:p>
            <w:pPr>
              <w:pStyle w:val="TableParagraph"/>
              <w:rPr>
                <w:rFonts w:ascii="黑体"/>
                <w:sz w:val="20"/>
              </w:rPr>
            </w:pPr>
          </w:p>
          <w:p>
            <w:pPr>
              <w:pStyle w:val="TableParagraph"/>
              <w:spacing w:before="146" w:line="242" w:lineRule="auto"/>
              <w:ind w:left="157" w:right="138"/>
              <w:jc w:val="both"/>
              <w:rPr>
                <w:sz w:val="21"/>
              </w:rPr>
            </w:pPr>
            <w:r>
              <w:rPr>
                <w:sz w:val="21"/>
              </w:rPr>
              <w:t>拟建项目不在</w:t>
            </w:r>
            <w:r>
              <w:rPr>
                <w:rFonts w:ascii="Times New Roman" w:eastAsia="Times New Roman" w:hAnsi="Times New Roman"/>
                <w:sz w:val="21"/>
              </w:rPr>
              <w:t>“</w:t>
            </w:r>
            <w:r>
              <w:rPr>
                <w:sz w:val="21"/>
              </w:rPr>
              <w:t>禁燃区</w:t>
            </w:r>
            <w:r>
              <w:rPr>
                <w:rFonts w:ascii="Times New Roman" w:eastAsia="Times New Roman" w:hAnsi="Times New Roman"/>
                <w:sz w:val="21"/>
              </w:rPr>
              <w:t>”</w:t>
            </w:r>
            <w:r>
              <w:rPr>
                <w:sz w:val="21"/>
              </w:rPr>
              <w:t>范围内，使用电能和液化气，属于清洁能源</w:t>
            </w:r>
          </w:p>
        </w:tc>
        <w:tc>
          <w:tcPr>
            <w:tcW w:w="94" w:type="dxa"/>
            <w:vMerge w:val="restart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blPrEx>
          <w:tblW w:w="0" w:type="auto"/>
          <w:tblInd w:w="1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/>
        </w:trPr>
        <w:tc>
          <w:tcPr>
            <w:tcW w:w="1541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5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1" w:lineRule="exact"/>
              <w:ind w:left="118" w:right="98"/>
              <w:jc w:val="center"/>
              <w:rPr>
                <w:sz w:val="21"/>
              </w:rPr>
            </w:pPr>
            <w:r>
              <w:rPr>
                <w:sz w:val="21"/>
              </w:rPr>
              <w:t>项目；现有高污染燃料燃用设施，除用于城</w:t>
            </w:r>
          </w:p>
        </w:tc>
        <w:tc>
          <w:tcPr>
            <w:tcW w:w="15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1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/>
        </w:trPr>
        <w:tc>
          <w:tcPr>
            <w:tcW w:w="1541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4" w:lineRule="exact"/>
              <w:ind w:left="118"/>
              <w:rPr>
                <w:sz w:val="21"/>
              </w:rPr>
            </w:pPr>
            <w:r>
              <w:rPr>
                <w:sz w:val="21"/>
              </w:rPr>
              <w:t>能源利</w:t>
            </w:r>
          </w:p>
        </w:tc>
        <w:tc>
          <w:tcPr>
            <w:tcW w:w="84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4" w:lineRule="exact"/>
              <w:ind w:left="92" w:right="76"/>
              <w:jc w:val="center"/>
              <w:rPr>
                <w:sz w:val="21"/>
              </w:rPr>
            </w:pPr>
            <w:r>
              <w:rPr>
                <w:sz w:val="21"/>
              </w:rPr>
              <w:t>一般控</w:t>
            </w:r>
          </w:p>
        </w:tc>
        <w:tc>
          <w:tcPr>
            <w:tcW w:w="425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4" w:lineRule="exact"/>
              <w:ind w:left="118" w:right="98"/>
              <w:jc w:val="center"/>
              <w:rPr>
                <w:sz w:val="21"/>
              </w:rPr>
            </w:pPr>
            <w:r>
              <w:rPr>
                <w:sz w:val="21"/>
              </w:rPr>
              <w:t>市集中供热外，有关单位和个人应当在规定</w:t>
            </w:r>
          </w:p>
        </w:tc>
        <w:tc>
          <w:tcPr>
            <w:tcW w:w="15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1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/>
        </w:trPr>
        <w:tc>
          <w:tcPr>
            <w:tcW w:w="1541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2" w:lineRule="exact"/>
              <w:ind w:left="118"/>
              <w:rPr>
                <w:sz w:val="21"/>
              </w:rPr>
            </w:pPr>
            <w:r>
              <w:rPr>
                <w:sz w:val="21"/>
              </w:rPr>
              <w:t>用上线</w:t>
            </w:r>
          </w:p>
        </w:tc>
        <w:tc>
          <w:tcPr>
            <w:tcW w:w="84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2" w:lineRule="exact"/>
              <w:ind w:left="92" w:right="76"/>
              <w:jc w:val="center"/>
              <w:rPr>
                <w:sz w:val="21"/>
              </w:rPr>
            </w:pPr>
            <w:r>
              <w:rPr>
                <w:sz w:val="21"/>
              </w:rPr>
              <w:t>制区</w:t>
            </w:r>
          </w:p>
        </w:tc>
        <w:tc>
          <w:tcPr>
            <w:tcW w:w="425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2" w:lineRule="exact"/>
              <w:ind w:left="118" w:right="98"/>
              <w:jc w:val="center"/>
              <w:rPr>
                <w:sz w:val="21"/>
              </w:rPr>
            </w:pPr>
            <w:r>
              <w:rPr>
                <w:sz w:val="21"/>
              </w:rPr>
              <w:t>的期限内改用天然气、液化石油气、电或其</w:t>
            </w:r>
          </w:p>
        </w:tc>
        <w:tc>
          <w:tcPr>
            <w:tcW w:w="15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1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/>
        </w:trPr>
        <w:tc>
          <w:tcPr>
            <w:tcW w:w="1541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5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2" w:lineRule="exact"/>
              <w:ind w:left="118" w:right="98"/>
              <w:jc w:val="center"/>
              <w:rPr>
                <w:sz w:val="21"/>
              </w:rPr>
            </w:pPr>
            <w:r>
              <w:rPr>
                <w:sz w:val="21"/>
              </w:rPr>
              <w:t>他清洁能源。逐步取缔热电联产供热管网覆</w:t>
            </w:r>
          </w:p>
        </w:tc>
        <w:tc>
          <w:tcPr>
            <w:tcW w:w="15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1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/>
        </w:trPr>
        <w:tc>
          <w:tcPr>
            <w:tcW w:w="1541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5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2" w:lineRule="exact"/>
              <w:ind w:left="118" w:right="98"/>
              <w:jc w:val="center"/>
              <w:rPr>
                <w:sz w:val="21"/>
              </w:rPr>
            </w:pPr>
            <w:r>
              <w:rPr>
                <w:sz w:val="21"/>
              </w:rPr>
              <w:t>盖范围内的供热锅炉、工业蒸汽锅炉及各种</w:t>
            </w:r>
          </w:p>
        </w:tc>
        <w:tc>
          <w:tcPr>
            <w:tcW w:w="15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1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7"/>
        </w:trPr>
        <w:tc>
          <w:tcPr>
            <w:tcW w:w="1541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8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8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56" w:type="dxa"/>
            <w:tcBorders>
              <w:top w:val="nil"/>
            </w:tcBorders>
          </w:tcPr>
          <w:p>
            <w:pPr>
              <w:pStyle w:val="TableParagraph"/>
              <w:spacing w:line="238" w:lineRule="exact"/>
              <w:ind w:left="115" w:right="98"/>
              <w:jc w:val="center"/>
              <w:rPr>
                <w:sz w:val="21"/>
              </w:rPr>
            </w:pPr>
            <w:r>
              <w:rPr>
                <w:sz w:val="21"/>
              </w:rPr>
              <w:t>洗浴锅炉，推进热电联产和集中供热。</w:t>
            </w:r>
          </w:p>
        </w:tc>
        <w:tc>
          <w:tcPr>
            <w:tcW w:w="15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1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/>
        </w:trPr>
        <w:tc>
          <w:tcPr>
            <w:tcW w:w="1541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8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8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56" w:type="dxa"/>
            <w:tcBorders>
              <w:bottom w:val="nil"/>
            </w:tcBorders>
          </w:tcPr>
          <w:p>
            <w:pPr>
              <w:pStyle w:val="TableParagraph"/>
              <w:spacing w:line="264" w:lineRule="exact"/>
              <w:ind w:left="172"/>
              <w:rPr>
                <w:sz w:val="21"/>
              </w:rPr>
            </w:pPr>
            <w:r>
              <w:rPr>
                <w:w w:val="95"/>
                <w:sz w:val="21"/>
              </w:rPr>
              <w:t>坚持</w:t>
            </w:r>
            <w:r>
              <w:rPr>
                <w:rFonts w:ascii="Times New Roman" w:eastAsia="Times New Roman" w:hAnsi="Times New Roman"/>
                <w:w w:val="95"/>
                <w:sz w:val="21"/>
              </w:rPr>
              <w:t>‘</w:t>
            </w:r>
            <w:r>
              <w:rPr>
                <w:w w:val="95"/>
                <w:sz w:val="21"/>
              </w:rPr>
              <w:t>四水四定</w:t>
            </w:r>
            <w:r>
              <w:rPr>
                <w:rFonts w:ascii="Times New Roman" w:eastAsia="Times New Roman" w:hAnsi="Times New Roman"/>
                <w:w w:val="95"/>
                <w:sz w:val="21"/>
              </w:rPr>
              <w:t>’</w:t>
            </w:r>
            <w:r>
              <w:rPr>
                <w:w w:val="95"/>
                <w:sz w:val="21"/>
              </w:rPr>
              <w:t>原则，统筹生产、生活、生</w:t>
            </w:r>
          </w:p>
          <w:p>
            <w:pPr>
              <w:pStyle w:val="TableParagraph"/>
              <w:spacing w:before="2" w:line="242" w:lineRule="exact"/>
              <w:ind w:left="138"/>
              <w:rPr>
                <w:sz w:val="21"/>
              </w:rPr>
            </w:pPr>
            <w:r>
              <w:rPr>
                <w:w w:val="95"/>
                <w:sz w:val="21"/>
              </w:rPr>
              <w:t>态用水，统筹全市地表水等各类水资源，优</w:t>
            </w:r>
          </w:p>
        </w:tc>
        <w:tc>
          <w:tcPr>
            <w:tcW w:w="1565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" w:type="dxa"/>
            <w:vMerge w:val="restart"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blPrEx>
          <w:tblW w:w="0" w:type="auto"/>
          <w:tblInd w:w="1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/>
        </w:trPr>
        <w:tc>
          <w:tcPr>
            <w:tcW w:w="1541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5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2" w:lineRule="exact"/>
              <w:ind w:left="118" w:right="98"/>
              <w:jc w:val="center"/>
              <w:rPr>
                <w:sz w:val="21"/>
              </w:rPr>
            </w:pPr>
            <w:r>
              <w:rPr>
                <w:sz w:val="21"/>
              </w:rPr>
              <w:t>先保证生活用水，合理安排农业用水和工业</w:t>
            </w:r>
          </w:p>
        </w:tc>
        <w:tc>
          <w:tcPr>
            <w:tcW w:w="156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4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1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9"/>
        </w:trPr>
        <w:tc>
          <w:tcPr>
            <w:tcW w:w="1541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27" w:line="242" w:lineRule="auto"/>
              <w:ind w:left="118" w:right="98"/>
              <w:jc w:val="center"/>
              <w:rPr>
                <w:sz w:val="21"/>
              </w:rPr>
            </w:pPr>
            <w:r>
              <w:rPr>
                <w:sz w:val="21"/>
              </w:rPr>
              <w:t>水资源利用上线</w:t>
            </w:r>
          </w:p>
        </w:tc>
        <w:tc>
          <w:tcPr>
            <w:tcW w:w="84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5"/>
              <w:rPr>
                <w:rFonts w:ascii="黑体"/>
                <w:sz w:val="32"/>
              </w:rPr>
            </w:pPr>
          </w:p>
          <w:p>
            <w:pPr>
              <w:pStyle w:val="TableParagraph"/>
              <w:ind w:left="19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9"/>
                <w:sz w:val="21"/>
              </w:rPr>
              <w:t>-</w:t>
            </w:r>
          </w:p>
        </w:tc>
        <w:tc>
          <w:tcPr>
            <w:tcW w:w="425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2" w:lineRule="auto"/>
              <w:ind w:left="138" w:right="116"/>
              <w:jc w:val="both"/>
              <w:rPr>
                <w:sz w:val="21"/>
              </w:rPr>
            </w:pPr>
            <w:r>
              <w:rPr>
                <w:w w:val="95"/>
                <w:sz w:val="21"/>
              </w:rPr>
              <w:t>用水，实行最严格的水资源管理制度，严格 落实水资源双控制度，把水资源作为最大的 刚性约束，加强水资源的开发利用管理，制</w:t>
            </w:r>
          </w:p>
          <w:p>
            <w:pPr>
              <w:pStyle w:val="TableParagraph"/>
              <w:spacing w:line="240" w:lineRule="exact"/>
              <w:ind w:left="138"/>
              <w:rPr>
                <w:sz w:val="21"/>
              </w:rPr>
            </w:pPr>
            <w:r>
              <w:rPr>
                <w:w w:val="95"/>
                <w:sz w:val="21"/>
              </w:rPr>
              <w:t>定水资源综合利用规划，明确控制目标。控</w:t>
            </w:r>
          </w:p>
        </w:tc>
        <w:tc>
          <w:tcPr>
            <w:tcW w:w="156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2" w:lineRule="auto"/>
              <w:ind w:left="157" w:right="138"/>
              <w:jc w:val="both"/>
              <w:rPr>
                <w:sz w:val="21"/>
              </w:rPr>
            </w:pPr>
            <w:r>
              <w:rPr>
                <w:sz w:val="21"/>
              </w:rPr>
              <w:t>拟建项目新鲜水用量较少， 不属于水耗大</w:t>
            </w:r>
          </w:p>
          <w:p>
            <w:pPr>
              <w:pStyle w:val="TableParagraph"/>
              <w:spacing w:line="240" w:lineRule="exact"/>
              <w:ind w:left="471"/>
              <w:rPr>
                <w:sz w:val="21"/>
              </w:rPr>
            </w:pPr>
            <w:r>
              <w:rPr>
                <w:sz w:val="21"/>
              </w:rPr>
              <w:t>的项目</w:t>
            </w:r>
          </w:p>
        </w:tc>
        <w:tc>
          <w:tcPr>
            <w:tcW w:w="94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1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/>
        </w:trPr>
        <w:tc>
          <w:tcPr>
            <w:tcW w:w="1541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5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2" w:lineRule="exact"/>
              <w:ind w:left="118" w:right="98"/>
              <w:jc w:val="center"/>
              <w:rPr>
                <w:sz w:val="21"/>
              </w:rPr>
            </w:pPr>
            <w:r>
              <w:rPr>
                <w:sz w:val="21"/>
              </w:rPr>
              <w:t>制水耗较大的工业项目建设，新鲜水消耗较</w:t>
            </w:r>
          </w:p>
        </w:tc>
        <w:tc>
          <w:tcPr>
            <w:tcW w:w="156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4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1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/>
        </w:trPr>
        <w:tc>
          <w:tcPr>
            <w:tcW w:w="1541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5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2" w:lineRule="exact"/>
              <w:ind w:left="118" w:right="98"/>
              <w:jc w:val="center"/>
              <w:rPr>
                <w:sz w:val="21"/>
              </w:rPr>
            </w:pPr>
            <w:r>
              <w:rPr>
                <w:sz w:val="21"/>
              </w:rPr>
              <w:t>大的工业项目须进行水资源评价。积极开展</w:t>
            </w:r>
          </w:p>
        </w:tc>
        <w:tc>
          <w:tcPr>
            <w:tcW w:w="156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4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1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1541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8" w:type="dxa"/>
            <w:tcBorders>
              <w:top w:val="nil"/>
              <w:bottom w:val="thickThinMediumGap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8" w:type="dxa"/>
            <w:tcBorders>
              <w:top w:val="nil"/>
              <w:bottom w:val="thickThinMediumGap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56" w:type="dxa"/>
            <w:tcBorders>
              <w:top w:val="nil"/>
              <w:bottom w:val="thickThinMediumGap" w:sz="4" w:space="0" w:color="000000"/>
            </w:tcBorders>
          </w:tcPr>
          <w:p>
            <w:pPr>
              <w:pStyle w:val="TableParagraph"/>
              <w:spacing w:line="246" w:lineRule="exact"/>
              <w:ind w:left="118" w:right="98"/>
              <w:jc w:val="center"/>
              <w:rPr>
                <w:sz w:val="21"/>
              </w:rPr>
            </w:pPr>
            <w:r>
              <w:rPr>
                <w:sz w:val="21"/>
              </w:rPr>
              <w:t>再生水利用，提高再生水利用率。</w:t>
            </w:r>
          </w:p>
        </w:tc>
        <w:tc>
          <w:tcPr>
            <w:tcW w:w="1565" w:type="dxa"/>
            <w:tcBorders>
              <w:top w:val="nil"/>
              <w:bottom w:val="thickThinMediumGap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4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rPr>
          <w:sz w:val="2"/>
          <w:szCs w:val="2"/>
        </w:rPr>
      </w:pPr>
      <w:r>
        <w:pict>
          <v:shape id="_x0000_s1027" o:spid="_x0000_s1026" type="#_x0000_t202" style="width:377.1pt;height:362.8pt;margin-top:91.15pt;margin-left:147.75pt;mso-height-relative:page;mso-position-horizontal-relative:page;mso-position-vertical-relative:page;mso-width-relative:page;position:absolute;z-index:251659264" coordsize="21600,21600" filled="f" stroked="f">
            <v:stroke joinstyle="miter"/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676"/>
                    <w:gridCol w:w="904"/>
                    <w:gridCol w:w="4746"/>
                    <w:gridCol w:w="1201"/>
                  </w:tblGrid>
                  <w:tr>
                    <w:tblPrEx>
                      <w:tblW w:w="0" w:type="auto"/>
                      <w:tblInd w:w="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96"/>
                    </w:trPr>
                    <w:tc>
                      <w:tcPr>
                        <w:tcW w:w="1580" w:type="dxa"/>
                        <w:gridSpan w:val="2"/>
                      </w:tcPr>
                      <w:p>
                        <w:pPr>
                          <w:pStyle w:val="TableParagraph"/>
                          <w:spacing w:before="62"/>
                          <w:ind w:left="48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管控区</w:t>
                        </w:r>
                      </w:p>
                    </w:tc>
                    <w:tc>
                      <w:tcPr>
                        <w:tcW w:w="4746" w:type="dxa"/>
                      </w:tcPr>
                      <w:p>
                        <w:pPr>
                          <w:pStyle w:val="TableParagraph"/>
                          <w:spacing w:before="62"/>
                          <w:ind w:left="168" w:right="149"/>
                          <w:jc w:val="center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管控要求</w:t>
                        </w:r>
                      </w:p>
                    </w:tc>
                    <w:tc>
                      <w:tcPr>
                        <w:tcW w:w="1201" w:type="dxa"/>
                      </w:tcPr>
                      <w:p>
                        <w:pPr>
                          <w:pStyle w:val="TableParagraph"/>
                          <w:spacing w:before="62"/>
                          <w:ind w:left="83" w:right="65"/>
                          <w:jc w:val="center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w w:val="95"/>
                            <w:sz w:val="21"/>
                          </w:rPr>
                          <w:t>符合性分析</w:t>
                        </w:r>
                      </w:p>
                    </w:tc>
                  </w:tr>
                  <w:tr>
                    <w:tblPrEx>
                      <w:tblW w:w="0" w:type="auto"/>
                      <w:tblInd w:w="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815"/>
                    </w:trPr>
                    <w:tc>
                      <w:tcPr>
                        <w:tcW w:w="676" w:type="dxa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04" w:type="dxa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4746" w:type="dxa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ind w:left="163" w:right="156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执行《区域性大气污染物综合排放标准》</w:t>
                        </w:r>
                      </w:p>
                      <w:p>
                        <w:pPr>
                          <w:pStyle w:val="TableParagraph"/>
                          <w:spacing w:before="4" w:line="270" w:lineRule="atLeast"/>
                          <w:ind w:left="168" w:right="156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95"/>
                            <w:sz w:val="21"/>
                          </w:rPr>
                          <w:t>（</w:t>
                        </w:r>
                        <w:r>
                          <w:rPr>
                            <w:rFonts w:ascii="Times New Roman" w:eastAsia="Times New Roman"/>
                            <w:w w:val="95"/>
                            <w:sz w:val="21"/>
                          </w:rPr>
                          <w:t>DB37/2376-2019</w:t>
                        </w:r>
                        <w:r>
                          <w:rPr>
                            <w:w w:val="95"/>
                            <w:sz w:val="21"/>
                          </w:rPr>
                          <w:t xml:space="preserve">）规定的一般控制区标准（区 </w:t>
                        </w:r>
                        <w:r>
                          <w:rPr>
                            <w:sz w:val="21"/>
                          </w:rPr>
                          <w:t>域内大气环境重点排污单位执行重点控制区标</w:t>
                        </w:r>
                      </w:p>
                    </w:tc>
                    <w:tc>
                      <w:tcPr>
                        <w:tcW w:w="1201" w:type="dxa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tblInd w:w="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73"/>
                    </w:trPr>
                    <w:tc>
                      <w:tcPr>
                        <w:tcW w:w="676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04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4746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3" w:line="250" w:lineRule="exact"/>
                          <w:ind w:left="146" w:right="136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准）。区域内严格限制“两高”项目建设（按照</w:t>
                        </w:r>
                      </w:p>
                    </w:tc>
                    <w:tc>
                      <w:tcPr>
                        <w:tcW w:w="1201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253" w:lineRule="exact"/>
                          <w:ind w:left="70" w:right="65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拟建项目</w:t>
                        </w:r>
                      </w:p>
                    </w:tc>
                  </w:tr>
                  <w:tr>
                    <w:tblPrEx>
                      <w:tblW w:w="0" w:type="auto"/>
                      <w:tblInd w:w="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71"/>
                    </w:trPr>
                    <w:tc>
                      <w:tcPr>
                        <w:tcW w:w="676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04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4746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250" w:lineRule="exact"/>
                          <w:ind w:left="145" w:right="138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山东省“两高”项目管理名录确定），深化重点</w:t>
                        </w:r>
                      </w:p>
                    </w:tc>
                    <w:tc>
                      <w:tcPr>
                        <w:tcW w:w="1201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250" w:lineRule="exact"/>
                          <w:ind w:left="70" w:right="65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污染物排</w:t>
                        </w:r>
                      </w:p>
                    </w:tc>
                  </w:tr>
                  <w:tr>
                    <w:tblPrEx>
                      <w:tblW w:w="0" w:type="auto"/>
                      <w:tblInd w:w="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72"/>
                    </w:trPr>
                    <w:tc>
                      <w:tcPr>
                        <w:tcW w:w="676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04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4746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252" w:lineRule="exact"/>
                          <w:ind w:left="146" w:right="136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行业污染治理，强力推进国家和省确定的各项产</w:t>
                        </w:r>
                      </w:p>
                    </w:tc>
                    <w:tc>
                      <w:tcPr>
                        <w:tcW w:w="1201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252" w:lineRule="exact"/>
                          <w:ind w:left="70" w:right="65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放严格执</w:t>
                        </w:r>
                      </w:p>
                    </w:tc>
                  </w:tr>
                  <w:tr>
                    <w:tblPrEx>
                      <w:tblW w:w="0" w:type="auto"/>
                      <w:tblInd w:w="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72"/>
                    </w:trPr>
                    <w:tc>
                      <w:tcPr>
                        <w:tcW w:w="676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2" w:line="250" w:lineRule="exact"/>
                          <w:ind w:right="117"/>
                          <w:jc w:val="right"/>
                          <w:rPr>
                            <w:sz w:val="21"/>
                          </w:rPr>
                        </w:pPr>
                        <w:r>
                          <w:rPr>
                            <w:w w:val="95"/>
                            <w:sz w:val="21"/>
                          </w:rPr>
                          <w:t>大气</w:t>
                        </w:r>
                      </w:p>
                    </w:tc>
                    <w:tc>
                      <w:tcPr>
                        <w:tcW w:w="904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2" w:line="250" w:lineRule="exact"/>
                          <w:ind w:left="116" w:right="108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一般管</w:t>
                        </w:r>
                      </w:p>
                    </w:tc>
                    <w:tc>
                      <w:tcPr>
                        <w:tcW w:w="4746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2" w:line="250" w:lineRule="exact"/>
                          <w:ind w:left="146" w:right="136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业结构调整措施，加强机动车排放污染治理，对</w:t>
                        </w:r>
                      </w:p>
                    </w:tc>
                    <w:tc>
                      <w:tcPr>
                        <w:tcW w:w="1201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2" w:line="250" w:lineRule="exact"/>
                          <w:ind w:left="70" w:right="65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行相关标</w:t>
                        </w:r>
                      </w:p>
                    </w:tc>
                  </w:tr>
                  <w:tr>
                    <w:tblPrEx>
                      <w:tblW w:w="0" w:type="auto"/>
                      <w:tblInd w:w="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71"/>
                    </w:trPr>
                    <w:tc>
                      <w:tcPr>
                        <w:tcW w:w="676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250" w:lineRule="exact"/>
                          <w:ind w:right="117"/>
                          <w:jc w:val="right"/>
                          <w:rPr>
                            <w:sz w:val="21"/>
                          </w:rPr>
                        </w:pPr>
                        <w:r>
                          <w:rPr>
                            <w:w w:val="95"/>
                            <w:sz w:val="21"/>
                          </w:rPr>
                          <w:t>环境</w:t>
                        </w:r>
                      </w:p>
                    </w:tc>
                    <w:tc>
                      <w:tcPr>
                        <w:tcW w:w="904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250" w:lineRule="exact"/>
                          <w:ind w:left="116" w:right="108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控区</w:t>
                        </w:r>
                      </w:p>
                    </w:tc>
                    <w:tc>
                      <w:tcPr>
                        <w:tcW w:w="4746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250" w:lineRule="exact"/>
                          <w:ind w:left="146" w:right="136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现有的涉废气排放工业企业加强监督管理和执法</w:t>
                        </w:r>
                      </w:p>
                    </w:tc>
                    <w:tc>
                      <w:tcPr>
                        <w:tcW w:w="1201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250" w:lineRule="exact"/>
                          <w:ind w:left="70" w:right="65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准，不属</w:t>
                        </w:r>
                      </w:p>
                    </w:tc>
                  </w:tr>
                  <w:tr>
                    <w:tblPrEx>
                      <w:tblW w:w="0" w:type="auto"/>
                      <w:tblInd w:w="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73"/>
                    </w:trPr>
                    <w:tc>
                      <w:tcPr>
                        <w:tcW w:w="676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04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4746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3" w:line="250" w:lineRule="exact"/>
                          <w:ind w:left="146" w:right="136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检查，定期开展清洁生产审核，推动现有各类产</w:t>
                        </w:r>
                      </w:p>
                    </w:tc>
                    <w:tc>
                      <w:tcPr>
                        <w:tcW w:w="1201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253" w:lineRule="exact"/>
                          <w:ind w:left="72" w:right="65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于“两</w:t>
                        </w:r>
                      </w:p>
                    </w:tc>
                  </w:tr>
                  <w:tr>
                    <w:tblPrEx>
                      <w:tblW w:w="0" w:type="auto"/>
                      <w:tblInd w:w="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71"/>
                    </w:trPr>
                    <w:tc>
                      <w:tcPr>
                        <w:tcW w:w="676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04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4746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250" w:lineRule="exact"/>
                          <w:ind w:left="146" w:right="136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业园区及重点企业生态化、循环化改造。新建、</w:t>
                        </w:r>
                      </w:p>
                    </w:tc>
                    <w:tc>
                      <w:tcPr>
                        <w:tcW w:w="1201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250" w:lineRule="exact"/>
                          <w:ind w:left="72" w:right="65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高”项</w:t>
                        </w:r>
                      </w:p>
                    </w:tc>
                  </w:tr>
                  <w:tr>
                    <w:tblPrEx>
                      <w:tblW w:w="0" w:type="auto"/>
                      <w:tblInd w:w="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73"/>
                    </w:trPr>
                    <w:tc>
                      <w:tcPr>
                        <w:tcW w:w="676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04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4746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3" w:line="250" w:lineRule="exact"/>
                          <w:ind w:left="146" w:right="136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改建和扩建项目需满足产业准入、总量控制、排</w:t>
                        </w:r>
                      </w:p>
                    </w:tc>
                    <w:tc>
                      <w:tcPr>
                        <w:tcW w:w="1201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253" w:lineRule="exact"/>
                          <w:ind w:left="70" w:right="65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目，符合</w:t>
                        </w:r>
                      </w:p>
                    </w:tc>
                  </w:tr>
                  <w:tr>
                    <w:tblPrEx>
                      <w:tblW w:w="0" w:type="auto"/>
                      <w:tblInd w:w="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72"/>
                    </w:trPr>
                    <w:tc>
                      <w:tcPr>
                        <w:tcW w:w="676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04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4746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252" w:lineRule="exact"/>
                          <w:ind w:left="146" w:right="136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放标准等管理制度要求的前提下，实行工业项目</w:t>
                        </w:r>
                      </w:p>
                    </w:tc>
                    <w:tc>
                      <w:tcPr>
                        <w:tcW w:w="1201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tblInd w:w="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72"/>
                    </w:trPr>
                    <w:tc>
                      <w:tcPr>
                        <w:tcW w:w="676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04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4746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2" w:line="250" w:lineRule="exact"/>
                          <w:ind w:left="146" w:right="136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进园和集约高效发展，推进工业园区或工业集中</w:t>
                        </w:r>
                      </w:p>
                    </w:tc>
                    <w:tc>
                      <w:tcPr>
                        <w:tcW w:w="1201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tblInd w:w="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73"/>
                    </w:trPr>
                    <w:tc>
                      <w:tcPr>
                        <w:tcW w:w="676" w:type="dxa"/>
                        <w:tcBorders>
                          <w:top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04" w:type="dxa"/>
                        <w:tcBorders>
                          <w:top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4746" w:type="dxa"/>
                        <w:tcBorders>
                          <w:top w:val="nil"/>
                        </w:tcBorders>
                      </w:tcPr>
                      <w:p>
                        <w:pPr>
                          <w:pStyle w:val="TableParagraph"/>
                          <w:spacing w:line="252" w:lineRule="exact"/>
                          <w:ind w:left="161" w:right="156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区建设。</w:t>
                        </w:r>
                      </w:p>
                    </w:tc>
                    <w:tc>
                      <w:tcPr>
                        <w:tcW w:w="1201" w:type="dxa"/>
                        <w:tcBorders>
                          <w:top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tblInd w:w="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71"/>
                    </w:trPr>
                    <w:tc>
                      <w:tcPr>
                        <w:tcW w:w="676" w:type="dxa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04" w:type="dxa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4746" w:type="dxa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250" w:lineRule="exact"/>
                          <w:ind w:left="146" w:right="136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控制高耗水工业项目建设。依法淘汰落后产能，</w:t>
                        </w:r>
                      </w:p>
                    </w:tc>
                    <w:tc>
                      <w:tcPr>
                        <w:tcW w:w="1201" w:type="dxa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250" w:lineRule="exact"/>
                          <w:ind w:left="70" w:right="65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拟建项目</w:t>
                        </w:r>
                      </w:p>
                    </w:tc>
                  </w:tr>
                  <w:tr>
                    <w:tblPrEx>
                      <w:tblW w:w="0" w:type="auto"/>
                      <w:tblInd w:w="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72"/>
                    </w:trPr>
                    <w:tc>
                      <w:tcPr>
                        <w:tcW w:w="676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04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4746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252" w:lineRule="exact"/>
                          <w:ind w:left="161" w:right="156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完成国家、省下达的年度淘汰落后产能任务目</w:t>
                        </w:r>
                      </w:p>
                    </w:tc>
                    <w:tc>
                      <w:tcPr>
                        <w:tcW w:w="1201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252" w:lineRule="exact"/>
                          <w:ind w:left="70" w:right="65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不属于高</w:t>
                        </w:r>
                      </w:p>
                    </w:tc>
                  </w:tr>
                  <w:tr>
                    <w:tblPrEx>
                      <w:tblW w:w="0" w:type="auto"/>
                      <w:tblInd w:w="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817"/>
                    </w:trPr>
                    <w:tc>
                      <w:tcPr>
                        <w:tcW w:w="676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136" w:line="244" w:lineRule="auto"/>
                          <w:ind w:left="231" w:right="117" w:hanging="104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水环境</w:t>
                        </w:r>
                      </w:p>
                    </w:tc>
                    <w:tc>
                      <w:tcPr>
                        <w:tcW w:w="904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2" w:line="242" w:lineRule="auto"/>
                          <w:ind w:left="136" w:right="126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pacing w:val="-6"/>
                            <w:sz w:val="21"/>
                          </w:rPr>
                          <w:t>水环境</w:t>
                        </w:r>
                        <w:r>
                          <w:rPr>
                            <w:spacing w:val="-6"/>
                            <w:w w:val="95"/>
                            <w:sz w:val="21"/>
                          </w:rPr>
                          <w:t>一般管</w:t>
                        </w:r>
                      </w:p>
                      <w:p>
                        <w:pPr>
                          <w:pStyle w:val="TableParagraph"/>
                          <w:spacing w:line="252" w:lineRule="exact"/>
                          <w:ind w:left="116" w:right="108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pacing w:val="-1"/>
                            <w:w w:val="95"/>
                            <w:sz w:val="21"/>
                          </w:rPr>
                          <w:t>控区</w:t>
                        </w:r>
                      </w:p>
                    </w:tc>
                    <w:tc>
                      <w:tcPr>
                        <w:tcW w:w="4746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2"/>
                          <w:ind w:left="168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标，鼓励企业主动开展计划外淘汰。全面排查装</w:t>
                        </w:r>
                      </w:p>
                      <w:p>
                        <w:pPr>
                          <w:pStyle w:val="TableParagraph"/>
                          <w:spacing w:before="3" w:line="270" w:lineRule="atLeast"/>
                          <w:ind w:left="271" w:right="156" w:hanging="104"/>
                          <w:rPr>
                            <w:sz w:val="21"/>
                          </w:rPr>
                        </w:pPr>
                        <w:r>
                          <w:rPr>
                            <w:w w:val="95"/>
                            <w:sz w:val="21"/>
                          </w:rPr>
                          <w:t xml:space="preserve">备水平低、环保设施差的小型工业企业，依法全 </w:t>
                        </w:r>
                        <w:r>
                          <w:rPr>
                            <w:sz w:val="21"/>
                          </w:rPr>
                          <w:t>部取缔不符合产业政策的小型造纸、制革、印</w:t>
                        </w:r>
                      </w:p>
                    </w:tc>
                    <w:tc>
                      <w:tcPr>
                        <w:tcW w:w="1201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2"/>
                          <w:ind w:left="179"/>
                          <w:rPr>
                            <w:sz w:val="21"/>
                          </w:rPr>
                        </w:pPr>
                        <w:r>
                          <w:rPr>
                            <w:w w:val="95"/>
                            <w:sz w:val="21"/>
                          </w:rPr>
                          <w:t>耗水项目</w:t>
                        </w:r>
                      </w:p>
                      <w:p>
                        <w:pPr>
                          <w:pStyle w:val="TableParagraph"/>
                          <w:spacing w:before="3" w:line="270" w:lineRule="atLeast"/>
                          <w:ind w:left="179" w:right="171"/>
                          <w:rPr>
                            <w:sz w:val="21"/>
                          </w:rPr>
                        </w:pPr>
                        <w:r>
                          <w:rPr>
                            <w:spacing w:val="-4"/>
                            <w:sz w:val="21"/>
                          </w:rPr>
                          <w:t>和严重污</w:t>
                        </w:r>
                        <w:r>
                          <w:rPr>
                            <w:spacing w:val="-4"/>
                            <w:w w:val="95"/>
                            <w:sz w:val="21"/>
                          </w:rPr>
                          <w:t>染水环境</w:t>
                        </w:r>
                      </w:p>
                    </w:tc>
                  </w:tr>
                  <w:tr>
                    <w:tblPrEx>
                      <w:tblW w:w="0" w:type="auto"/>
                      <w:tblInd w:w="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72"/>
                    </w:trPr>
                    <w:tc>
                      <w:tcPr>
                        <w:tcW w:w="676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04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4746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252" w:lineRule="exact"/>
                          <w:ind w:left="146" w:right="136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染、染料、颜料、电镀、农药、化工、炼油、废</w:t>
                        </w:r>
                      </w:p>
                    </w:tc>
                    <w:tc>
                      <w:tcPr>
                        <w:tcW w:w="1201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252" w:lineRule="exact"/>
                          <w:ind w:left="70" w:right="65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的生产项</w:t>
                        </w:r>
                      </w:p>
                    </w:tc>
                  </w:tr>
                  <w:tr>
                    <w:tblPrEx>
                      <w:tblW w:w="0" w:type="auto"/>
                      <w:tblInd w:w="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73"/>
                    </w:trPr>
                    <w:tc>
                      <w:tcPr>
                        <w:tcW w:w="676" w:type="dxa"/>
                        <w:tcBorders>
                          <w:top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04" w:type="dxa"/>
                        <w:tcBorders>
                          <w:top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4746" w:type="dxa"/>
                        <w:tcBorders>
                          <w:top w:val="nil"/>
                        </w:tcBorders>
                      </w:tcPr>
                      <w:p>
                        <w:pPr>
                          <w:pStyle w:val="TableParagraph"/>
                          <w:spacing w:before="2" w:line="252" w:lineRule="exact"/>
                          <w:ind w:left="163" w:right="156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旧塑料再生等严重污染水环境的生产项目。</w:t>
                        </w:r>
                      </w:p>
                    </w:tc>
                    <w:tc>
                      <w:tcPr>
                        <w:tcW w:w="1201" w:type="dxa"/>
                        <w:tcBorders>
                          <w:top w:val="nil"/>
                        </w:tcBorders>
                      </w:tcPr>
                      <w:p>
                        <w:pPr>
                          <w:pStyle w:val="TableParagraph"/>
                          <w:spacing w:before="2" w:line="252" w:lineRule="exact"/>
                          <w:ind w:left="70" w:right="65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目，符合</w:t>
                        </w:r>
                      </w:p>
                    </w:tc>
                  </w:tr>
                  <w:tr>
                    <w:tblPrEx>
                      <w:tblW w:w="0" w:type="auto"/>
                      <w:tblInd w:w="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1088"/>
                    </w:trPr>
                    <w:tc>
                      <w:tcPr>
                        <w:tcW w:w="676" w:type="dxa"/>
                      </w:tcPr>
                      <w:p>
                        <w:pPr>
                          <w:pStyle w:val="TableParagraph"/>
                          <w:spacing w:before="3"/>
                          <w:rPr>
                            <w:rFonts w:ascii="黑体"/>
                            <w:sz w:val="21"/>
                          </w:rPr>
                        </w:pPr>
                      </w:p>
                      <w:p>
                        <w:pPr>
                          <w:pStyle w:val="TableParagraph"/>
                          <w:spacing w:line="242" w:lineRule="auto"/>
                          <w:ind w:left="128" w:right="117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土壤环境</w:t>
                        </w:r>
                      </w:p>
                    </w:tc>
                    <w:tc>
                      <w:tcPr>
                        <w:tcW w:w="904" w:type="dxa"/>
                      </w:tcPr>
                      <w:p>
                        <w:pPr>
                          <w:pStyle w:val="TableParagraph"/>
                          <w:spacing w:line="242" w:lineRule="auto"/>
                          <w:ind w:left="136" w:right="126"/>
                          <w:jc w:val="both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建设用地一般管控单</w:t>
                        </w:r>
                      </w:p>
                      <w:p>
                        <w:pPr>
                          <w:pStyle w:val="TableParagraph"/>
                          <w:spacing w:before="2" w:line="252" w:lineRule="exact"/>
                          <w:ind w:left="10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99"/>
                            <w:sz w:val="21"/>
                          </w:rPr>
                          <w:t>元</w:t>
                        </w:r>
                      </w:p>
                    </w:tc>
                    <w:tc>
                      <w:tcPr>
                        <w:tcW w:w="4746" w:type="dxa"/>
                      </w:tcPr>
                      <w:p>
                        <w:pPr>
                          <w:pStyle w:val="TableParagraph"/>
                          <w:spacing w:line="268" w:lineRule="exact"/>
                          <w:ind w:left="166" w:right="156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95"/>
                            <w:sz w:val="21"/>
                          </w:rPr>
                          <w:t>风险管控严格执行《工矿用地土壤环境管理办法</w:t>
                        </w:r>
                      </w:p>
                      <w:p>
                        <w:pPr>
                          <w:pStyle w:val="TableParagraph"/>
                          <w:spacing w:before="4" w:line="242" w:lineRule="auto"/>
                          <w:ind w:left="168" w:right="156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95"/>
                            <w:sz w:val="21"/>
                          </w:rPr>
                          <w:t>（试行）》和《污染地块土壤环境管理办法（试 行）》。建立一企一档，标注地块内的风险源，</w:t>
                        </w:r>
                      </w:p>
                      <w:p>
                        <w:pPr>
                          <w:pStyle w:val="TableParagraph"/>
                          <w:spacing w:before="2" w:line="252" w:lineRule="exact"/>
                          <w:ind w:left="163" w:right="156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标明企业的特征污染物。</w:t>
                        </w:r>
                      </w:p>
                    </w:tc>
                    <w:tc>
                      <w:tcPr>
                        <w:tcW w:w="1201" w:type="dxa"/>
                      </w:tcPr>
                      <w:p>
                        <w:pPr>
                          <w:pStyle w:val="TableParagraph"/>
                          <w:spacing w:before="135" w:line="242" w:lineRule="auto"/>
                          <w:ind w:left="179" w:right="17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拟建项目无风险物质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</v:shape>
        </w:pict>
      </w:r>
    </w:p>
    <w:p>
      <w:pPr>
        <w:spacing w:after="0"/>
        <w:rPr>
          <w:sz w:val="2"/>
          <w:szCs w:val="2"/>
        </w:rPr>
        <w:sectPr>
          <w:footerReference w:type="default" r:id="rId9"/>
          <w:pgSz w:w="11910" w:h="16840"/>
          <w:pgMar w:top="1540" w:right="1200" w:bottom="960" w:left="1220" w:header="0" w:footer="743" w:gutter="0"/>
          <w:pgNumType w:start="5"/>
          <w:cols w:num="1"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93"/>
        <w:gridCol w:w="895"/>
        <w:gridCol w:w="199"/>
        <w:gridCol w:w="651"/>
        <w:gridCol w:w="4265"/>
        <w:gridCol w:w="1563"/>
        <w:gridCol w:w="90"/>
      </w:tblGrid>
      <w:tr>
        <w:tblPrEx>
          <w:tblW w:w="0" w:type="auto"/>
          <w:tblInd w:w="121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2"/>
        </w:trPr>
        <w:tc>
          <w:tcPr>
            <w:tcW w:w="1593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5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gridSpan w:val="2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65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242" w:lineRule="exact"/>
              <w:ind w:left="105" w:right="100"/>
              <w:jc w:val="center"/>
              <w:rPr>
                <w:sz w:val="21"/>
              </w:rPr>
            </w:pPr>
            <w:r>
              <w:rPr>
                <w:sz w:val="21"/>
              </w:rPr>
              <w:t>德州全市属于地下水超采区，根据《山东省</w:t>
            </w:r>
          </w:p>
        </w:tc>
        <w:tc>
          <w:tcPr>
            <w:tcW w:w="1563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" w:type="dxa"/>
            <w:vMerge w:val="restart"/>
            <w:tcBorders>
              <w:bottom w:val="nil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blPrEx>
          <w:tblW w:w="0" w:type="auto"/>
          <w:tblInd w:w="1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/>
        </w:trPr>
        <w:tc>
          <w:tcPr>
            <w:tcW w:w="15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6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2" w:lineRule="exact"/>
              <w:ind w:left="105" w:right="100"/>
              <w:jc w:val="center"/>
              <w:rPr>
                <w:sz w:val="21"/>
              </w:rPr>
            </w:pPr>
            <w:r>
              <w:rPr>
                <w:sz w:val="21"/>
              </w:rPr>
              <w:t>地下水超采区综合整治实施方案》的要求，</w:t>
            </w:r>
          </w:p>
        </w:tc>
        <w:tc>
          <w:tcPr>
            <w:tcW w:w="156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" w:type="dxa"/>
            <w:vMerge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1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/>
        </w:trPr>
        <w:tc>
          <w:tcPr>
            <w:tcW w:w="15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6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2" w:lineRule="exact"/>
              <w:ind w:left="105" w:right="100"/>
              <w:jc w:val="center"/>
              <w:rPr>
                <w:sz w:val="21"/>
              </w:rPr>
            </w:pPr>
            <w:r>
              <w:rPr>
                <w:sz w:val="21"/>
              </w:rPr>
              <w:t>除居民生活用水与应急供水外，严禁新增地</w:t>
            </w:r>
          </w:p>
        </w:tc>
        <w:tc>
          <w:tcPr>
            <w:tcW w:w="156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" w:type="dxa"/>
            <w:vMerge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1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/>
        </w:trPr>
        <w:tc>
          <w:tcPr>
            <w:tcW w:w="15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6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2" w:lineRule="exact"/>
              <w:ind w:left="105" w:right="100"/>
              <w:jc w:val="center"/>
              <w:rPr>
                <w:sz w:val="21"/>
              </w:rPr>
            </w:pPr>
            <w:r>
              <w:rPr>
                <w:sz w:val="21"/>
              </w:rPr>
              <w:t>下水取水量；确需取用地下水的，要在现有</w:t>
            </w:r>
          </w:p>
        </w:tc>
        <w:tc>
          <w:tcPr>
            <w:tcW w:w="156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" w:type="dxa"/>
            <w:vMerge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1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/>
        </w:trPr>
        <w:tc>
          <w:tcPr>
            <w:tcW w:w="15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6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1" w:lineRule="exact"/>
              <w:ind w:left="105" w:right="100"/>
              <w:jc w:val="center"/>
              <w:rPr>
                <w:sz w:val="21"/>
              </w:rPr>
            </w:pPr>
            <w:r>
              <w:rPr>
                <w:sz w:val="21"/>
              </w:rPr>
              <w:t>地下水开采总量控制指标内调剂解决，并逐</w:t>
            </w:r>
          </w:p>
        </w:tc>
        <w:tc>
          <w:tcPr>
            <w:tcW w:w="156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" w:type="dxa"/>
            <w:vMerge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1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/>
        </w:trPr>
        <w:tc>
          <w:tcPr>
            <w:tcW w:w="15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6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2" w:lineRule="exact"/>
              <w:ind w:left="105" w:right="100"/>
              <w:jc w:val="center"/>
              <w:rPr>
                <w:sz w:val="21"/>
              </w:rPr>
            </w:pPr>
            <w:r>
              <w:rPr>
                <w:sz w:val="21"/>
              </w:rPr>
              <w:t>步削减地下水开采量。取用地下水总量已达</w:t>
            </w:r>
          </w:p>
        </w:tc>
        <w:tc>
          <w:tcPr>
            <w:tcW w:w="156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" w:type="dxa"/>
            <w:vMerge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1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/>
        </w:trPr>
        <w:tc>
          <w:tcPr>
            <w:tcW w:w="15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6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2" w:lineRule="exact"/>
              <w:ind w:left="105" w:right="100"/>
              <w:jc w:val="center"/>
              <w:rPr>
                <w:sz w:val="21"/>
              </w:rPr>
            </w:pPr>
            <w:r>
              <w:rPr>
                <w:sz w:val="21"/>
              </w:rPr>
              <w:t>到或超过控制指标的地区，暂停审批其建设</w:t>
            </w:r>
          </w:p>
        </w:tc>
        <w:tc>
          <w:tcPr>
            <w:tcW w:w="156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" w:type="dxa"/>
            <w:vMerge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1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/>
        </w:trPr>
        <w:tc>
          <w:tcPr>
            <w:tcW w:w="15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6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2" w:lineRule="exact"/>
              <w:ind w:left="105" w:right="100"/>
              <w:jc w:val="center"/>
              <w:rPr>
                <w:sz w:val="21"/>
              </w:rPr>
            </w:pPr>
            <w:r>
              <w:rPr>
                <w:sz w:val="21"/>
              </w:rPr>
              <w:t>项目新增取用地下水。实行地下水用水总量</w:t>
            </w:r>
          </w:p>
        </w:tc>
        <w:tc>
          <w:tcPr>
            <w:tcW w:w="156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" w:type="dxa"/>
            <w:vMerge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1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/>
        </w:trPr>
        <w:tc>
          <w:tcPr>
            <w:tcW w:w="15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6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4" w:lineRule="exact"/>
              <w:ind w:left="105" w:right="100"/>
              <w:jc w:val="center"/>
              <w:rPr>
                <w:sz w:val="21"/>
              </w:rPr>
            </w:pPr>
            <w:r>
              <w:rPr>
                <w:sz w:val="21"/>
              </w:rPr>
              <w:t>和水位双控，加强超采地区地下水监测和治</w:t>
            </w:r>
          </w:p>
        </w:tc>
        <w:tc>
          <w:tcPr>
            <w:tcW w:w="156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" w:type="dxa"/>
            <w:vMerge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1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7"/>
        </w:trPr>
        <w:tc>
          <w:tcPr>
            <w:tcW w:w="15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黑体"/>
                <w:sz w:val="20"/>
              </w:rPr>
            </w:pPr>
          </w:p>
          <w:p>
            <w:pPr>
              <w:pStyle w:val="TableParagraph"/>
              <w:rPr>
                <w:rFonts w:ascii="黑体"/>
                <w:sz w:val="20"/>
              </w:rPr>
            </w:pPr>
          </w:p>
          <w:p>
            <w:pPr>
              <w:pStyle w:val="TableParagraph"/>
              <w:spacing w:before="158" w:line="242" w:lineRule="auto"/>
              <w:ind w:left="155" w:right="99"/>
              <w:jc w:val="both"/>
              <w:rPr>
                <w:sz w:val="21"/>
              </w:rPr>
            </w:pPr>
            <w:r>
              <w:rPr>
                <w:sz w:val="21"/>
              </w:rPr>
              <w:t>地下水资源管控区</w:t>
            </w:r>
          </w:p>
        </w:tc>
        <w:tc>
          <w:tcPr>
            <w:tcW w:w="850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before="126" w:line="242" w:lineRule="auto"/>
              <w:ind w:left="111" w:right="97"/>
              <w:jc w:val="center"/>
              <w:rPr>
                <w:sz w:val="21"/>
              </w:rPr>
            </w:pPr>
            <w:r>
              <w:rPr>
                <w:sz w:val="21"/>
              </w:rPr>
              <w:t>深层承压水禁采区、浅层地下水部分限采取</w:t>
            </w:r>
          </w:p>
        </w:tc>
        <w:tc>
          <w:tcPr>
            <w:tcW w:w="426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1" w:lineRule="exact"/>
              <w:ind w:left="105" w:right="105"/>
              <w:jc w:val="center"/>
              <w:rPr>
                <w:sz w:val="21"/>
              </w:rPr>
            </w:pPr>
            <w:r>
              <w:rPr>
                <w:sz w:val="21"/>
              </w:rPr>
              <w:t>理，推动实现地下水水位回升。</w:t>
            </w:r>
          </w:p>
          <w:p>
            <w:pPr>
              <w:pStyle w:val="TableParagraph"/>
              <w:spacing w:before="2" w:line="242" w:lineRule="auto"/>
              <w:ind w:left="135" w:right="128"/>
              <w:jc w:val="center"/>
              <w:rPr>
                <w:sz w:val="21"/>
              </w:rPr>
            </w:pPr>
            <w:r>
              <w:rPr>
                <w:w w:val="95"/>
                <w:sz w:val="21"/>
              </w:rPr>
              <w:t>浅层地下水限采区：按照省水利厅划定的浅 层超采区范围，编制超采区治理方案，按照</w:t>
            </w:r>
            <w:r>
              <w:rPr>
                <w:sz w:val="21"/>
              </w:rPr>
              <w:t>年度计划进行超采区治理，逐步实现限采 区内地下水采补平衡。</w:t>
            </w:r>
          </w:p>
          <w:p>
            <w:pPr>
              <w:pStyle w:val="TableParagraph"/>
              <w:spacing w:before="2" w:line="242" w:lineRule="auto"/>
              <w:ind w:left="135" w:right="128"/>
              <w:jc w:val="center"/>
              <w:rPr>
                <w:sz w:val="21"/>
              </w:rPr>
            </w:pPr>
            <w:r>
              <w:rPr>
                <w:w w:val="95"/>
                <w:sz w:val="21"/>
              </w:rPr>
              <w:t>深层地下水禁采区：深层承压地下水原则上 只能作为应急和战略储备水源要求，现状深</w:t>
            </w:r>
          </w:p>
          <w:p>
            <w:pPr>
              <w:pStyle w:val="TableParagraph"/>
              <w:spacing w:before="2" w:line="240" w:lineRule="exact"/>
              <w:ind w:left="105" w:right="100"/>
              <w:jc w:val="center"/>
              <w:rPr>
                <w:sz w:val="21"/>
              </w:rPr>
            </w:pPr>
            <w:r>
              <w:rPr>
                <w:w w:val="95"/>
                <w:sz w:val="21"/>
              </w:rPr>
              <w:t>层承压水开采井要结合替代水源建设逐步封</w:t>
            </w:r>
          </w:p>
        </w:tc>
        <w:tc>
          <w:tcPr>
            <w:tcW w:w="156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黑体"/>
                <w:sz w:val="20"/>
              </w:rPr>
            </w:pPr>
          </w:p>
          <w:p>
            <w:pPr>
              <w:pStyle w:val="TableParagraph"/>
              <w:rPr>
                <w:rFonts w:ascii="黑体"/>
                <w:sz w:val="20"/>
              </w:rPr>
            </w:pPr>
          </w:p>
          <w:p>
            <w:pPr>
              <w:pStyle w:val="TableParagraph"/>
              <w:rPr>
                <w:rFonts w:ascii="黑体"/>
                <w:sz w:val="23"/>
              </w:rPr>
            </w:pPr>
          </w:p>
          <w:p>
            <w:pPr>
              <w:pStyle w:val="TableParagraph"/>
              <w:spacing w:line="242" w:lineRule="auto"/>
              <w:ind w:left="145" w:right="148"/>
              <w:rPr>
                <w:sz w:val="21"/>
              </w:rPr>
            </w:pPr>
            <w:r>
              <w:rPr>
                <w:sz w:val="21"/>
              </w:rPr>
              <w:t>拟建项目不涉及使用地下水</w:t>
            </w:r>
          </w:p>
        </w:tc>
        <w:tc>
          <w:tcPr>
            <w:tcW w:w="90" w:type="dxa"/>
            <w:vMerge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1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41"/>
        </w:trPr>
        <w:tc>
          <w:tcPr>
            <w:tcW w:w="15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6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2" w:lineRule="auto"/>
              <w:ind w:left="135" w:right="128"/>
              <w:jc w:val="center"/>
              <w:rPr>
                <w:sz w:val="21"/>
              </w:rPr>
            </w:pPr>
            <w:r>
              <w:rPr>
                <w:w w:val="95"/>
                <w:sz w:val="21"/>
              </w:rPr>
              <w:t>停。逐步关停非生活用水和部分有水源替代</w:t>
            </w:r>
            <w:r>
              <w:rPr>
                <w:sz w:val="21"/>
              </w:rPr>
              <w:t>条件的深层承压水开采井，</w:t>
            </w:r>
            <w:r>
              <w:rPr>
                <w:rFonts w:ascii="Times New Roman" w:eastAsia="Times New Roman"/>
                <w:sz w:val="21"/>
              </w:rPr>
              <w:t xml:space="preserve">2025 </w:t>
            </w:r>
            <w:r>
              <w:rPr>
                <w:sz w:val="21"/>
              </w:rPr>
              <w:t>年前全部关停深层承压水开采井。</w:t>
            </w:r>
          </w:p>
          <w:p>
            <w:pPr>
              <w:pStyle w:val="TableParagraph"/>
              <w:ind w:left="105" w:right="105"/>
              <w:jc w:val="center"/>
              <w:rPr>
                <w:sz w:val="21"/>
              </w:rPr>
            </w:pPr>
            <w:r>
              <w:rPr>
                <w:sz w:val="21"/>
              </w:rPr>
              <w:t>试行</w:t>
            </w:r>
            <w:r>
              <w:rPr>
                <w:rFonts w:ascii="Times New Roman" w:eastAsia="Times New Roman" w:hAnsi="Times New Roman"/>
                <w:sz w:val="21"/>
              </w:rPr>
              <w:t>“</w:t>
            </w:r>
            <w:r>
              <w:rPr>
                <w:sz w:val="21"/>
              </w:rPr>
              <w:t>退地减水</w:t>
            </w:r>
            <w:r>
              <w:rPr>
                <w:rFonts w:ascii="Times New Roman" w:eastAsia="Times New Roman" w:hAnsi="Times New Roman"/>
                <w:spacing w:val="-7"/>
                <w:sz w:val="21"/>
              </w:rPr>
              <w:t xml:space="preserve">” </w:t>
            </w:r>
            <w:r>
              <w:rPr>
                <w:sz w:val="21"/>
              </w:rPr>
              <w:t>措施，适当减少用水量较大</w:t>
            </w:r>
          </w:p>
          <w:p>
            <w:pPr>
              <w:pStyle w:val="TableParagraph"/>
              <w:spacing w:line="242" w:lineRule="exact"/>
              <w:ind w:left="105" w:right="100"/>
              <w:jc w:val="center"/>
              <w:rPr>
                <w:sz w:val="21"/>
              </w:rPr>
            </w:pPr>
            <w:r>
              <w:rPr>
                <w:w w:val="95"/>
                <w:sz w:val="21"/>
              </w:rPr>
              <w:t>的农作物种植面积，改种耐旱作物和生态树</w:t>
            </w:r>
          </w:p>
        </w:tc>
        <w:tc>
          <w:tcPr>
            <w:tcW w:w="156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" w:type="dxa"/>
            <w:vMerge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1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/>
        </w:trPr>
        <w:tc>
          <w:tcPr>
            <w:tcW w:w="15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6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2" w:lineRule="exact"/>
              <w:ind w:left="105" w:right="100"/>
              <w:jc w:val="center"/>
              <w:rPr>
                <w:sz w:val="21"/>
              </w:rPr>
            </w:pPr>
            <w:r>
              <w:rPr>
                <w:sz w:val="21"/>
              </w:rPr>
              <w:t>种。工业生产、城市绿化、生态景观等要优</w:t>
            </w:r>
          </w:p>
        </w:tc>
        <w:tc>
          <w:tcPr>
            <w:tcW w:w="156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" w:type="dxa"/>
            <w:vMerge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1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/>
        </w:trPr>
        <w:tc>
          <w:tcPr>
            <w:tcW w:w="15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6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2" w:lineRule="exact"/>
              <w:ind w:left="105" w:right="100"/>
              <w:jc w:val="center"/>
              <w:rPr>
                <w:sz w:val="21"/>
              </w:rPr>
            </w:pPr>
            <w:r>
              <w:rPr>
                <w:sz w:val="21"/>
              </w:rPr>
              <w:t>先使用再生水。对具备使用再生水条件但未</w:t>
            </w:r>
          </w:p>
        </w:tc>
        <w:tc>
          <w:tcPr>
            <w:tcW w:w="156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" w:type="dxa"/>
            <w:vMerge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1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/>
        </w:trPr>
        <w:tc>
          <w:tcPr>
            <w:tcW w:w="15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6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2" w:lineRule="exact"/>
              <w:ind w:left="105" w:right="100"/>
              <w:jc w:val="center"/>
              <w:rPr>
                <w:sz w:val="21"/>
              </w:rPr>
            </w:pPr>
            <w:r>
              <w:rPr>
                <w:sz w:val="21"/>
              </w:rPr>
              <w:t>充分利用的钢铁、火电、化工、造纸、印染</w:t>
            </w:r>
          </w:p>
        </w:tc>
        <w:tc>
          <w:tcPr>
            <w:tcW w:w="156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" w:type="dxa"/>
            <w:vMerge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1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7"/>
        </w:trPr>
        <w:tc>
          <w:tcPr>
            <w:tcW w:w="15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5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gridSpan w:val="2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65" w:type="dxa"/>
            <w:tcBorders>
              <w:top w:val="nil"/>
            </w:tcBorders>
          </w:tcPr>
          <w:p>
            <w:pPr>
              <w:pStyle w:val="TableParagraph"/>
              <w:spacing w:line="238" w:lineRule="exact"/>
              <w:ind w:left="105" w:right="103"/>
              <w:jc w:val="center"/>
              <w:rPr>
                <w:sz w:val="21"/>
              </w:rPr>
            </w:pPr>
            <w:r>
              <w:rPr>
                <w:sz w:val="21"/>
              </w:rPr>
              <w:t>等项目，不得批准其新增取用地下水。</w:t>
            </w:r>
          </w:p>
        </w:tc>
        <w:tc>
          <w:tcPr>
            <w:tcW w:w="1563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" w:type="dxa"/>
            <w:vMerge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1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7"/>
        </w:trPr>
        <w:tc>
          <w:tcPr>
            <w:tcW w:w="15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5" w:type="dxa"/>
          </w:tcPr>
          <w:p>
            <w:pPr>
              <w:pStyle w:val="TableParagraph"/>
              <w:spacing w:line="263" w:lineRule="exact"/>
              <w:ind w:left="155"/>
              <w:rPr>
                <w:sz w:val="21"/>
              </w:rPr>
            </w:pPr>
            <w:r>
              <w:rPr>
                <w:sz w:val="21"/>
              </w:rPr>
              <w:t>土地资</w:t>
            </w:r>
          </w:p>
          <w:p>
            <w:pPr>
              <w:pStyle w:val="TableParagraph"/>
              <w:spacing w:before="3" w:line="270" w:lineRule="atLeast"/>
              <w:ind w:left="260" w:right="99" w:hanging="106"/>
              <w:rPr>
                <w:sz w:val="21"/>
              </w:rPr>
            </w:pPr>
            <w:r>
              <w:rPr>
                <w:sz w:val="21"/>
              </w:rPr>
              <w:t>源利用上线</w:t>
            </w:r>
          </w:p>
        </w:tc>
        <w:tc>
          <w:tcPr>
            <w:tcW w:w="850" w:type="dxa"/>
            <w:gridSpan w:val="2"/>
          </w:tcPr>
          <w:p>
            <w:pPr>
              <w:pStyle w:val="TableParagraph"/>
              <w:spacing w:before="12"/>
              <w:rPr>
                <w:rFonts w:ascii="黑体"/>
                <w:sz w:val="21"/>
              </w:rPr>
            </w:pPr>
          </w:p>
          <w:p>
            <w:pPr>
              <w:pStyle w:val="TableParagraph"/>
              <w:ind w:left="15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9"/>
                <w:sz w:val="21"/>
              </w:rPr>
              <w:t>-</w:t>
            </w:r>
          </w:p>
        </w:tc>
        <w:tc>
          <w:tcPr>
            <w:tcW w:w="4265" w:type="dxa"/>
          </w:tcPr>
          <w:p>
            <w:pPr>
              <w:pStyle w:val="TableParagraph"/>
              <w:spacing w:before="130" w:line="242" w:lineRule="auto"/>
              <w:ind w:left="238" w:right="128" w:hanging="104"/>
              <w:rPr>
                <w:sz w:val="21"/>
              </w:rPr>
            </w:pPr>
            <w:r>
              <w:rPr>
                <w:w w:val="95"/>
                <w:sz w:val="21"/>
              </w:rPr>
              <w:t>德州市土地资源具体要求按照发布后的《德</w:t>
            </w:r>
            <w:r>
              <w:rPr>
                <w:sz w:val="21"/>
              </w:rPr>
              <w:t>州市国土空间总体规划》相应要求执行。</w:t>
            </w:r>
          </w:p>
        </w:tc>
        <w:tc>
          <w:tcPr>
            <w:tcW w:w="1563" w:type="dxa"/>
          </w:tcPr>
          <w:p>
            <w:pPr>
              <w:pStyle w:val="TableParagraph"/>
              <w:spacing w:before="130" w:line="242" w:lineRule="auto"/>
              <w:ind w:left="250" w:right="148" w:hanging="106"/>
              <w:rPr>
                <w:sz w:val="21"/>
              </w:rPr>
            </w:pPr>
            <w:r>
              <w:rPr>
                <w:sz w:val="21"/>
              </w:rPr>
              <w:t>拟建项目不新增建设用地</w:t>
            </w:r>
          </w:p>
        </w:tc>
        <w:tc>
          <w:tcPr>
            <w:tcW w:w="90" w:type="dxa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blPrEx>
          <w:tblW w:w="0" w:type="auto"/>
          <w:tblInd w:w="1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30"/>
        </w:trPr>
        <w:tc>
          <w:tcPr>
            <w:tcW w:w="15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63" w:type="dxa"/>
            <w:gridSpan w:val="6"/>
            <w:tcBorders>
              <w:right w:val="single" w:sz="8" w:space="0" w:color="000000"/>
            </w:tcBorders>
          </w:tcPr>
          <w:p>
            <w:pPr>
              <w:pStyle w:val="TableParagraph"/>
              <w:spacing w:line="304" w:lineRule="exact"/>
              <w:ind w:left="438"/>
              <w:rPr>
                <w:sz w:val="24"/>
              </w:rPr>
            </w:pPr>
            <w:bookmarkStart w:id="10" w:name="4、生态环境准入清单"/>
            <w:bookmarkEnd w:id="10"/>
            <w:r>
              <w:rPr>
                <w:rFonts w:ascii="Times New Roman" w:eastAsia="Times New Roman"/>
                <w:sz w:val="24"/>
              </w:rPr>
              <w:t>4</w:t>
            </w:r>
            <w:r>
              <w:rPr>
                <w:sz w:val="24"/>
              </w:rPr>
              <w:t>、生态环境准入清单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val="left" w:pos="1040"/>
              </w:tabs>
              <w:spacing w:before="160" w:after="0" w:line="240" w:lineRule="auto"/>
              <w:ind w:left="1039" w:right="0" w:hanging="602"/>
              <w:jc w:val="left"/>
              <w:rPr>
                <w:sz w:val="24"/>
              </w:rPr>
            </w:pPr>
            <w:bookmarkStart w:id="11" w:name="（1）总则"/>
            <w:bookmarkEnd w:id="11"/>
            <w:r>
              <w:rPr>
                <w:sz w:val="24"/>
              </w:rPr>
              <w:t>总则</w:t>
            </w:r>
          </w:p>
          <w:p>
            <w:pPr>
              <w:pStyle w:val="TableParagraph"/>
              <w:spacing w:before="158"/>
              <w:ind w:left="438"/>
              <w:rPr>
                <w:sz w:val="24"/>
              </w:rPr>
            </w:pPr>
            <w:bookmarkStart w:id="12" w:name="拟建项目不属于禁止、限制和不符合空间布局要求开发建设的活动。"/>
            <w:bookmarkEnd w:id="12"/>
            <w:r>
              <w:rPr>
                <w:sz w:val="24"/>
              </w:rPr>
              <w:t>拟建项目不属于禁止、限制和不符合空间布局要求开发建设的活动。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val="left" w:pos="999"/>
              </w:tabs>
              <w:spacing w:before="161" w:after="0" w:line="240" w:lineRule="auto"/>
              <w:ind w:left="998" w:right="0" w:hanging="602"/>
              <w:jc w:val="left"/>
              <w:rPr>
                <w:sz w:val="24"/>
              </w:rPr>
            </w:pPr>
            <w:r>
              <w:rPr>
                <w:sz w:val="24"/>
              </w:rPr>
              <w:t>单元清单</w:t>
            </w:r>
          </w:p>
          <w:p>
            <w:pPr>
              <w:pStyle w:val="TableParagraph"/>
              <w:spacing w:before="157" w:line="248" w:lineRule="exact"/>
              <w:ind w:left="2090" w:right="212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表 </w:t>
            </w:r>
            <w:r>
              <w:rPr>
                <w:rFonts w:ascii="Times New Roman" w:eastAsia="Times New Roman"/>
                <w:b/>
                <w:sz w:val="21"/>
              </w:rPr>
              <w:t xml:space="preserve">1-5 </w:t>
            </w:r>
            <w:r>
              <w:rPr>
                <w:b/>
                <w:sz w:val="21"/>
              </w:rPr>
              <w:t>生态环境准入清单符合性分析</w:t>
            </w:r>
          </w:p>
        </w:tc>
      </w:tr>
      <w:tr>
        <w:tblPrEx>
          <w:tblW w:w="0" w:type="auto"/>
          <w:tblInd w:w="1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</w:trPr>
        <w:tc>
          <w:tcPr>
            <w:tcW w:w="15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94" w:type="dxa"/>
            <w:gridSpan w:val="2"/>
            <w:tcBorders>
              <w:bottom w:val="nil"/>
            </w:tcBorders>
          </w:tcPr>
          <w:p>
            <w:pPr>
              <w:pStyle w:val="TableParagraph"/>
              <w:spacing w:line="236" w:lineRule="exact"/>
              <w:ind w:left="164"/>
              <w:rPr>
                <w:b/>
                <w:sz w:val="21"/>
              </w:rPr>
            </w:pPr>
            <w:r>
              <w:rPr>
                <w:b/>
                <w:sz w:val="21"/>
              </w:rPr>
              <w:t>环境管控</w:t>
            </w:r>
          </w:p>
        </w:tc>
        <w:tc>
          <w:tcPr>
            <w:tcW w:w="6479" w:type="dxa"/>
            <w:gridSpan w:val="3"/>
            <w:vMerge w:val="restart"/>
          </w:tcPr>
          <w:p>
            <w:pPr>
              <w:pStyle w:val="TableParagraph"/>
              <w:spacing w:before="146"/>
              <w:ind w:left="2509" w:right="2484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ZH37148127474</w:t>
            </w:r>
          </w:p>
        </w:tc>
        <w:tc>
          <w:tcPr>
            <w:tcW w:w="90" w:type="dxa"/>
            <w:vMerge w:val="restart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blPrEx>
          <w:tblW w:w="0" w:type="auto"/>
          <w:tblInd w:w="1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/>
        </w:trPr>
        <w:tc>
          <w:tcPr>
            <w:tcW w:w="15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94" w:type="dxa"/>
            <w:gridSpan w:val="2"/>
            <w:tcBorders>
              <w:top w:val="nil"/>
            </w:tcBorders>
          </w:tcPr>
          <w:p>
            <w:pPr>
              <w:pStyle w:val="TableParagraph"/>
              <w:spacing w:line="239" w:lineRule="exact"/>
              <w:ind w:left="164"/>
              <w:rPr>
                <w:b/>
                <w:sz w:val="21"/>
              </w:rPr>
            </w:pPr>
            <w:r>
              <w:rPr>
                <w:b/>
                <w:sz w:val="21"/>
              </w:rPr>
              <w:t>单元编码</w:t>
            </w:r>
          </w:p>
        </w:tc>
        <w:tc>
          <w:tcPr>
            <w:tcW w:w="6479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0" w:type="dxa"/>
            <w:vMerge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1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</w:trPr>
        <w:tc>
          <w:tcPr>
            <w:tcW w:w="15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94" w:type="dxa"/>
            <w:gridSpan w:val="2"/>
            <w:tcBorders>
              <w:bottom w:val="nil"/>
            </w:tcBorders>
          </w:tcPr>
          <w:p>
            <w:pPr>
              <w:pStyle w:val="TableParagraph"/>
              <w:spacing w:line="235" w:lineRule="exact"/>
              <w:ind w:left="164"/>
              <w:rPr>
                <w:b/>
                <w:sz w:val="21"/>
              </w:rPr>
            </w:pPr>
            <w:r>
              <w:rPr>
                <w:b/>
                <w:sz w:val="21"/>
              </w:rPr>
              <w:t>环境管控</w:t>
            </w:r>
          </w:p>
        </w:tc>
        <w:tc>
          <w:tcPr>
            <w:tcW w:w="6479" w:type="dxa"/>
            <w:gridSpan w:val="3"/>
            <w:vMerge w:val="restart"/>
          </w:tcPr>
          <w:p>
            <w:pPr>
              <w:pStyle w:val="TableParagraph"/>
              <w:spacing w:before="129"/>
              <w:ind w:left="2509" w:right="2483"/>
              <w:jc w:val="center"/>
              <w:rPr>
                <w:sz w:val="21"/>
              </w:rPr>
            </w:pPr>
            <w:r>
              <w:rPr>
                <w:sz w:val="21"/>
              </w:rPr>
              <w:t>杨安镇</w:t>
            </w:r>
          </w:p>
        </w:tc>
        <w:tc>
          <w:tcPr>
            <w:tcW w:w="90" w:type="dxa"/>
            <w:vMerge w:val="restart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blPrEx>
          <w:tblW w:w="0" w:type="auto"/>
          <w:tblInd w:w="1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"/>
        </w:trPr>
        <w:tc>
          <w:tcPr>
            <w:tcW w:w="15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94" w:type="dxa"/>
            <w:gridSpan w:val="2"/>
            <w:tcBorders>
              <w:top w:val="nil"/>
            </w:tcBorders>
          </w:tcPr>
          <w:p>
            <w:pPr>
              <w:pStyle w:val="TableParagraph"/>
              <w:spacing w:line="239" w:lineRule="exact"/>
              <w:ind w:left="164"/>
              <w:rPr>
                <w:b/>
                <w:sz w:val="21"/>
              </w:rPr>
            </w:pPr>
            <w:r>
              <w:rPr>
                <w:b/>
                <w:sz w:val="21"/>
              </w:rPr>
              <w:t>单元名称</w:t>
            </w:r>
          </w:p>
        </w:tc>
        <w:tc>
          <w:tcPr>
            <w:tcW w:w="6479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0" w:type="dxa"/>
            <w:vMerge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1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/>
        </w:trPr>
        <w:tc>
          <w:tcPr>
            <w:tcW w:w="15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94" w:type="dxa"/>
            <w:gridSpan w:val="2"/>
          </w:tcPr>
          <w:p>
            <w:pPr>
              <w:pStyle w:val="TableParagraph"/>
              <w:spacing w:before="57"/>
              <w:ind w:left="363"/>
              <w:rPr>
                <w:b/>
                <w:sz w:val="21"/>
              </w:rPr>
            </w:pPr>
            <w:r>
              <w:rPr>
                <w:b/>
                <w:sz w:val="21"/>
              </w:rPr>
              <w:t>分类</w:t>
            </w:r>
          </w:p>
        </w:tc>
        <w:tc>
          <w:tcPr>
            <w:tcW w:w="6479" w:type="dxa"/>
            <w:gridSpan w:val="3"/>
          </w:tcPr>
          <w:p>
            <w:pPr>
              <w:pStyle w:val="TableParagraph"/>
              <w:spacing w:before="57"/>
              <w:ind w:left="2509" w:right="2480"/>
              <w:jc w:val="center"/>
              <w:rPr>
                <w:sz w:val="21"/>
              </w:rPr>
            </w:pPr>
            <w:r>
              <w:rPr>
                <w:sz w:val="21"/>
              </w:rPr>
              <w:t>一般管控单元</w:t>
            </w:r>
          </w:p>
        </w:tc>
        <w:tc>
          <w:tcPr>
            <w:tcW w:w="90" w:type="dxa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blPrEx>
          <w:tblW w:w="0" w:type="auto"/>
          <w:tblInd w:w="1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7"/>
        </w:trPr>
        <w:tc>
          <w:tcPr>
            <w:tcW w:w="15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94" w:type="dxa"/>
            <w:gridSpan w:val="2"/>
          </w:tcPr>
          <w:p>
            <w:pPr>
              <w:pStyle w:val="TableParagraph"/>
              <w:spacing w:before="58"/>
              <w:ind w:left="363"/>
              <w:rPr>
                <w:b/>
                <w:sz w:val="21"/>
              </w:rPr>
            </w:pPr>
            <w:r>
              <w:rPr>
                <w:b/>
                <w:sz w:val="21"/>
              </w:rPr>
              <w:t>方面</w:t>
            </w:r>
          </w:p>
        </w:tc>
        <w:tc>
          <w:tcPr>
            <w:tcW w:w="4916" w:type="dxa"/>
            <w:gridSpan w:val="2"/>
          </w:tcPr>
          <w:p>
            <w:pPr>
              <w:pStyle w:val="TableParagraph"/>
              <w:spacing w:before="58"/>
              <w:ind w:left="2025" w:right="1996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相关要求</w:t>
            </w:r>
          </w:p>
        </w:tc>
        <w:tc>
          <w:tcPr>
            <w:tcW w:w="1563" w:type="dxa"/>
          </w:tcPr>
          <w:p>
            <w:pPr>
              <w:pStyle w:val="TableParagraph"/>
              <w:spacing w:before="58"/>
              <w:ind w:left="288"/>
              <w:rPr>
                <w:b/>
                <w:sz w:val="21"/>
              </w:rPr>
            </w:pPr>
            <w:r>
              <w:rPr>
                <w:b/>
                <w:sz w:val="21"/>
              </w:rPr>
              <w:t>符合性分析</w:t>
            </w:r>
          </w:p>
        </w:tc>
        <w:tc>
          <w:tcPr>
            <w:tcW w:w="90" w:type="dxa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blPrEx>
          <w:tblW w:w="0" w:type="auto"/>
          <w:tblInd w:w="1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/>
        </w:trPr>
        <w:tc>
          <w:tcPr>
            <w:tcW w:w="15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94" w:type="dxa"/>
            <w:gridSpan w:val="2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16" w:type="dxa"/>
            <w:gridSpan w:val="2"/>
            <w:tcBorders>
              <w:bottom w:val="nil"/>
            </w:tcBorders>
          </w:tcPr>
          <w:p>
            <w:pPr>
              <w:pStyle w:val="TableParagraph"/>
              <w:spacing w:line="266" w:lineRule="exact"/>
              <w:ind w:left="205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>1.</w:t>
            </w:r>
            <w:r>
              <w:rPr>
                <w:sz w:val="21"/>
              </w:rPr>
              <w:t>执行全市空间布局约束空间准入要求。</w:t>
            </w:r>
            <w:r>
              <w:rPr>
                <w:rFonts w:ascii="Times New Roman" w:eastAsia="Times New Roman"/>
                <w:sz w:val="21"/>
              </w:rPr>
              <w:t>2.</w:t>
            </w:r>
            <w:r>
              <w:rPr>
                <w:sz w:val="21"/>
              </w:rPr>
              <w:t>碧霞湖</w:t>
            </w:r>
          </w:p>
          <w:p>
            <w:pPr>
              <w:pStyle w:val="TableParagraph"/>
              <w:spacing w:before="2" w:line="241" w:lineRule="exact"/>
              <w:ind w:left="153"/>
              <w:rPr>
                <w:sz w:val="21"/>
              </w:rPr>
            </w:pPr>
            <w:r>
              <w:rPr>
                <w:sz w:val="21"/>
              </w:rPr>
              <w:t>水库（杨安镇水库）饮用水水源一级保护区、二级</w:t>
            </w:r>
          </w:p>
        </w:tc>
        <w:tc>
          <w:tcPr>
            <w:tcW w:w="1563" w:type="dxa"/>
            <w:tcBorders>
              <w:bottom w:val="nil"/>
            </w:tcBorders>
          </w:tcPr>
          <w:p>
            <w:pPr>
              <w:pStyle w:val="TableParagraph"/>
              <w:spacing w:line="266" w:lineRule="exact"/>
              <w:ind w:left="157"/>
              <w:rPr>
                <w:sz w:val="21"/>
              </w:rPr>
            </w:pPr>
            <w:r>
              <w:rPr>
                <w:w w:val="95"/>
                <w:sz w:val="21"/>
              </w:rPr>
              <w:t>项目符合空间</w:t>
            </w:r>
          </w:p>
          <w:p>
            <w:pPr>
              <w:pStyle w:val="TableParagraph"/>
              <w:spacing w:before="2" w:line="241" w:lineRule="exact"/>
              <w:ind w:left="157"/>
              <w:rPr>
                <w:sz w:val="21"/>
              </w:rPr>
            </w:pPr>
            <w:r>
              <w:rPr>
                <w:w w:val="95"/>
                <w:sz w:val="21"/>
              </w:rPr>
              <w:t>布局和产业准</w:t>
            </w:r>
          </w:p>
        </w:tc>
        <w:tc>
          <w:tcPr>
            <w:tcW w:w="90" w:type="dxa"/>
            <w:vMerge w:val="restart"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blPrEx>
          <w:tblW w:w="0" w:type="auto"/>
          <w:tblInd w:w="1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2"/>
        </w:trPr>
        <w:tc>
          <w:tcPr>
            <w:tcW w:w="15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94" w:type="dxa"/>
            <w:gridSpan w:val="2"/>
            <w:tcBorders>
              <w:top w:val="nil"/>
              <w:bottom w:val="thickThinMediumGap" w:sz="4" w:space="0" w:color="000000"/>
            </w:tcBorders>
          </w:tcPr>
          <w:p>
            <w:pPr>
              <w:pStyle w:val="TableParagraph"/>
              <w:spacing w:line="244" w:lineRule="auto"/>
              <w:ind w:left="354" w:right="101" w:hanging="212"/>
              <w:rPr>
                <w:sz w:val="21"/>
              </w:rPr>
            </w:pPr>
            <w:r>
              <w:rPr>
                <w:sz w:val="21"/>
              </w:rPr>
              <w:t>空间布局约束</w:t>
            </w:r>
          </w:p>
        </w:tc>
        <w:tc>
          <w:tcPr>
            <w:tcW w:w="4916" w:type="dxa"/>
            <w:gridSpan w:val="2"/>
            <w:tcBorders>
              <w:top w:val="nil"/>
              <w:bottom w:val="thickThinMediumGap" w:sz="4" w:space="0" w:color="000000"/>
            </w:tcBorders>
          </w:tcPr>
          <w:p>
            <w:pPr>
              <w:pStyle w:val="TableParagraph"/>
              <w:spacing w:line="242" w:lineRule="auto"/>
              <w:ind w:left="153" w:right="133"/>
              <w:jc w:val="both"/>
              <w:rPr>
                <w:sz w:val="21"/>
              </w:rPr>
            </w:pPr>
            <w:r>
              <w:rPr>
                <w:w w:val="95"/>
                <w:sz w:val="21"/>
              </w:rPr>
              <w:t xml:space="preserve">保护区内，禁止新建、改建、扩建排放污染物的建 </w:t>
            </w:r>
            <w:r>
              <w:rPr>
                <w:sz w:val="21"/>
              </w:rPr>
              <w:t>设项目。</w:t>
            </w:r>
            <w:r>
              <w:rPr>
                <w:rFonts w:ascii="Times New Roman" w:eastAsia="Times New Roman"/>
                <w:sz w:val="21"/>
              </w:rPr>
              <w:t>3.</w:t>
            </w:r>
            <w:r>
              <w:rPr>
                <w:sz w:val="21"/>
              </w:rPr>
              <w:t>限制报告书级别工业项目建设（农副产</w:t>
            </w:r>
            <w:r>
              <w:rPr>
                <w:w w:val="95"/>
                <w:sz w:val="21"/>
              </w:rPr>
              <w:t>品加工业、食品及饮料制造业等除外），限制废水</w:t>
            </w:r>
          </w:p>
          <w:p>
            <w:pPr>
              <w:pStyle w:val="TableParagraph"/>
              <w:spacing w:line="254" w:lineRule="exact"/>
              <w:ind w:left="1098"/>
              <w:rPr>
                <w:sz w:val="21"/>
              </w:rPr>
            </w:pPr>
            <w:r>
              <w:rPr>
                <w:sz w:val="21"/>
              </w:rPr>
              <w:t>排放量较大的工业项目建设。</w:t>
            </w:r>
          </w:p>
        </w:tc>
        <w:tc>
          <w:tcPr>
            <w:tcW w:w="1563" w:type="dxa"/>
            <w:tcBorders>
              <w:top w:val="nil"/>
              <w:bottom w:val="thickThinMediumGap" w:sz="4" w:space="0" w:color="000000"/>
            </w:tcBorders>
          </w:tcPr>
          <w:p>
            <w:pPr>
              <w:pStyle w:val="TableParagraph"/>
              <w:spacing w:line="242" w:lineRule="auto"/>
              <w:ind w:left="157" w:right="136"/>
              <w:jc w:val="center"/>
              <w:rPr>
                <w:sz w:val="21"/>
              </w:rPr>
            </w:pPr>
            <w:r>
              <w:rPr>
                <w:sz w:val="21"/>
              </w:rPr>
              <w:t>入要求，距离饮用水水源保护区约</w:t>
            </w:r>
          </w:p>
          <w:p>
            <w:pPr>
              <w:pStyle w:val="TableParagraph"/>
              <w:spacing w:line="254" w:lineRule="exact"/>
              <w:ind w:left="154" w:right="136"/>
              <w:jc w:val="center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>2.5km</w:t>
            </w:r>
            <w:r>
              <w:rPr>
                <w:sz w:val="21"/>
              </w:rPr>
              <w:t>，符合</w:t>
            </w:r>
          </w:p>
        </w:tc>
        <w:tc>
          <w:tcPr>
            <w:tcW w:w="90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footerReference w:type="default" r:id="rId10"/>
          <w:pgSz w:w="11910" w:h="16840"/>
          <w:pgMar w:top="1540" w:right="1200" w:bottom="940" w:left="1220" w:header="0" w:footer="743" w:gutter="0"/>
          <w:pgNumType w:start="6"/>
          <w:cols w:num="1"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80"/>
        <w:gridCol w:w="1104"/>
        <w:gridCol w:w="4921"/>
        <w:gridCol w:w="1558"/>
        <w:gridCol w:w="83"/>
      </w:tblGrid>
      <w:tr>
        <w:tblPrEx>
          <w:tblW w:w="0" w:type="auto"/>
          <w:tblInd w:w="121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9"/>
        </w:trPr>
        <w:tc>
          <w:tcPr>
            <w:tcW w:w="1580" w:type="dxa"/>
            <w:vMerge w:val="restart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4" w:type="dxa"/>
            <w:tcBorders>
              <w:top w:val="single" w:sz="8" w:space="0" w:color="000000"/>
              <w:left w:val="double" w:sz="0" w:space="0" w:color="000000"/>
            </w:tcBorders>
          </w:tcPr>
          <w:p>
            <w:pPr>
              <w:pStyle w:val="TableParagraph"/>
              <w:rPr>
                <w:rFonts w:ascii="黑体"/>
                <w:sz w:val="20"/>
              </w:rPr>
            </w:pPr>
          </w:p>
          <w:p>
            <w:pPr>
              <w:pStyle w:val="TableParagraph"/>
              <w:rPr>
                <w:rFonts w:ascii="黑体"/>
                <w:sz w:val="20"/>
              </w:rPr>
            </w:pPr>
          </w:p>
          <w:p>
            <w:pPr>
              <w:pStyle w:val="TableParagraph"/>
              <w:rPr>
                <w:rFonts w:ascii="黑体"/>
                <w:sz w:val="20"/>
              </w:rPr>
            </w:pPr>
          </w:p>
          <w:p>
            <w:pPr>
              <w:pStyle w:val="TableParagraph"/>
              <w:rPr>
                <w:rFonts w:ascii="黑体"/>
                <w:sz w:val="20"/>
              </w:rPr>
            </w:pPr>
          </w:p>
          <w:p>
            <w:pPr>
              <w:pStyle w:val="TableParagraph"/>
              <w:rPr>
                <w:rFonts w:ascii="黑体"/>
                <w:sz w:val="20"/>
              </w:rPr>
            </w:pPr>
          </w:p>
          <w:p>
            <w:pPr>
              <w:pStyle w:val="TableParagraph"/>
              <w:rPr>
                <w:rFonts w:ascii="黑体"/>
                <w:sz w:val="20"/>
              </w:rPr>
            </w:pPr>
          </w:p>
          <w:p>
            <w:pPr>
              <w:pStyle w:val="TableParagraph"/>
              <w:spacing w:before="3"/>
              <w:rPr>
                <w:rFonts w:ascii="黑体"/>
                <w:sz w:val="18"/>
              </w:rPr>
            </w:pPr>
          </w:p>
          <w:p>
            <w:pPr>
              <w:pStyle w:val="TableParagraph"/>
              <w:spacing w:line="242" w:lineRule="auto"/>
              <w:ind w:left="251" w:right="98" w:hanging="106"/>
              <w:rPr>
                <w:sz w:val="21"/>
              </w:rPr>
            </w:pPr>
            <w:r>
              <w:rPr>
                <w:sz w:val="21"/>
              </w:rPr>
              <w:t>污染物排放管控</w:t>
            </w:r>
          </w:p>
        </w:tc>
        <w:tc>
          <w:tcPr>
            <w:tcW w:w="4921" w:type="dxa"/>
            <w:tcBorders>
              <w:top w:val="single" w:sz="8" w:space="0" w:color="000000"/>
            </w:tcBorders>
          </w:tcPr>
          <w:p>
            <w:pPr>
              <w:pStyle w:val="TableParagraph"/>
              <w:ind w:left="153" w:right="135"/>
              <w:jc w:val="center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>1.</w:t>
            </w:r>
            <w:r>
              <w:rPr>
                <w:sz w:val="21"/>
              </w:rPr>
              <w:t>执行《区域性大气污染物综合排放标准》</w:t>
            </w:r>
          </w:p>
          <w:p>
            <w:pPr>
              <w:pStyle w:val="TableParagraph"/>
              <w:spacing w:before="5" w:line="242" w:lineRule="auto"/>
              <w:ind w:left="129" w:right="108" w:firstLine="62"/>
              <w:jc w:val="both"/>
              <w:rPr>
                <w:sz w:val="21"/>
              </w:rPr>
            </w:pPr>
            <w:r>
              <w:rPr>
                <w:sz w:val="21"/>
              </w:rPr>
              <w:t>（</w:t>
            </w:r>
            <w:r>
              <w:rPr>
                <w:rFonts w:ascii="Times New Roman" w:eastAsia="Times New Roman"/>
                <w:sz w:val="21"/>
              </w:rPr>
              <w:t>DB37/2376)(</w:t>
            </w:r>
            <w:r>
              <w:rPr>
                <w:sz w:val="21"/>
              </w:rPr>
              <w:t>包括有分区要求的行业标准</w:t>
            </w:r>
            <w:r>
              <w:rPr>
                <w:rFonts w:ascii="Times New Roman" w:eastAsia="Times New Roman"/>
                <w:sz w:val="21"/>
              </w:rPr>
              <w:t>)</w:t>
            </w:r>
            <w:r>
              <w:rPr>
                <w:sz w:val="21"/>
              </w:rPr>
              <w:t>规定的一般控制区排放标准。大气环境重点排污单位执行</w:t>
            </w:r>
            <w:r>
              <w:rPr>
                <w:w w:val="95"/>
                <w:sz w:val="21"/>
              </w:rPr>
              <w:t>重点管控区排放标准。</w:t>
            </w:r>
            <w:r>
              <w:rPr>
                <w:rFonts w:ascii="Times New Roman" w:eastAsia="Times New Roman"/>
                <w:w w:val="95"/>
                <w:sz w:val="21"/>
              </w:rPr>
              <w:t>2.</w:t>
            </w:r>
            <w:r>
              <w:rPr>
                <w:w w:val="95"/>
                <w:sz w:val="21"/>
              </w:rPr>
              <w:t>严格控制</w:t>
            </w:r>
            <w:r>
              <w:rPr>
                <w:rFonts w:ascii="Times New Roman" w:eastAsia="Times New Roman"/>
                <w:w w:val="95"/>
                <w:sz w:val="21"/>
              </w:rPr>
              <w:t>VOCs</w:t>
            </w:r>
            <w:r>
              <w:rPr>
                <w:w w:val="95"/>
                <w:sz w:val="21"/>
              </w:rPr>
              <w:t xml:space="preserve">排放重点行 </w:t>
            </w:r>
            <w:r>
              <w:rPr>
                <w:sz w:val="21"/>
              </w:rPr>
              <w:t>业新增污染物排放量，单元内涉及挥发性有机物排放的行业应严格遵守山东省地方标准《挥发性有机物排放标准》（</w:t>
            </w:r>
            <w:r>
              <w:rPr>
                <w:rFonts w:ascii="Times New Roman" w:eastAsia="Times New Roman"/>
                <w:sz w:val="21"/>
              </w:rPr>
              <w:t>DB37/2801</w:t>
            </w:r>
            <w:r>
              <w:rPr>
                <w:sz w:val="21"/>
              </w:rPr>
              <w:t>）。涉</w:t>
            </w:r>
            <w:r>
              <w:rPr>
                <w:rFonts w:ascii="Times New Roman" w:eastAsia="Times New Roman"/>
                <w:sz w:val="21"/>
              </w:rPr>
              <w:t>VOCs</w:t>
            </w:r>
            <w:r>
              <w:rPr>
                <w:sz w:val="21"/>
              </w:rPr>
              <w:t>企业无组织排放控制执行《挥发性有机物无组织排放控制标准</w:t>
            </w:r>
          </w:p>
          <w:p>
            <w:pPr>
              <w:pStyle w:val="TableParagraph"/>
              <w:spacing w:before="3" w:line="242" w:lineRule="auto"/>
              <w:ind w:left="129" w:right="108" w:firstLine="2"/>
              <w:jc w:val="center"/>
              <w:rPr>
                <w:sz w:val="21"/>
              </w:rPr>
            </w:pPr>
            <w:r>
              <w:rPr>
                <w:sz w:val="21"/>
              </w:rPr>
              <w:t>（</w:t>
            </w:r>
            <w:r>
              <w:rPr>
                <w:rFonts w:ascii="Times New Roman" w:eastAsia="Times New Roman"/>
                <w:sz w:val="21"/>
              </w:rPr>
              <w:t>GB37822</w:t>
            </w:r>
            <w:r>
              <w:rPr>
                <w:sz w:val="21"/>
              </w:rPr>
              <w:t>）》。</w:t>
            </w:r>
            <w:r>
              <w:rPr>
                <w:rFonts w:ascii="Times New Roman" w:eastAsia="Times New Roman"/>
                <w:sz w:val="21"/>
              </w:rPr>
              <w:t>3.</w:t>
            </w:r>
            <w:r>
              <w:rPr>
                <w:sz w:val="21"/>
              </w:rPr>
              <w:t>执行《流域水污染物综合排放</w:t>
            </w:r>
            <w:r>
              <w:rPr>
                <w:w w:val="95"/>
                <w:sz w:val="21"/>
              </w:rPr>
              <w:t>标准第</w:t>
            </w:r>
            <w:r>
              <w:rPr>
                <w:rFonts w:ascii="Times New Roman" w:eastAsia="Times New Roman"/>
                <w:w w:val="95"/>
                <w:sz w:val="21"/>
              </w:rPr>
              <w:t>4</w:t>
            </w:r>
            <w:r>
              <w:rPr>
                <w:w w:val="95"/>
                <w:sz w:val="21"/>
              </w:rPr>
              <w:t>部分：海河流域》标准。</w:t>
            </w:r>
            <w:r>
              <w:rPr>
                <w:rFonts w:ascii="Times New Roman" w:eastAsia="Times New Roman"/>
                <w:w w:val="95"/>
                <w:sz w:val="21"/>
              </w:rPr>
              <w:t>4.</w:t>
            </w:r>
            <w:r>
              <w:rPr>
                <w:w w:val="95"/>
                <w:sz w:val="21"/>
              </w:rPr>
              <w:t xml:space="preserve">加强农村生活污 </w:t>
            </w:r>
            <w:r>
              <w:rPr>
                <w:sz w:val="21"/>
              </w:rPr>
              <w:t>水收集与处理设施建设。加强农业面源污染综合防治。严格控制高毒高风险农药使用，执行化肥质量标准，深入推进测土配方施肥。推进废旧农膜回收工作。</w:t>
            </w:r>
            <w:r>
              <w:rPr>
                <w:rFonts w:ascii="Times New Roman" w:eastAsia="Times New Roman"/>
                <w:sz w:val="21"/>
              </w:rPr>
              <w:t>5.</w:t>
            </w:r>
            <w:r>
              <w:rPr>
                <w:sz w:val="21"/>
              </w:rPr>
              <w:t>强化秸秆禁烧管控，加强属地网格化监</w:t>
            </w:r>
          </w:p>
          <w:p>
            <w:pPr>
              <w:pStyle w:val="TableParagraph"/>
              <w:spacing w:before="4" w:line="246" w:lineRule="exact"/>
              <w:ind w:left="153" w:right="135"/>
              <w:jc w:val="center"/>
              <w:rPr>
                <w:sz w:val="21"/>
              </w:rPr>
            </w:pPr>
            <w:r>
              <w:rPr>
                <w:sz w:val="21"/>
              </w:rPr>
              <w:t>管，严格依法落实秸秆禁烧制度。</w:t>
            </w:r>
          </w:p>
        </w:tc>
        <w:tc>
          <w:tcPr>
            <w:tcW w:w="1558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rFonts w:ascii="黑体"/>
                <w:sz w:val="20"/>
              </w:rPr>
            </w:pPr>
          </w:p>
          <w:p>
            <w:pPr>
              <w:pStyle w:val="TableParagraph"/>
              <w:rPr>
                <w:rFonts w:ascii="黑体"/>
                <w:sz w:val="20"/>
              </w:rPr>
            </w:pPr>
          </w:p>
          <w:p>
            <w:pPr>
              <w:pStyle w:val="TableParagraph"/>
              <w:rPr>
                <w:rFonts w:ascii="黑体"/>
                <w:sz w:val="20"/>
              </w:rPr>
            </w:pPr>
          </w:p>
          <w:p>
            <w:pPr>
              <w:pStyle w:val="TableParagraph"/>
              <w:rPr>
                <w:rFonts w:ascii="黑体"/>
                <w:sz w:val="20"/>
              </w:rPr>
            </w:pPr>
          </w:p>
          <w:p>
            <w:pPr>
              <w:pStyle w:val="TableParagraph"/>
              <w:spacing w:before="3"/>
              <w:rPr>
                <w:rFonts w:ascii="黑体"/>
                <w:sz w:val="26"/>
              </w:rPr>
            </w:pPr>
          </w:p>
          <w:p>
            <w:pPr>
              <w:pStyle w:val="TableParagraph"/>
              <w:spacing w:line="242" w:lineRule="auto"/>
              <w:ind w:left="155" w:right="133"/>
              <w:jc w:val="both"/>
              <w:rPr>
                <w:sz w:val="21"/>
              </w:rPr>
            </w:pPr>
            <w:r>
              <w:rPr>
                <w:sz w:val="21"/>
              </w:rPr>
              <w:t>拟建项目污染物排放严格执行相关标准， 不涉及</w:t>
            </w:r>
            <w:r>
              <w:rPr>
                <w:rFonts w:ascii="Times New Roman" w:eastAsia="Times New Roman"/>
                <w:sz w:val="21"/>
              </w:rPr>
              <w:t xml:space="preserve">VOCs </w:t>
            </w:r>
            <w:r>
              <w:rPr>
                <w:sz w:val="21"/>
              </w:rPr>
              <w:t>排放，符合</w:t>
            </w:r>
          </w:p>
        </w:tc>
        <w:tc>
          <w:tcPr>
            <w:tcW w:w="83" w:type="dxa"/>
            <w:tcBorders>
              <w:bottom w:val="nil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blPrEx>
          <w:tblW w:w="0" w:type="auto"/>
          <w:tblInd w:w="1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2"/>
        </w:trPr>
        <w:tc>
          <w:tcPr>
            <w:tcW w:w="1580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tcBorders>
              <w:left w:val="double" w:sz="0" w:space="0" w:color="000000"/>
            </w:tcBorders>
          </w:tcPr>
          <w:p>
            <w:pPr>
              <w:pStyle w:val="TableParagraph"/>
              <w:rPr>
                <w:rFonts w:ascii="黑体"/>
                <w:sz w:val="20"/>
              </w:rPr>
            </w:pPr>
          </w:p>
          <w:p>
            <w:pPr>
              <w:pStyle w:val="TableParagraph"/>
              <w:rPr>
                <w:rFonts w:ascii="黑体"/>
                <w:sz w:val="20"/>
              </w:rPr>
            </w:pPr>
          </w:p>
          <w:p>
            <w:pPr>
              <w:pStyle w:val="TableParagraph"/>
              <w:rPr>
                <w:rFonts w:ascii="黑体"/>
                <w:sz w:val="20"/>
              </w:rPr>
            </w:pPr>
          </w:p>
          <w:p>
            <w:pPr>
              <w:pStyle w:val="TableParagraph"/>
              <w:rPr>
                <w:rFonts w:ascii="黑体"/>
                <w:sz w:val="20"/>
              </w:rPr>
            </w:pPr>
          </w:p>
          <w:p>
            <w:pPr>
              <w:pStyle w:val="TableParagraph"/>
              <w:rPr>
                <w:rFonts w:ascii="黑体"/>
                <w:sz w:val="20"/>
              </w:rPr>
            </w:pPr>
          </w:p>
          <w:p>
            <w:pPr>
              <w:pStyle w:val="TableParagraph"/>
              <w:rPr>
                <w:rFonts w:ascii="黑体"/>
                <w:sz w:val="20"/>
              </w:rPr>
            </w:pPr>
          </w:p>
          <w:p>
            <w:pPr>
              <w:pStyle w:val="TableParagraph"/>
              <w:rPr>
                <w:rFonts w:ascii="黑体"/>
                <w:sz w:val="20"/>
              </w:rPr>
            </w:pPr>
          </w:p>
          <w:p>
            <w:pPr>
              <w:pStyle w:val="TableParagraph"/>
              <w:spacing w:before="8"/>
              <w:rPr>
                <w:rFonts w:ascii="黑体"/>
                <w:sz w:val="29"/>
              </w:rPr>
            </w:pPr>
          </w:p>
          <w:p>
            <w:pPr>
              <w:pStyle w:val="TableParagraph"/>
              <w:spacing w:line="242" w:lineRule="auto"/>
              <w:ind w:left="357" w:right="98" w:hanging="212"/>
              <w:rPr>
                <w:sz w:val="21"/>
              </w:rPr>
            </w:pPr>
            <w:r>
              <w:rPr>
                <w:sz w:val="21"/>
              </w:rPr>
              <w:t>环境风险防控</w:t>
            </w:r>
          </w:p>
        </w:tc>
        <w:tc>
          <w:tcPr>
            <w:tcW w:w="4921" w:type="dxa"/>
          </w:tcPr>
          <w:p>
            <w:pPr>
              <w:pStyle w:val="TableParagraph"/>
              <w:spacing w:line="242" w:lineRule="auto"/>
              <w:ind w:left="155" w:right="135"/>
              <w:jc w:val="center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>1.</w:t>
            </w:r>
            <w:r>
              <w:rPr>
                <w:sz w:val="21"/>
              </w:rPr>
              <w:t>执行《德州市饮用水水源保护区划分方案》具体要求。</w:t>
            </w:r>
            <w:r>
              <w:rPr>
                <w:rFonts w:ascii="Times New Roman" w:eastAsia="Times New Roman"/>
                <w:sz w:val="21"/>
              </w:rPr>
              <w:t>2.</w:t>
            </w:r>
            <w:r>
              <w:rPr>
                <w:sz w:val="21"/>
              </w:rPr>
              <w:t>碧霞湖水库（杨安镇水库）饮用水水源保</w:t>
            </w:r>
            <w:r>
              <w:rPr>
                <w:w w:val="95"/>
                <w:sz w:val="21"/>
              </w:rPr>
              <w:t xml:space="preserve">护区内，禁止使用农药，禁止威胁水源安全的有毒 有害污染物质的运输和储存，对准保护区内，通过 限速等措施降低事故风险。保护区内不得建设排放 污染物的建设项目，工业和生活排污口，规模化畜 </w:t>
            </w:r>
            <w:r>
              <w:rPr>
                <w:sz w:val="21"/>
              </w:rPr>
              <w:t xml:space="preserve">禽养殖场，易溶性、有毒有害废弃物暂存或转运 </w:t>
            </w:r>
            <w:r>
              <w:rPr>
                <w:w w:val="95"/>
                <w:sz w:val="21"/>
              </w:rPr>
              <w:t xml:space="preserve">站，化工原料、危险化学品、矿物油类及有毒有害 </w:t>
            </w:r>
            <w:r>
              <w:rPr>
                <w:sz w:val="21"/>
              </w:rPr>
              <w:t>矿产品堆放场所等。</w:t>
            </w:r>
            <w:r>
              <w:rPr>
                <w:rFonts w:ascii="Times New Roman" w:eastAsia="Times New Roman"/>
                <w:sz w:val="21"/>
              </w:rPr>
              <w:t>3.</w:t>
            </w:r>
            <w:r>
              <w:rPr>
                <w:sz w:val="21"/>
              </w:rPr>
              <w:t>防范农村化肥、农药、农膜</w:t>
            </w:r>
            <w:r>
              <w:rPr>
                <w:w w:val="95"/>
                <w:sz w:val="21"/>
              </w:rPr>
              <w:t xml:space="preserve">等过度使用使得土壤和水体的重金属和有机污染物 </w:t>
            </w:r>
            <w:r>
              <w:rPr>
                <w:sz w:val="21"/>
              </w:rPr>
              <w:t>长期累积，造成累积性长期性环境风险和健康风 险。</w:t>
            </w:r>
            <w:r>
              <w:rPr>
                <w:rFonts w:ascii="Times New Roman" w:eastAsia="Times New Roman"/>
                <w:sz w:val="21"/>
              </w:rPr>
              <w:t>4.</w:t>
            </w:r>
            <w:r>
              <w:rPr>
                <w:sz w:val="21"/>
              </w:rPr>
              <w:t>加强乡镇工业企业污染防治，防止超标排放现象。</w:t>
            </w:r>
            <w:r>
              <w:rPr>
                <w:rFonts w:ascii="Times New Roman" w:eastAsia="Times New Roman"/>
                <w:sz w:val="21"/>
              </w:rPr>
              <w:t>5.</w:t>
            </w:r>
            <w:r>
              <w:rPr>
                <w:sz w:val="21"/>
              </w:rPr>
              <w:t>生产、使用、存储、运输危险化学品的企</w:t>
            </w:r>
            <w:r>
              <w:rPr>
                <w:w w:val="95"/>
                <w:sz w:val="21"/>
              </w:rPr>
              <w:t xml:space="preserve">业事业单位，应当采取风险防范措施，编制突发环 境事件应急预案并定期开展演练，预防环境污染事 </w:t>
            </w:r>
            <w:r>
              <w:rPr>
                <w:sz w:val="21"/>
              </w:rPr>
              <w:t>故的发生。</w:t>
            </w:r>
            <w:r>
              <w:rPr>
                <w:rFonts w:ascii="Times New Roman" w:eastAsia="Times New Roman"/>
                <w:sz w:val="21"/>
              </w:rPr>
              <w:t>6.</w:t>
            </w:r>
            <w:r>
              <w:rPr>
                <w:sz w:val="21"/>
              </w:rPr>
              <w:t>建立各企业危险废物的贮存、申报、</w:t>
            </w:r>
            <w:r>
              <w:rPr>
                <w:w w:val="95"/>
                <w:sz w:val="21"/>
              </w:rPr>
              <w:t>经营许可、转移和处置管理制度，并负责对危废相</w:t>
            </w:r>
          </w:p>
          <w:p>
            <w:pPr>
              <w:pStyle w:val="TableParagraph"/>
              <w:spacing w:before="4" w:line="248" w:lineRule="exact"/>
              <w:ind w:left="155" w:right="134"/>
              <w:jc w:val="center"/>
              <w:rPr>
                <w:sz w:val="21"/>
              </w:rPr>
            </w:pPr>
            <w:r>
              <w:rPr>
                <w:sz w:val="21"/>
              </w:rPr>
              <w:t>应活动的全程监管和环境安全保障。</w:t>
            </w:r>
          </w:p>
        </w:tc>
        <w:tc>
          <w:tcPr>
            <w:tcW w:w="1558" w:type="dxa"/>
          </w:tcPr>
          <w:p>
            <w:pPr>
              <w:pStyle w:val="TableParagraph"/>
              <w:rPr>
                <w:rFonts w:ascii="黑体"/>
                <w:sz w:val="20"/>
              </w:rPr>
            </w:pPr>
          </w:p>
          <w:p>
            <w:pPr>
              <w:pStyle w:val="TableParagraph"/>
              <w:rPr>
                <w:rFonts w:ascii="黑体"/>
                <w:sz w:val="20"/>
              </w:rPr>
            </w:pPr>
          </w:p>
          <w:p>
            <w:pPr>
              <w:pStyle w:val="TableParagraph"/>
              <w:rPr>
                <w:rFonts w:ascii="黑体"/>
                <w:sz w:val="20"/>
              </w:rPr>
            </w:pPr>
          </w:p>
          <w:p>
            <w:pPr>
              <w:pStyle w:val="TableParagraph"/>
              <w:rPr>
                <w:rFonts w:ascii="黑体"/>
                <w:sz w:val="20"/>
              </w:rPr>
            </w:pPr>
          </w:p>
          <w:p>
            <w:pPr>
              <w:pStyle w:val="TableParagraph"/>
              <w:rPr>
                <w:rFonts w:ascii="黑体"/>
                <w:sz w:val="20"/>
              </w:rPr>
            </w:pPr>
          </w:p>
          <w:p>
            <w:pPr>
              <w:pStyle w:val="TableParagraph"/>
              <w:spacing w:before="2"/>
              <w:rPr>
                <w:rFonts w:ascii="黑体"/>
                <w:sz w:val="27"/>
              </w:rPr>
            </w:pPr>
          </w:p>
          <w:p>
            <w:pPr>
              <w:pStyle w:val="TableParagraph"/>
              <w:spacing w:line="242" w:lineRule="auto"/>
              <w:ind w:left="155" w:right="130" w:hanging="3"/>
              <w:jc w:val="center"/>
              <w:rPr>
                <w:sz w:val="21"/>
              </w:rPr>
            </w:pPr>
            <w:r>
              <w:rPr>
                <w:w w:val="95"/>
                <w:sz w:val="21"/>
              </w:rPr>
              <w:t>拟建项目建立</w:t>
            </w:r>
            <w:r>
              <w:rPr>
                <w:sz w:val="21"/>
              </w:rPr>
              <w:t>完善的风险防控体系，不涉及有毒有害气体和危险化学品，符合</w:t>
            </w:r>
          </w:p>
        </w:tc>
        <w:tc>
          <w:tcPr>
            <w:tcW w:w="83" w:type="dxa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blPrEx>
          <w:tblW w:w="0" w:type="auto"/>
          <w:tblInd w:w="1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0"/>
        </w:trPr>
        <w:tc>
          <w:tcPr>
            <w:tcW w:w="1580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tcBorders>
              <w:left w:val="double" w:sz="0" w:space="0" w:color="000000"/>
            </w:tcBorders>
          </w:tcPr>
          <w:p>
            <w:pPr>
              <w:pStyle w:val="TableParagraph"/>
              <w:rPr>
                <w:rFonts w:ascii="黑体"/>
                <w:sz w:val="21"/>
              </w:rPr>
            </w:pPr>
          </w:p>
          <w:p>
            <w:pPr>
              <w:pStyle w:val="TableParagraph"/>
              <w:spacing w:line="242" w:lineRule="auto"/>
              <w:ind w:left="146" w:right="98"/>
              <w:rPr>
                <w:sz w:val="21"/>
              </w:rPr>
            </w:pPr>
            <w:r>
              <w:rPr>
                <w:sz w:val="21"/>
              </w:rPr>
              <w:t>资源开发效率要求</w:t>
            </w:r>
          </w:p>
        </w:tc>
        <w:tc>
          <w:tcPr>
            <w:tcW w:w="4921" w:type="dxa"/>
          </w:tcPr>
          <w:p>
            <w:pPr>
              <w:pStyle w:val="TableParagraph"/>
              <w:spacing w:line="242" w:lineRule="auto"/>
              <w:ind w:left="182" w:right="161" w:hanging="1"/>
              <w:jc w:val="center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>1.</w:t>
            </w:r>
            <w:r>
              <w:rPr>
                <w:sz w:val="21"/>
              </w:rPr>
              <w:t xml:space="preserve">推进农业节水，提高农业灌溉用水有效利用系 </w:t>
            </w:r>
            <w:r>
              <w:rPr>
                <w:w w:val="95"/>
                <w:sz w:val="21"/>
              </w:rPr>
              <w:t>数。</w:t>
            </w:r>
            <w:r>
              <w:rPr>
                <w:rFonts w:ascii="Times New Roman" w:eastAsia="Times New Roman"/>
                <w:w w:val="95"/>
                <w:sz w:val="21"/>
              </w:rPr>
              <w:t>2.</w:t>
            </w:r>
            <w:r>
              <w:rPr>
                <w:w w:val="95"/>
                <w:sz w:val="21"/>
              </w:rPr>
              <w:t>改进高耗水行业的生产工艺，推行少水、无 水新工艺，提高工业用水重复利用率。</w:t>
            </w:r>
            <w:r>
              <w:rPr>
                <w:rFonts w:ascii="Times New Roman" w:eastAsia="Times New Roman"/>
                <w:w w:val="95"/>
                <w:sz w:val="21"/>
              </w:rPr>
              <w:t>3.</w:t>
            </w:r>
            <w:r>
              <w:rPr>
                <w:w w:val="95"/>
                <w:sz w:val="21"/>
              </w:rPr>
              <w:t>倡导生活</w:t>
            </w:r>
          </w:p>
          <w:p>
            <w:pPr>
              <w:pStyle w:val="TableParagraph"/>
              <w:spacing w:line="246" w:lineRule="exact"/>
              <w:ind w:left="155" w:right="134"/>
              <w:jc w:val="center"/>
              <w:rPr>
                <w:sz w:val="21"/>
              </w:rPr>
            </w:pPr>
            <w:r>
              <w:rPr>
                <w:sz w:val="21"/>
              </w:rPr>
              <w:t>节约用水。推广节水型器具。</w:t>
            </w:r>
          </w:p>
        </w:tc>
        <w:tc>
          <w:tcPr>
            <w:tcW w:w="1558" w:type="dxa"/>
          </w:tcPr>
          <w:p>
            <w:pPr>
              <w:pStyle w:val="TableParagraph"/>
              <w:spacing w:before="130" w:line="242" w:lineRule="auto"/>
              <w:ind w:left="155" w:right="133"/>
              <w:jc w:val="center"/>
              <w:rPr>
                <w:sz w:val="21"/>
              </w:rPr>
            </w:pPr>
            <w:r>
              <w:rPr>
                <w:sz w:val="21"/>
              </w:rPr>
              <w:t>拟建项目不属于高耗水行 业，符合</w:t>
            </w:r>
          </w:p>
        </w:tc>
        <w:tc>
          <w:tcPr>
            <w:tcW w:w="83" w:type="dxa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blPrEx>
          <w:tblW w:w="0" w:type="auto"/>
          <w:tblInd w:w="12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0"/>
        </w:trPr>
        <w:tc>
          <w:tcPr>
            <w:tcW w:w="1580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66" w:type="dxa"/>
            <w:gridSpan w:val="4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304" w:lineRule="exact"/>
              <w:ind w:left="506"/>
              <w:rPr>
                <w:b/>
                <w:sz w:val="24"/>
              </w:rPr>
            </w:pPr>
            <w:bookmarkStart w:id="13" w:name="（四）与“三区三线”和土地利用符合性分析"/>
            <w:bookmarkEnd w:id="13"/>
            <w:r>
              <w:rPr>
                <w:b/>
                <w:sz w:val="24"/>
              </w:rPr>
              <w:t>（四）与“三区三线”和土地利用符合性分析</w:t>
            </w:r>
          </w:p>
          <w:p>
            <w:pPr>
              <w:pStyle w:val="TableParagraph"/>
              <w:spacing w:before="160" w:line="362" w:lineRule="auto"/>
              <w:ind w:left="26" w:right="41" w:firstLine="480"/>
              <w:rPr>
                <w:sz w:val="24"/>
              </w:rPr>
            </w:pPr>
            <w:r>
              <w:rPr>
                <w:sz w:val="24"/>
              </w:rPr>
              <w:t>“三区三线”：三区指生态空间、农业空间、城镇空间，三线指永久基本农田控制线、生态保护红线、城镇开发边界。</w:t>
            </w:r>
          </w:p>
          <w:p>
            <w:pPr>
              <w:pStyle w:val="TableParagraph"/>
              <w:spacing w:before="5" w:line="362" w:lineRule="auto"/>
              <w:ind w:left="26" w:right="41" w:firstLine="480"/>
              <w:rPr>
                <w:sz w:val="24"/>
              </w:rPr>
            </w:pPr>
            <w:r>
              <w:rPr>
                <w:sz w:val="24"/>
              </w:rPr>
              <w:t>根据乐陵市杨安镇人民政府文件，拟建项目选址符合杨安镇整体规划（具体见附件</w:t>
            </w:r>
            <w:r>
              <w:rPr>
                <w:rFonts w:ascii="Times New Roman" w:eastAsia="Times New Roman"/>
                <w:sz w:val="24"/>
              </w:rPr>
              <w:t>3</w:t>
            </w:r>
            <w:r>
              <w:rPr>
                <w:sz w:val="24"/>
              </w:rPr>
              <w:t>：选址证明）。</w:t>
            </w:r>
          </w:p>
          <w:p>
            <w:pPr>
              <w:pStyle w:val="TableParagraph"/>
              <w:spacing w:before="5" w:line="362" w:lineRule="auto"/>
              <w:ind w:left="26" w:right="38" w:firstLine="480"/>
              <w:rPr>
                <w:sz w:val="24"/>
              </w:rPr>
            </w:pPr>
            <w:r>
              <w:rPr>
                <w:sz w:val="24"/>
              </w:rPr>
              <w:t>根据乐陵市自然资源局出具的证明，拟建项目用地性质为建设用地，符合“三区三线”和用地要求（具体见附件</w:t>
            </w:r>
            <w:r>
              <w:rPr>
                <w:rFonts w:ascii="Times New Roman" w:eastAsia="Times New Roman" w:hAnsi="Times New Roman"/>
                <w:sz w:val="24"/>
              </w:rPr>
              <w:t>4</w:t>
            </w:r>
            <w:r>
              <w:rPr>
                <w:sz w:val="24"/>
              </w:rPr>
              <w:t>：土地证明）。</w:t>
            </w:r>
          </w:p>
        </w:tc>
      </w:tr>
    </w:tbl>
    <w:p>
      <w:pPr>
        <w:spacing w:after="0" w:line="362" w:lineRule="auto"/>
        <w:rPr>
          <w:sz w:val="24"/>
        </w:rPr>
        <w:sectPr>
          <w:footerReference w:type="default" r:id="rId11"/>
          <w:pgSz w:w="11910" w:h="16840"/>
          <w:pgMar w:top="1540" w:right="1200" w:bottom="960" w:left="1220" w:header="0" w:footer="743" w:gutter="0"/>
          <w:pgNumType w:start="7"/>
          <w:cols w:num="1" w:space="720"/>
        </w:sectPr>
      </w:pPr>
    </w:p>
    <w:p>
      <w:pPr>
        <w:pStyle w:val="BodyText"/>
        <w:spacing w:before="54" w:line="364" w:lineRule="auto"/>
        <w:ind w:left="1712" w:right="193" w:firstLine="480"/>
        <w:jc w:val="both"/>
      </w:pPr>
      <w:r>
        <w:pict>
          <v:group id="_x0000_s1028" o:spid="_x0000_s1027" style="width:463.5pt;height:687.4pt;margin-top:77.05pt;margin-left:66.05pt;mso-height-relative:page;mso-position-horizontal-relative:page;mso-position-vertical-relative:page;mso-width-relative:page;position:absolute;z-index:-251656192" coordorigin="1321,1542" coordsize="9270,13748">
            <v:line id="_x0000_s1029" o:spid="_x0000_s1028" style="position:absolute" from="1341,1547" to="10571,1547" coordsize="21600,21600" stroked="t" strokecolor="black"/>
            <v:shape id="_x0000_s1030" o:spid="_x0000_s1029" style="width:9270;height:13748;left:1321;position:absolute;top:1550" coordorigin="1321,1551" coordsize="9270,13748" path="m1321,15280l10591,15280m1331,1542l1331,15289m10581,1542l10581,15289e" filled="f" stroked="t" strokecolor="black">
              <v:path arrowok="t"/>
            </v:shape>
            <v:line id="_x0000_s1031" o:spid="_x0000_s1030" style="position:absolute" from="2872,1542" to="2872,15270" coordsize="21600,21600" stroked="t" strokecolor="black"/>
          </v:group>
        </w:pict>
      </w:r>
      <w:r>
        <w:t>拟建项目不属于国家《禁止用地项目目录》（</w:t>
      </w:r>
      <w:r>
        <w:rPr>
          <w:rFonts w:ascii="Times New Roman" w:eastAsia="Times New Roman"/>
        </w:rPr>
        <w:t>2012</w:t>
      </w:r>
      <w:r>
        <w:t>年本）和《限制用地项目目录》（</w:t>
      </w:r>
      <w:r>
        <w:rPr>
          <w:rFonts w:ascii="Times New Roman" w:eastAsia="Times New Roman"/>
        </w:rPr>
        <w:t>2012</w:t>
      </w:r>
      <w:r>
        <w:t>年本）中规定的项目，也不属于《山东省禁止限制供地项目目录》和《山东省工业用地集约利用控制标准》中山东省禁止、限制供地项目用地。</w:t>
      </w:r>
    </w:p>
    <w:p>
      <w:pPr>
        <w:pStyle w:val="Heading2"/>
        <w:spacing w:line="305" w:lineRule="exact"/>
        <w:ind w:left="2192"/>
      </w:pPr>
      <w:bookmarkStart w:id="14" w:name="（五）项目选址及平面布置的合理性分析"/>
      <w:bookmarkEnd w:id="14"/>
      <w:r>
        <w:t>（五）项目选址及平面布置的合理性分析</w:t>
      </w:r>
    </w:p>
    <w:p>
      <w:pPr>
        <w:pStyle w:val="BodyText"/>
        <w:spacing w:before="160"/>
        <w:ind w:left="2192"/>
      </w:pPr>
      <w:bookmarkStart w:id="15" w:name="1、选址合理性分析"/>
      <w:bookmarkEnd w:id="15"/>
      <w:r>
        <w:rPr>
          <w:rFonts w:ascii="Times New Roman" w:eastAsia="Times New Roman"/>
        </w:rPr>
        <w:t>1</w:t>
      </w:r>
      <w:r>
        <w:t>、选址合理性分析</w:t>
      </w:r>
    </w:p>
    <w:p>
      <w:pPr>
        <w:pStyle w:val="BodyText"/>
        <w:spacing w:before="158" w:line="364" w:lineRule="auto"/>
        <w:ind w:left="1712" w:right="191" w:firstLine="480"/>
      </w:pPr>
      <w:r>
        <w:t xml:space="preserve">拟建项目位于山东省德州市乐陵市杨安镇 </w:t>
      </w:r>
      <w:r>
        <w:rPr>
          <w:rFonts w:ascii="Times New Roman" w:eastAsia="Times New Roman"/>
        </w:rPr>
        <w:t xml:space="preserve">248 </w:t>
      </w:r>
      <w:r>
        <w:t>省道西侧、</w:t>
      </w:r>
      <w:r>
        <w:rPr>
          <w:rFonts w:ascii="Times New Roman" w:eastAsia="Times New Roman"/>
        </w:rPr>
        <w:t xml:space="preserve">323 </w:t>
      </w:r>
      <w:r>
        <w:t>省道南侧，具体选址合理性分析如下。</w:t>
      </w:r>
    </w:p>
    <w:p>
      <w:pPr>
        <w:spacing w:before="0" w:after="3" w:line="267" w:lineRule="exact"/>
        <w:ind w:left="4151" w:right="0" w:firstLine="0"/>
        <w:jc w:val="left"/>
        <w:rPr>
          <w:b/>
          <w:sz w:val="21"/>
        </w:rPr>
      </w:pPr>
      <w:r>
        <w:rPr>
          <w:b/>
          <w:sz w:val="21"/>
        </w:rPr>
        <w:t xml:space="preserve">表 </w:t>
      </w:r>
      <w:r>
        <w:rPr>
          <w:rFonts w:ascii="Times New Roman" w:eastAsia="Times New Roman"/>
          <w:b/>
          <w:sz w:val="21"/>
        </w:rPr>
        <w:t xml:space="preserve">1-6 </w:t>
      </w:r>
      <w:r>
        <w:rPr>
          <w:b/>
          <w:sz w:val="21"/>
        </w:rPr>
        <w:t>项目选址合理性分析表</w:t>
      </w:r>
    </w:p>
    <w:tbl>
      <w:tblPr>
        <w:tblStyle w:val="TableNormal"/>
        <w:tblW w:w="0" w:type="auto"/>
        <w:tblInd w:w="17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86"/>
        <w:gridCol w:w="5322"/>
        <w:gridCol w:w="641"/>
      </w:tblGrid>
      <w:tr>
        <w:tblPrEx>
          <w:tblW w:w="0" w:type="auto"/>
          <w:tblInd w:w="1784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/>
        </w:trPr>
        <w:tc>
          <w:tcPr>
            <w:tcW w:w="1486" w:type="dxa"/>
          </w:tcPr>
          <w:p>
            <w:pPr>
              <w:pStyle w:val="TableParagraph"/>
              <w:spacing w:before="59"/>
              <w:ind w:left="92" w:right="76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项目分析</w:t>
            </w:r>
          </w:p>
        </w:tc>
        <w:tc>
          <w:tcPr>
            <w:tcW w:w="5322" w:type="dxa"/>
          </w:tcPr>
          <w:p>
            <w:pPr>
              <w:pStyle w:val="TableParagraph"/>
              <w:spacing w:before="59"/>
              <w:ind w:left="139" w:right="1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条件</w:t>
            </w:r>
          </w:p>
        </w:tc>
        <w:tc>
          <w:tcPr>
            <w:tcW w:w="641" w:type="dxa"/>
          </w:tcPr>
          <w:p>
            <w:pPr>
              <w:pStyle w:val="TableParagraph"/>
              <w:spacing w:before="59"/>
              <w:ind w:left="119"/>
              <w:rPr>
                <w:b/>
                <w:sz w:val="21"/>
              </w:rPr>
            </w:pPr>
            <w:r>
              <w:rPr>
                <w:b/>
                <w:sz w:val="21"/>
              </w:rPr>
              <w:t>结论</w:t>
            </w:r>
          </w:p>
        </w:tc>
      </w:tr>
      <w:tr>
        <w:tblPrEx>
          <w:tblW w:w="0" w:type="auto"/>
          <w:tblInd w:w="178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7"/>
        </w:trPr>
        <w:tc>
          <w:tcPr>
            <w:tcW w:w="1486" w:type="dxa"/>
          </w:tcPr>
          <w:p>
            <w:pPr>
              <w:pStyle w:val="TableParagraph"/>
              <w:spacing w:before="58"/>
              <w:ind w:left="92" w:right="84"/>
              <w:jc w:val="center"/>
              <w:rPr>
                <w:sz w:val="21"/>
              </w:rPr>
            </w:pPr>
            <w:r>
              <w:rPr>
                <w:sz w:val="21"/>
              </w:rPr>
              <w:t>土地利用分析</w:t>
            </w:r>
          </w:p>
        </w:tc>
        <w:tc>
          <w:tcPr>
            <w:tcW w:w="5322" w:type="dxa"/>
          </w:tcPr>
          <w:p>
            <w:pPr>
              <w:pStyle w:val="TableParagraph"/>
              <w:spacing w:before="58"/>
              <w:ind w:left="137" w:right="130"/>
              <w:jc w:val="center"/>
              <w:rPr>
                <w:sz w:val="21"/>
              </w:rPr>
            </w:pPr>
            <w:r>
              <w:rPr>
                <w:sz w:val="21"/>
              </w:rPr>
              <w:t>拟建项目占地属于建设用地，符合乐陵市的用地要求</w:t>
            </w:r>
          </w:p>
        </w:tc>
        <w:tc>
          <w:tcPr>
            <w:tcW w:w="641" w:type="dxa"/>
          </w:tcPr>
          <w:p>
            <w:pPr>
              <w:pStyle w:val="TableParagraph"/>
              <w:spacing w:before="58"/>
              <w:ind w:left="109"/>
              <w:rPr>
                <w:sz w:val="21"/>
              </w:rPr>
            </w:pPr>
            <w:r>
              <w:rPr>
                <w:sz w:val="21"/>
              </w:rPr>
              <w:t>符合</w:t>
            </w:r>
          </w:p>
        </w:tc>
      </w:tr>
      <w:tr>
        <w:tblPrEx>
          <w:tblW w:w="0" w:type="auto"/>
          <w:tblInd w:w="178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7"/>
        </w:trPr>
        <w:tc>
          <w:tcPr>
            <w:tcW w:w="1486" w:type="dxa"/>
          </w:tcPr>
          <w:p>
            <w:pPr>
              <w:pStyle w:val="TableParagraph"/>
              <w:spacing w:before="57"/>
              <w:ind w:left="92" w:right="84"/>
              <w:jc w:val="center"/>
              <w:rPr>
                <w:sz w:val="21"/>
              </w:rPr>
            </w:pPr>
            <w:r>
              <w:rPr>
                <w:sz w:val="21"/>
              </w:rPr>
              <w:t>供水供电排水</w:t>
            </w:r>
          </w:p>
        </w:tc>
        <w:tc>
          <w:tcPr>
            <w:tcW w:w="5322" w:type="dxa"/>
          </w:tcPr>
          <w:p>
            <w:pPr>
              <w:pStyle w:val="TableParagraph"/>
              <w:spacing w:before="57"/>
              <w:ind w:left="139" w:right="130"/>
              <w:jc w:val="center"/>
              <w:rPr>
                <w:sz w:val="21"/>
              </w:rPr>
            </w:pPr>
            <w:r>
              <w:rPr>
                <w:sz w:val="21"/>
              </w:rPr>
              <w:t>拟建项目所在地配套完善的供水管网、供电设施</w:t>
            </w:r>
          </w:p>
        </w:tc>
        <w:tc>
          <w:tcPr>
            <w:tcW w:w="641" w:type="dxa"/>
          </w:tcPr>
          <w:p>
            <w:pPr>
              <w:pStyle w:val="TableParagraph"/>
              <w:spacing w:before="57"/>
              <w:ind w:left="109"/>
              <w:rPr>
                <w:sz w:val="21"/>
              </w:rPr>
            </w:pPr>
            <w:r>
              <w:rPr>
                <w:sz w:val="21"/>
              </w:rPr>
              <w:t>符合</w:t>
            </w:r>
          </w:p>
        </w:tc>
      </w:tr>
      <w:tr>
        <w:tblPrEx>
          <w:tblW w:w="0" w:type="auto"/>
          <w:tblInd w:w="178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/>
        </w:trPr>
        <w:tc>
          <w:tcPr>
            <w:tcW w:w="1486" w:type="dxa"/>
          </w:tcPr>
          <w:p>
            <w:pPr>
              <w:pStyle w:val="TableParagraph"/>
              <w:spacing w:before="171"/>
              <w:ind w:left="90" w:right="84"/>
              <w:jc w:val="center"/>
              <w:rPr>
                <w:sz w:val="21"/>
              </w:rPr>
            </w:pPr>
            <w:r>
              <w:rPr>
                <w:sz w:val="21"/>
              </w:rPr>
              <w:t>交通运输</w:t>
            </w:r>
          </w:p>
        </w:tc>
        <w:tc>
          <w:tcPr>
            <w:tcW w:w="5322" w:type="dxa"/>
          </w:tcPr>
          <w:p>
            <w:pPr>
              <w:pStyle w:val="TableParagraph"/>
              <w:spacing w:before="34" w:line="244" w:lineRule="auto"/>
              <w:ind w:left="1716" w:right="92" w:hanging="1541"/>
              <w:rPr>
                <w:sz w:val="21"/>
              </w:rPr>
            </w:pPr>
            <w:r>
              <w:rPr>
                <w:sz w:val="21"/>
              </w:rPr>
              <w:t xml:space="preserve">拟建项目位于 </w:t>
            </w:r>
            <w:r>
              <w:rPr>
                <w:rFonts w:ascii="Times New Roman" w:eastAsia="Times New Roman"/>
                <w:sz w:val="21"/>
              </w:rPr>
              <w:t xml:space="preserve">248 </w:t>
            </w:r>
            <w:r>
              <w:rPr>
                <w:sz w:val="21"/>
              </w:rPr>
              <w:t>省道西侧、</w:t>
            </w:r>
            <w:r>
              <w:rPr>
                <w:rFonts w:ascii="Times New Roman" w:eastAsia="Times New Roman"/>
                <w:sz w:val="21"/>
              </w:rPr>
              <w:t xml:space="preserve">323 </w:t>
            </w:r>
            <w:r>
              <w:rPr>
                <w:sz w:val="21"/>
              </w:rPr>
              <w:t>省道南侧，交通运输便利，地理位置优越</w:t>
            </w:r>
          </w:p>
        </w:tc>
        <w:tc>
          <w:tcPr>
            <w:tcW w:w="641" w:type="dxa"/>
          </w:tcPr>
          <w:p>
            <w:pPr>
              <w:pStyle w:val="TableParagraph"/>
              <w:spacing w:before="171"/>
              <w:ind w:left="109"/>
              <w:rPr>
                <w:sz w:val="21"/>
              </w:rPr>
            </w:pPr>
            <w:r>
              <w:rPr>
                <w:sz w:val="21"/>
              </w:rPr>
              <w:t>符合</w:t>
            </w:r>
          </w:p>
        </w:tc>
      </w:tr>
      <w:tr>
        <w:tblPrEx>
          <w:tblW w:w="0" w:type="auto"/>
          <w:tblInd w:w="178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/>
        </w:trPr>
        <w:tc>
          <w:tcPr>
            <w:tcW w:w="1486" w:type="dxa"/>
          </w:tcPr>
          <w:p>
            <w:pPr>
              <w:pStyle w:val="TableParagraph"/>
              <w:spacing w:before="2"/>
              <w:rPr>
                <w:b/>
                <w:sz w:val="22"/>
              </w:rPr>
            </w:pPr>
          </w:p>
          <w:p>
            <w:pPr>
              <w:pStyle w:val="TableParagraph"/>
              <w:ind w:left="90" w:right="84"/>
              <w:jc w:val="center"/>
              <w:rPr>
                <w:sz w:val="21"/>
              </w:rPr>
            </w:pPr>
            <w:r>
              <w:rPr>
                <w:sz w:val="21"/>
              </w:rPr>
              <w:t>环境敏感点</w:t>
            </w:r>
          </w:p>
        </w:tc>
        <w:tc>
          <w:tcPr>
            <w:tcW w:w="5322" w:type="dxa"/>
          </w:tcPr>
          <w:p>
            <w:pPr>
              <w:pStyle w:val="TableParagraph"/>
              <w:spacing w:before="12" w:line="270" w:lineRule="atLeast"/>
              <w:ind w:left="139" w:right="130"/>
              <w:jc w:val="center"/>
              <w:rPr>
                <w:sz w:val="21"/>
              </w:rPr>
            </w:pPr>
            <w:r>
              <w:rPr>
                <w:w w:val="95"/>
                <w:sz w:val="21"/>
              </w:rPr>
              <w:t>距离拟建项目最近的敏感保护目标为飞达家园，距离约</w:t>
            </w:r>
            <w:r>
              <w:rPr>
                <w:rFonts w:ascii="Times New Roman" w:eastAsia="Times New Roman"/>
                <w:sz w:val="21"/>
              </w:rPr>
              <w:t>80m</w:t>
            </w:r>
            <w:r>
              <w:rPr>
                <w:sz w:val="21"/>
              </w:rPr>
              <w:t>。经分析，拟建项目各污染物经采取治理措施后对其影响较小</w:t>
            </w:r>
          </w:p>
        </w:tc>
        <w:tc>
          <w:tcPr>
            <w:tcW w:w="641" w:type="dxa"/>
          </w:tcPr>
          <w:p>
            <w:pPr>
              <w:pStyle w:val="TableParagraph"/>
              <w:spacing w:before="2"/>
              <w:rPr>
                <w:b/>
                <w:sz w:val="22"/>
              </w:rPr>
            </w:pPr>
          </w:p>
          <w:p>
            <w:pPr>
              <w:pStyle w:val="TableParagraph"/>
              <w:ind w:left="109"/>
              <w:rPr>
                <w:sz w:val="21"/>
              </w:rPr>
            </w:pPr>
            <w:r>
              <w:rPr>
                <w:sz w:val="21"/>
              </w:rPr>
              <w:t>符合</w:t>
            </w:r>
          </w:p>
        </w:tc>
      </w:tr>
      <w:tr>
        <w:tblPrEx>
          <w:tblW w:w="0" w:type="auto"/>
          <w:tblInd w:w="178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/>
        </w:trPr>
        <w:tc>
          <w:tcPr>
            <w:tcW w:w="1486" w:type="dxa"/>
          </w:tcPr>
          <w:p>
            <w:pPr>
              <w:pStyle w:val="TableParagraph"/>
              <w:spacing w:before="6" w:line="270" w:lineRule="atLeast"/>
              <w:ind w:left="427" w:right="102" w:hanging="315"/>
              <w:rPr>
                <w:sz w:val="21"/>
              </w:rPr>
            </w:pPr>
            <w:r>
              <w:rPr>
                <w:sz w:val="21"/>
              </w:rPr>
              <w:t>外界环境对项目影响</w:t>
            </w:r>
          </w:p>
        </w:tc>
        <w:tc>
          <w:tcPr>
            <w:tcW w:w="5322" w:type="dxa"/>
          </w:tcPr>
          <w:p>
            <w:pPr>
              <w:pStyle w:val="TableParagraph"/>
              <w:spacing w:before="6" w:line="270" w:lineRule="atLeast"/>
              <w:ind w:left="1716" w:right="132" w:hanging="1577"/>
              <w:rPr>
                <w:sz w:val="21"/>
              </w:rPr>
            </w:pPr>
            <w:r>
              <w:rPr>
                <w:w w:val="95"/>
                <w:sz w:val="21"/>
              </w:rPr>
              <w:t xml:space="preserve">拟建项目周边为一般企业和村庄，周围企业经采取污染 </w:t>
            </w:r>
            <w:r>
              <w:rPr>
                <w:sz w:val="21"/>
              </w:rPr>
              <w:t>防治措施后污染较小</w:t>
            </w:r>
          </w:p>
        </w:tc>
        <w:tc>
          <w:tcPr>
            <w:tcW w:w="641" w:type="dxa"/>
          </w:tcPr>
          <w:p>
            <w:pPr>
              <w:pStyle w:val="TableParagraph"/>
              <w:spacing w:before="142"/>
              <w:ind w:left="109"/>
              <w:rPr>
                <w:sz w:val="21"/>
              </w:rPr>
            </w:pPr>
            <w:r>
              <w:rPr>
                <w:sz w:val="21"/>
              </w:rPr>
              <w:t>符合</w:t>
            </w:r>
          </w:p>
        </w:tc>
      </w:tr>
      <w:tr>
        <w:tblPrEx>
          <w:tblW w:w="0" w:type="auto"/>
          <w:tblInd w:w="178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33"/>
        </w:trPr>
        <w:tc>
          <w:tcPr>
            <w:tcW w:w="1486" w:type="dxa"/>
            <w:tcBorders>
              <w:bottom w:val="nil"/>
            </w:tcBorders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2"/>
              <w:rPr>
                <w:b/>
                <w:sz w:val="24"/>
              </w:rPr>
            </w:pPr>
          </w:p>
          <w:p>
            <w:pPr>
              <w:pStyle w:val="TableParagraph"/>
              <w:spacing w:line="270" w:lineRule="atLeast"/>
              <w:ind w:left="427" w:right="102" w:hanging="315"/>
              <w:rPr>
                <w:sz w:val="21"/>
              </w:rPr>
            </w:pPr>
            <w:r>
              <w:rPr>
                <w:sz w:val="21"/>
              </w:rPr>
              <w:t>项目对外界环境影响</w:t>
            </w:r>
          </w:p>
        </w:tc>
        <w:tc>
          <w:tcPr>
            <w:tcW w:w="5322" w:type="dxa"/>
            <w:tcBorders>
              <w:bottom w:val="nil"/>
            </w:tcBorders>
          </w:tcPr>
          <w:p>
            <w:pPr>
              <w:pStyle w:val="TableParagraph"/>
              <w:spacing w:before="2"/>
              <w:ind w:left="139" w:right="130" w:firstLine="105"/>
              <w:jc w:val="both"/>
              <w:rPr>
                <w:sz w:val="21"/>
              </w:rPr>
            </w:pPr>
            <w:r>
              <w:rPr>
                <w:sz w:val="21"/>
              </w:rPr>
              <w:t>拟建项目产生的颗粒物经布袋除尘器处理后通过一根</w:t>
            </w:r>
            <w:r>
              <w:rPr>
                <w:rFonts w:ascii="Times New Roman" w:eastAsia="Times New Roman"/>
                <w:sz w:val="21"/>
              </w:rPr>
              <w:t>15m</w:t>
            </w:r>
            <w:r>
              <w:rPr>
                <w:rFonts w:ascii="Times New Roman" w:eastAsia="Times New Roman"/>
                <w:spacing w:val="-14"/>
                <w:sz w:val="21"/>
              </w:rPr>
              <w:t xml:space="preserve"> </w:t>
            </w:r>
            <w:r>
              <w:rPr>
                <w:spacing w:val="-11"/>
                <w:sz w:val="21"/>
              </w:rPr>
              <w:t xml:space="preserve">高排气筒 </w:t>
            </w:r>
            <w:r>
              <w:rPr>
                <w:rFonts w:ascii="Times New Roman" w:eastAsia="Times New Roman"/>
                <w:sz w:val="21"/>
              </w:rPr>
              <w:t>DA001</w:t>
            </w:r>
            <w:r>
              <w:rPr>
                <w:rFonts w:ascii="Times New Roman" w:eastAsia="Times New Roman"/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外排；熬煮过程产生的油烟、恶</w:t>
            </w:r>
            <w:r>
              <w:rPr>
                <w:position w:val="2"/>
                <w:sz w:val="21"/>
              </w:rPr>
              <w:t>臭和液化气燃烧产生的颗粒物、</w:t>
            </w:r>
            <w:r>
              <w:rPr>
                <w:rFonts w:ascii="Times New Roman" w:eastAsia="Times New Roman"/>
                <w:position w:val="2"/>
                <w:sz w:val="21"/>
              </w:rPr>
              <w:t>SO</w:t>
            </w:r>
            <w:r>
              <w:rPr>
                <w:rFonts w:ascii="Times New Roman" w:eastAsia="Times New Roman"/>
                <w:position w:val="2"/>
                <w:sz w:val="21"/>
                <w:vertAlign w:val="subscript"/>
              </w:rPr>
              <w:t>2</w:t>
            </w:r>
            <w:r>
              <w:rPr>
                <w:position w:val="2"/>
                <w:sz w:val="21"/>
                <w:vertAlign w:val="baseline"/>
              </w:rPr>
              <w:t>、</w:t>
            </w:r>
            <w:r>
              <w:rPr>
                <w:rFonts w:ascii="Times New Roman" w:eastAsia="Times New Roman"/>
                <w:position w:val="2"/>
                <w:sz w:val="21"/>
                <w:vertAlign w:val="baseline"/>
              </w:rPr>
              <w:t>NO</w:t>
            </w:r>
            <w:r>
              <w:rPr>
                <w:rFonts w:ascii="Times New Roman" w:eastAsia="Times New Roman"/>
                <w:position w:val="2"/>
                <w:sz w:val="21"/>
                <w:vertAlign w:val="subscript"/>
              </w:rPr>
              <w:t>X</w:t>
            </w:r>
            <w:r>
              <w:rPr>
                <w:rFonts w:ascii="Times New Roman" w:eastAsia="Times New Roman"/>
                <w:spacing w:val="-29"/>
                <w:position w:val="2"/>
                <w:sz w:val="21"/>
                <w:vertAlign w:val="baseline"/>
              </w:rPr>
              <w:t xml:space="preserve"> </w:t>
            </w:r>
            <w:r>
              <w:rPr>
                <w:position w:val="2"/>
                <w:sz w:val="21"/>
                <w:vertAlign w:val="baseline"/>
              </w:rPr>
              <w:t>经油烟净化</w:t>
            </w:r>
            <w:r>
              <w:rPr>
                <w:spacing w:val="-7"/>
                <w:sz w:val="21"/>
                <w:vertAlign w:val="baseline"/>
              </w:rPr>
              <w:t xml:space="preserve">器处理后通过一根 </w:t>
            </w:r>
            <w:r>
              <w:rPr>
                <w:rFonts w:ascii="Times New Roman" w:eastAsia="Times New Roman"/>
                <w:sz w:val="21"/>
                <w:vertAlign w:val="baseline"/>
              </w:rPr>
              <w:t>15m</w:t>
            </w:r>
            <w:r>
              <w:rPr>
                <w:rFonts w:ascii="Times New Roman" w:eastAsia="Times New Roman"/>
                <w:spacing w:val="-15"/>
                <w:sz w:val="21"/>
                <w:vertAlign w:val="baseline"/>
              </w:rPr>
              <w:t xml:space="preserve"> </w:t>
            </w:r>
            <w:r>
              <w:rPr>
                <w:spacing w:val="-9"/>
                <w:sz w:val="21"/>
                <w:vertAlign w:val="baseline"/>
              </w:rPr>
              <w:t xml:space="preserve">高的排气筒 </w:t>
            </w:r>
            <w:r>
              <w:rPr>
                <w:rFonts w:ascii="Times New Roman" w:eastAsia="Times New Roman"/>
                <w:sz w:val="21"/>
                <w:vertAlign w:val="baseline"/>
              </w:rPr>
              <w:t>DA002</w:t>
            </w:r>
            <w:r>
              <w:rPr>
                <w:rFonts w:ascii="Times New Roman" w:eastAsia="Times New Roman"/>
                <w:spacing w:val="-13"/>
                <w:sz w:val="21"/>
                <w:vertAlign w:val="baseline"/>
              </w:rPr>
              <w:t xml:space="preserve"> </w:t>
            </w:r>
            <w:r>
              <w:rPr>
                <w:sz w:val="21"/>
                <w:vertAlign w:val="baseline"/>
              </w:rPr>
              <w:t>排放；生活</w:t>
            </w:r>
            <w:r>
              <w:rPr>
                <w:w w:val="95"/>
                <w:sz w:val="21"/>
                <w:vertAlign w:val="baseline"/>
              </w:rPr>
              <w:t>污水经化粪池沉淀后由环卫部门定期清掏，不外排；生</w:t>
            </w:r>
          </w:p>
          <w:p>
            <w:pPr>
              <w:pStyle w:val="TableParagraph"/>
              <w:spacing w:before="9" w:line="250" w:lineRule="exact"/>
              <w:ind w:left="139"/>
              <w:rPr>
                <w:sz w:val="21"/>
              </w:rPr>
            </w:pPr>
            <w:r>
              <w:rPr>
                <w:w w:val="95"/>
                <w:sz w:val="21"/>
              </w:rPr>
              <w:t>产废水经污水处理设备处理后用于道路洒水抑尘，不外</w:t>
            </w:r>
          </w:p>
        </w:tc>
        <w:tc>
          <w:tcPr>
            <w:tcW w:w="641" w:type="dxa"/>
            <w:tcBorders>
              <w:bottom w:val="nil"/>
            </w:tcBorders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9"/>
              <w:rPr>
                <w:b/>
                <w:sz w:val="15"/>
              </w:rPr>
            </w:pPr>
          </w:p>
          <w:p>
            <w:pPr>
              <w:pStyle w:val="TableParagraph"/>
              <w:ind w:left="109"/>
              <w:rPr>
                <w:sz w:val="21"/>
              </w:rPr>
            </w:pPr>
            <w:r>
              <w:rPr>
                <w:sz w:val="21"/>
              </w:rPr>
              <w:t>符合</w:t>
            </w:r>
          </w:p>
        </w:tc>
      </w:tr>
      <w:tr>
        <w:tblPrEx>
          <w:tblW w:w="0" w:type="auto"/>
          <w:tblInd w:w="178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/>
        </w:trPr>
        <w:tc>
          <w:tcPr>
            <w:tcW w:w="14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2" w:lineRule="exact"/>
              <w:ind w:left="118" w:right="114"/>
              <w:jc w:val="center"/>
              <w:rPr>
                <w:sz w:val="21"/>
              </w:rPr>
            </w:pPr>
            <w:r>
              <w:rPr>
                <w:sz w:val="21"/>
              </w:rPr>
              <w:t>排；固废均能做到资源化、合理化处置，做到零排放；</w:t>
            </w:r>
          </w:p>
        </w:tc>
        <w:tc>
          <w:tcPr>
            <w:tcW w:w="64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blPrEx>
          <w:tblW w:w="0" w:type="auto"/>
          <w:tblInd w:w="178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/>
        </w:trPr>
        <w:tc>
          <w:tcPr>
            <w:tcW w:w="14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" w:line="250" w:lineRule="exact"/>
              <w:ind w:left="137" w:right="130"/>
              <w:jc w:val="center"/>
              <w:rPr>
                <w:sz w:val="21"/>
              </w:rPr>
            </w:pPr>
            <w:r>
              <w:rPr>
                <w:sz w:val="21"/>
              </w:rPr>
              <w:t>厂界噪声采取合理降噪措施后，能实现达标排放；因</w:t>
            </w:r>
          </w:p>
        </w:tc>
        <w:tc>
          <w:tcPr>
            <w:tcW w:w="64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blPrEx>
          <w:tblW w:w="0" w:type="auto"/>
          <w:tblInd w:w="178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/>
        </w:trPr>
        <w:tc>
          <w:tcPr>
            <w:tcW w:w="14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2" w:lineRule="exact"/>
              <w:ind w:left="118" w:right="114"/>
              <w:jc w:val="center"/>
              <w:rPr>
                <w:sz w:val="21"/>
              </w:rPr>
            </w:pPr>
            <w:r>
              <w:rPr>
                <w:sz w:val="21"/>
              </w:rPr>
              <w:t>此，拟建项目产生的污染物采取合理的控制措施后，均</w:t>
            </w:r>
          </w:p>
        </w:tc>
        <w:tc>
          <w:tcPr>
            <w:tcW w:w="64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blPrEx>
          <w:tblW w:w="0" w:type="auto"/>
          <w:tblInd w:w="178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/>
        </w:trPr>
        <w:tc>
          <w:tcPr>
            <w:tcW w:w="1486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2" w:type="dxa"/>
            <w:tcBorders>
              <w:top w:val="nil"/>
            </w:tcBorders>
          </w:tcPr>
          <w:p>
            <w:pPr>
              <w:pStyle w:val="TableParagraph"/>
              <w:spacing w:before="2" w:line="251" w:lineRule="exact"/>
              <w:ind w:left="134" w:right="130"/>
              <w:jc w:val="center"/>
              <w:rPr>
                <w:sz w:val="21"/>
              </w:rPr>
            </w:pPr>
            <w:r>
              <w:rPr>
                <w:sz w:val="21"/>
              </w:rPr>
              <w:t>能实现达标排放，外界环境影响较小</w:t>
            </w:r>
          </w:p>
        </w:tc>
        <w:tc>
          <w:tcPr>
            <w:tcW w:w="641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pStyle w:val="BodyText"/>
        <w:ind w:left="2192"/>
      </w:pPr>
      <w:r>
        <w:rPr>
          <w:rFonts w:ascii="Times New Roman" w:eastAsia="Times New Roman"/>
        </w:rPr>
        <w:t>2</w:t>
      </w:r>
      <w:r>
        <w:t>、平面布置的合理性分析</w:t>
      </w:r>
    </w:p>
    <w:p>
      <w:pPr>
        <w:pStyle w:val="BodyText"/>
        <w:spacing w:before="161" w:line="364" w:lineRule="auto"/>
        <w:ind w:left="1712" w:right="191" w:firstLine="480"/>
        <w:jc w:val="both"/>
      </w:pPr>
      <w:r>
        <w:t xml:space="preserve">拟建项目厂区主大门位于东侧厂界，利用现有厂房从事生产。建设项目的主要噪声源位于车间内，车间密闭性较好，且进行隔音、减振等处理，厂界噪声较小。项目位于 </w:t>
      </w:r>
      <w:r>
        <w:rPr>
          <w:rFonts w:ascii="Times New Roman" w:eastAsia="Times New Roman"/>
        </w:rPr>
        <w:t xml:space="preserve">248 </w:t>
      </w:r>
      <w:r>
        <w:t>省道西侧、</w:t>
      </w:r>
      <w:r>
        <w:rPr>
          <w:rFonts w:ascii="Times New Roman" w:eastAsia="Times New Roman"/>
        </w:rPr>
        <w:t xml:space="preserve">323 </w:t>
      </w:r>
      <w:r>
        <w:t>省道南侧，交通便利，便于项目原材料及产品的运入和运出。车间内按照工艺流程布置， 在满足生产工艺流程要求的前提下，各工段布设距离合理，办公区远离生产区，利于生产，便于管理。</w:t>
      </w:r>
    </w:p>
    <w:p>
      <w:pPr>
        <w:pStyle w:val="BodyText"/>
        <w:spacing w:line="304" w:lineRule="exact"/>
        <w:ind w:left="2192"/>
      </w:pPr>
      <w:r>
        <w:t>综上，拟建项目平面布置合理。</w:t>
      </w:r>
    </w:p>
    <w:p>
      <w:pPr>
        <w:spacing w:after="0" w:line="304" w:lineRule="exact"/>
        <w:sectPr>
          <w:footerReference w:type="default" r:id="rId12"/>
          <w:pgSz w:w="11910" w:h="16840"/>
          <w:pgMar w:top="1500" w:right="1200" w:bottom="940" w:left="1220" w:header="0" w:footer="743" w:gutter="0"/>
          <w:pgNumType w:start="8"/>
          <w:cols w:num="1" w:space="720"/>
        </w:sectPr>
      </w:pPr>
    </w:p>
    <w:p>
      <w:pPr>
        <w:pStyle w:val="Heading1"/>
        <w:ind w:right="1499"/>
      </w:pPr>
      <w:r>
        <w:pict>
          <v:shape id="_x0000_s1032" o:spid="_x0000_s1031" type="#_x0000_t202" style="width:431.2pt;height:470.85pt;margin-top:105.6pt;margin-left:96.3pt;mso-height-relative:page;mso-position-horizontal-relative:page;mso-width-relative:page;position:absolute;z-index:251661312" coordsize="21600,21600" filled="f" stroked="f">
            <v:stroke joinstyle="miter"/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742"/>
                    <w:gridCol w:w="1248"/>
                    <w:gridCol w:w="6000"/>
                    <w:gridCol w:w="619"/>
                  </w:tblGrid>
                  <w:tr>
                    <w:tblPrEx>
                      <w:tblW w:w="0" w:type="auto"/>
                      <w:tblInd w:w="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545"/>
                    </w:trPr>
                    <w:tc>
                      <w:tcPr>
                        <w:tcW w:w="742" w:type="dxa"/>
                      </w:tcPr>
                      <w:p>
                        <w:pPr>
                          <w:pStyle w:val="TableParagraph"/>
                          <w:spacing w:line="268" w:lineRule="exact"/>
                          <w:ind w:left="171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pacing w:val="-5"/>
                            <w:w w:val="95"/>
                            <w:sz w:val="21"/>
                          </w:rPr>
                          <w:t>工程</w:t>
                        </w:r>
                      </w:p>
                      <w:p>
                        <w:pPr>
                          <w:pStyle w:val="TableParagraph"/>
                          <w:spacing w:before="4" w:line="252" w:lineRule="exact"/>
                          <w:ind w:left="171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pacing w:val="-5"/>
                            <w:w w:val="95"/>
                            <w:sz w:val="21"/>
                          </w:rPr>
                          <w:t>分类</w:t>
                        </w:r>
                      </w:p>
                    </w:tc>
                    <w:tc>
                      <w:tcPr>
                        <w:tcW w:w="1248" w:type="dxa"/>
                      </w:tcPr>
                      <w:p>
                        <w:pPr>
                          <w:pStyle w:val="TableParagraph"/>
                          <w:spacing w:before="136"/>
                          <w:ind w:left="155" w:right="140"/>
                          <w:jc w:val="center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项目名称</w:t>
                        </w:r>
                      </w:p>
                    </w:tc>
                    <w:tc>
                      <w:tcPr>
                        <w:tcW w:w="6000" w:type="dxa"/>
                      </w:tcPr>
                      <w:p>
                        <w:pPr>
                          <w:pStyle w:val="TableParagraph"/>
                          <w:spacing w:before="136"/>
                          <w:ind w:left="166" w:right="148"/>
                          <w:jc w:val="center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工程内容及规模</w:t>
                        </w:r>
                      </w:p>
                    </w:tc>
                    <w:tc>
                      <w:tcPr>
                        <w:tcW w:w="619" w:type="dxa"/>
                      </w:tcPr>
                      <w:p>
                        <w:pPr>
                          <w:pStyle w:val="TableParagraph"/>
                          <w:spacing w:before="136"/>
                          <w:ind w:left="81" w:right="66"/>
                          <w:jc w:val="center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备注</w:t>
                        </w:r>
                      </w:p>
                    </w:tc>
                  </w:tr>
                  <w:tr>
                    <w:tblPrEx>
                      <w:tblW w:w="0" w:type="auto"/>
                      <w:tblInd w:w="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543"/>
                    </w:trPr>
                    <w:tc>
                      <w:tcPr>
                        <w:tcW w:w="742" w:type="dxa"/>
                      </w:tcPr>
                      <w:p>
                        <w:pPr>
                          <w:pStyle w:val="TableParagraph"/>
                          <w:spacing w:before="1"/>
                          <w:ind w:left="171"/>
                          <w:rPr>
                            <w:sz w:val="21"/>
                          </w:rPr>
                        </w:pPr>
                        <w:r>
                          <w:rPr>
                            <w:spacing w:val="-5"/>
                            <w:w w:val="95"/>
                            <w:sz w:val="21"/>
                          </w:rPr>
                          <w:t>主体</w:t>
                        </w:r>
                      </w:p>
                      <w:p>
                        <w:pPr>
                          <w:pStyle w:val="TableParagraph"/>
                          <w:spacing w:before="2" w:line="252" w:lineRule="exact"/>
                          <w:ind w:left="171"/>
                          <w:rPr>
                            <w:sz w:val="21"/>
                          </w:rPr>
                        </w:pPr>
                        <w:r>
                          <w:rPr>
                            <w:spacing w:val="-5"/>
                            <w:w w:val="95"/>
                            <w:sz w:val="21"/>
                          </w:rPr>
                          <w:t>工程</w:t>
                        </w:r>
                      </w:p>
                    </w:tc>
                    <w:tc>
                      <w:tcPr>
                        <w:tcW w:w="1248" w:type="dxa"/>
                      </w:tcPr>
                      <w:p>
                        <w:pPr>
                          <w:pStyle w:val="TableParagraph"/>
                          <w:spacing w:before="135"/>
                          <w:ind w:left="148" w:right="140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生产车间</w:t>
                        </w:r>
                      </w:p>
                    </w:tc>
                    <w:tc>
                      <w:tcPr>
                        <w:tcW w:w="6000" w:type="dxa"/>
                      </w:tcPr>
                      <w:p>
                        <w:pPr>
                          <w:pStyle w:val="TableParagraph"/>
                          <w:spacing w:before="1"/>
                          <w:ind w:left="166" w:right="160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rFonts w:ascii="Times New Roman" w:eastAsia="Times New Roman" w:hAnsi="Times New Roman"/>
                            <w:sz w:val="21"/>
                          </w:rPr>
                          <w:t>3</w:t>
                        </w:r>
                        <w:r>
                          <w:rPr>
                            <w:sz w:val="21"/>
                          </w:rPr>
                          <w:t>层，建筑面积</w:t>
                        </w:r>
                        <w:r>
                          <w:rPr>
                            <w:rFonts w:ascii="Times New Roman" w:eastAsia="Times New Roman" w:hAnsi="Times New Roman"/>
                            <w:sz w:val="21"/>
                          </w:rPr>
                          <w:t>4000m</w:t>
                        </w:r>
                        <w:r>
                          <w:rPr>
                            <w:sz w:val="21"/>
                          </w:rPr>
                          <w:t>²，主要建设冷库、调味料生产线、原料</w:t>
                        </w:r>
                      </w:p>
                      <w:p>
                        <w:pPr>
                          <w:pStyle w:val="TableParagraph"/>
                          <w:spacing w:before="2" w:line="252" w:lineRule="exact"/>
                          <w:ind w:left="166" w:right="158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库、包材库和成品库，设置粉碎机、煮酱锅等生产设备</w:t>
                        </w:r>
                      </w:p>
                    </w:tc>
                    <w:tc>
                      <w:tcPr>
                        <w:tcW w:w="619" w:type="dxa"/>
                      </w:tcPr>
                      <w:p>
                        <w:pPr>
                          <w:pStyle w:val="TableParagraph"/>
                          <w:spacing w:before="149"/>
                          <w:ind w:left="21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w w:val="99"/>
                            <w:sz w:val="21"/>
                          </w:rPr>
                          <w:t>/</w:t>
                        </w:r>
                      </w:p>
                    </w:tc>
                  </w:tr>
                  <w:tr>
                    <w:tblPrEx>
                      <w:tblW w:w="0" w:type="auto"/>
                      <w:tblInd w:w="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545"/>
                    </w:trPr>
                    <w:tc>
                      <w:tcPr>
                        <w:tcW w:w="742" w:type="dxa"/>
                      </w:tcPr>
                      <w:p>
                        <w:pPr>
                          <w:pStyle w:val="TableParagraph"/>
                          <w:spacing w:before="1"/>
                          <w:ind w:left="171"/>
                          <w:rPr>
                            <w:sz w:val="21"/>
                          </w:rPr>
                        </w:pPr>
                        <w:r>
                          <w:rPr>
                            <w:spacing w:val="-5"/>
                            <w:w w:val="95"/>
                            <w:sz w:val="21"/>
                          </w:rPr>
                          <w:t>辅助</w:t>
                        </w:r>
                      </w:p>
                      <w:p>
                        <w:pPr>
                          <w:pStyle w:val="TableParagraph"/>
                          <w:spacing w:before="2" w:line="252" w:lineRule="exact"/>
                          <w:ind w:left="171"/>
                          <w:rPr>
                            <w:sz w:val="21"/>
                          </w:rPr>
                        </w:pPr>
                        <w:r>
                          <w:rPr>
                            <w:spacing w:val="-5"/>
                            <w:w w:val="95"/>
                            <w:sz w:val="21"/>
                          </w:rPr>
                          <w:t>工程</w:t>
                        </w:r>
                      </w:p>
                    </w:tc>
                    <w:tc>
                      <w:tcPr>
                        <w:tcW w:w="1248" w:type="dxa"/>
                      </w:tcPr>
                      <w:p>
                        <w:pPr>
                          <w:pStyle w:val="TableParagraph"/>
                          <w:spacing w:before="136"/>
                          <w:ind w:left="146" w:right="140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办公室</w:t>
                        </w:r>
                      </w:p>
                    </w:tc>
                    <w:tc>
                      <w:tcPr>
                        <w:tcW w:w="6000" w:type="dxa"/>
                      </w:tcPr>
                      <w:p>
                        <w:pPr>
                          <w:pStyle w:val="TableParagraph"/>
                          <w:spacing w:before="136"/>
                          <w:ind w:left="166" w:right="158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位于厂区东侧，建筑面积</w:t>
                        </w:r>
                        <w:r>
                          <w:rPr>
                            <w:rFonts w:ascii="Times New Roman" w:eastAsia="Times New Roman" w:hAnsi="Times New Roman"/>
                            <w:sz w:val="21"/>
                          </w:rPr>
                          <w:t>40m</w:t>
                        </w:r>
                        <w:r>
                          <w:rPr>
                            <w:sz w:val="21"/>
                          </w:rPr>
                          <w:t>²，用于职工办公</w:t>
                        </w:r>
                      </w:p>
                    </w:tc>
                    <w:tc>
                      <w:tcPr>
                        <w:tcW w:w="61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tblInd w:w="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97"/>
                    </w:trPr>
                    <w:tc>
                      <w:tcPr>
                        <w:tcW w:w="742" w:type="dxa"/>
                        <w:vMerge w:val="restart"/>
                      </w:tcPr>
                      <w:p>
                        <w:pPr>
                          <w:pStyle w:val="TableParagraph"/>
                          <w:rPr>
                            <w:rFonts w:ascii="黑体"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黑体"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spacing w:before="9"/>
                          <w:rPr>
                            <w:rFonts w:ascii="黑体"/>
                            <w:sz w:val="17"/>
                          </w:rPr>
                        </w:pPr>
                      </w:p>
                      <w:p>
                        <w:pPr>
                          <w:pStyle w:val="TableParagraph"/>
                          <w:spacing w:line="244" w:lineRule="auto"/>
                          <w:ind w:left="171" w:right="105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储运工程</w:t>
                        </w:r>
                      </w:p>
                    </w:tc>
                    <w:tc>
                      <w:tcPr>
                        <w:tcW w:w="1248" w:type="dxa"/>
                      </w:tcPr>
                      <w:p>
                        <w:pPr>
                          <w:pStyle w:val="TableParagraph"/>
                          <w:spacing w:before="63"/>
                          <w:ind w:left="158" w:right="138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冷库</w:t>
                        </w:r>
                      </w:p>
                    </w:tc>
                    <w:tc>
                      <w:tcPr>
                        <w:tcW w:w="6000" w:type="dxa"/>
                      </w:tcPr>
                      <w:p>
                        <w:pPr>
                          <w:pStyle w:val="TableParagraph"/>
                          <w:spacing w:before="63"/>
                          <w:ind w:left="166" w:right="160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位于生产车间</w:t>
                        </w:r>
                        <w:r>
                          <w:rPr>
                            <w:rFonts w:ascii="Times New Roman" w:eastAsia="Times New Roman" w:hAnsi="Times New Roman"/>
                            <w:sz w:val="21"/>
                          </w:rPr>
                          <w:t>1</w:t>
                        </w:r>
                        <w:r>
                          <w:rPr>
                            <w:sz w:val="21"/>
                          </w:rPr>
                          <w:t>层，建筑面积</w:t>
                        </w:r>
                        <w:r>
                          <w:rPr>
                            <w:rFonts w:ascii="Times New Roman" w:eastAsia="Times New Roman" w:hAnsi="Times New Roman"/>
                            <w:sz w:val="21"/>
                          </w:rPr>
                          <w:t>1000m²</w:t>
                        </w:r>
                        <w:r>
                          <w:rPr>
                            <w:sz w:val="21"/>
                          </w:rPr>
                          <w:t>，用于辣椒等原料暂存</w:t>
                        </w:r>
                      </w:p>
                    </w:tc>
                    <w:tc>
                      <w:tcPr>
                        <w:tcW w:w="61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tblInd w:w="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97"/>
                    </w:trPr>
                    <w:tc>
                      <w:tcPr>
                        <w:tcW w:w="742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248" w:type="dxa"/>
                      </w:tcPr>
                      <w:p>
                        <w:pPr>
                          <w:pStyle w:val="TableParagraph"/>
                          <w:spacing w:before="64"/>
                          <w:ind w:left="158" w:right="140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原料库</w:t>
                        </w:r>
                      </w:p>
                    </w:tc>
                    <w:tc>
                      <w:tcPr>
                        <w:tcW w:w="6000" w:type="dxa"/>
                      </w:tcPr>
                      <w:p>
                        <w:pPr>
                          <w:pStyle w:val="TableParagraph"/>
                          <w:spacing w:before="64"/>
                          <w:ind w:left="166" w:right="160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位于生产车间</w:t>
                        </w:r>
                        <w:r>
                          <w:rPr>
                            <w:rFonts w:ascii="Times New Roman" w:eastAsia="Times New Roman" w:hAnsi="Times New Roman"/>
                            <w:sz w:val="21"/>
                          </w:rPr>
                          <w:t>3</w:t>
                        </w:r>
                        <w:r>
                          <w:rPr>
                            <w:sz w:val="21"/>
                          </w:rPr>
                          <w:t>层北侧，建筑面积</w:t>
                        </w:r>
                        <w:r>
                          <w:rPr>
                            <w:rFonts w:ascii="Times New Roman" w:eastAsia="Times New Roman" w:hAnsi="Times New Roman"/>
                            <w:sz w:val="21"/>
                          </w:rPr>
                          <w:t>330m²</w:t>
                        </w:r>
                        <w:r>
                          <w:rPr>
                            <w:sz w:val="21"/>
                          </w:rPr>
                          <w:t>，用于原料暂存</w:t>
                        </w:r>
                      </w:p>
                    </w:tc>
                    <w:tc>
                      <w:tcPr>
                        <w:tcW w:w="619" w:type="dxa"/>
                      </w:tcPr>
                      <w:p>
                        <w:pPr>
                          <w:pStyle w:val="TableParagraph"/>
                          <w:spacing w:before="78"/>
                          <w:ind w:left="6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w w:val="99"/>
                            <w:sz w:val="21"/>
                          </w:rPr>
                          <w:t>/</w:t>
                        </w:r>
                      </w:p>
                    </w:tc>
                  </w:tr>
                  <w:tr>
                    <w:tblPrEx>
                      <w:tblW w:w="0" w:type="auto"/>
                      <w:tblInd w:w="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96"/>
                    </w:trPr>
                    <w:tc>
                      <w:tcPr>
                        <w:tcW w:w="742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248" w:type="dxa"/>
                      </w:tcPr>
                      <w:p>
                        <w:pPr>
                          <w:pStyle w:val="TableParagraph"/>
                          <w:spacing w:before="63"/>
                          <w:ind w:left="158" w:right="140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成品库</w:t>
                        </w:r>
                      </w:p>
                    </w:tc>
                    <w:tc>
                      <w:tcPr>
                        <w:tcW w:w="6000" w:type="dxa"/>
                      </w:tcPr>
                      <w:p>
                        <w:pPr>
                          <w:pStyle w:val="TableParagraph"/>
                          <w:spacing w:before="63"/>
                          <w:ind w:left="166" w:right="160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位于生产车间</w:t>
                        </w:r>
                        <w:r>
                          <w:rPr>
                            <w:rFonts w:ascii="Times New Roman" w:eastAsia="Times New Roman" w:hAnsi="Times New Roman"/>
                            <w:sz w:val="21"/>
                          </w:rPr>
                          <w:t>3</w:t>
                        </w:r>
                        <w:r>
                          <w:rPr>
                            <w:sz w:val="21"/>
                          </w:rPr>
                          <w:t>层南侧，建筑面积</w:t>
                        </w:r>
                        <w:r>
                          <w:rPr>
                            <w:rFonts w:ascii="Times New Roman" w:eastAsia="Times New Roman" w:hAnsi="Times New Roman"/>
                            <w:sz w:val="21"/>
                          </w:rPr>
                          <w:t>800m²</w:t>
                        </w:r>
                        <w:r>
                          <w:rPr>
                            <w:sz w:val="21"/>
                          </w:rPr>
                          <w:t>，用于成品暂存</w:t>
                        </w:r>
                      </w:p>
                    </w:tc>
                    <w:tc>
                      <w:tcPr>
                        <w:tcW w:w="619" w:type="dxa"/>
                      </w:tcPr>
                      <w:p>
                        <w:pPr>
                          <w:pStyle w:val="TableParagraph"/>
                          <w:spacing w:before="76"/>
                          <w:ind w:left="6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w w:val="99"/>
                            <w:sz w:val="21"/>
                          </w:rPr>
                          <w:t>/</w:t>
                        </w:r>
                      </w:p>
                    </w:tc>
                  </w:tr>
                  <w:tr>
                    <w:tblPrEx>
                      <w:tblW w:w="0" w:type="auto"/>
                      <w:tblInd w:w="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97"/>
                    </w:trPr>
                    <w:tc>
                      <w:tcPr>
                        <w:tcW w:w="742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248" w:type="dxa"/>
                      </w:tcPr>
                      <w:p>
                        <w:pPr>
                          <w:pStyle w:val="TableParagraph"/>
                          <w:spacing w:before="63"/>
                          <w:ind w:left="158" w:right="140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包材库</w:t>
                        </w:r>
                      </w:p>
                    </w:tc>
                    <w:tc>
                      <w:tcPr>
                        <w:tcW w:w="6000" w:type="dxa"/>
                      </w:tcPr>
                      <w:p>
                        <w:pPr>
                          <w:pStyle w:val="TableParagraph"/>
                          <w:spacing w:before="63"/>
                          <w:ind w:left="166" w:right="160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位于生产车间</w:t>
                        </w:r>
                        <w:r>
                          <w:rPr>
                            <w:rFonts w:ascii="Times New Roman" w:eastAsia="Times New Roman" w:hAnsi="Times New Roman"/>
                            <w:sz w:val="21"/>
                          </w:rPr>
                          <w:t>3</w:t>
                        </w:r>
                        <w:r>
                          <w:rPr>
                            <w:sz w:val="21"/>
                          </w:rPr>
                          <w:t>层中部，建筑面积</w:t>
                        </w:r>
                        <w:r>
                          <w:rPr>
                            <w:rFonts w:ascii="Times New Roman" w:eastAsia="Times New Roman" w:hAnsi="Times New Roman"/>
                            <w:sz w:val="21"/>
                          </w:rPr>
                          <w:t>200m²</w:t>
                        </w:r>
                        <w:r>
                          <w:rPr>
                            <w:sz w:val="21"/>
                          </w:rPr>
                          <w:t>，用于包材暂存</w:t>
                        </w:r>
                      </w:p>
                    </w:tc>
                    <w:tc>
                      <w:tcPr>
                        <w:tcW w:w="619" w:type="dxa"/>
                      </w:tcPr>
                      <w:p>
                        <w:pPr>
                          <w:pStyle w:val="TableParagraph"/>
                          <w:spacing w:before="77"/>
                          <w:ind w:left="6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w w:val="99"/>
                            <w:sz w:val="21"/>
                          </w:rPr>
                          <w:t>/</w:t>
                        </w:r>
                      </w:p>
                    </w:tc>
                  </w:tr>
                  <w:tr>
                    <w:tblPrEx>
                      <w:tblW w:w="0" w:type="auto"/>
                      <w:tblInd w:w="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97"/>
                    </w:trPr>
                    <w:tc>
                      <w:tcPr>
                        <w:tcW w:w="742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248" w:type="dxa"/>
                      </w:tcPr>
                      <w:p>
                        <w:pPr>
                          <w:pStyle w:val="TableParagraph"/>
                          <w:spacing w:before="62"/>
                          <w:ind w:left="158" w:right="140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固废间</w:t>
                        </w:r>
                      </w:p>
                    </w:tc>
                    <w:tc>
                      <w:tcPr>
                        <w:tcW w:w="6000" w:type="dxa"/>
                      </w:tcPr>
                      <w:p>
                        <w:pPr>
                          <w:pStyle w:val="TableParagraph"/>
                          <w:spacing w:before="62"/>
                          <w:ind w:left="166" w:right="160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位于厂区东侧，建筑面积</w:t>
                        </w:r>
                        <w:r>
                          <w:rPr>
                            <w:rFonts w:ascii="Times New Roman" w:eastAsia="Times New Roman" w:hAnsi="Times New Roman"/>
                            <w:sz w:val="21"/>
                          </w:rPr>
                          <w:t>10m²</w:t>
                        </w:r>
                        <w:r>
                          <w:rPr>
                            <w:sz w:val="21"/>
                          </w:rPr>
                          <w:t>，用于固废暂存</w:t>
                        </w:r>
                      </w:p>
                    </w:tc>
                    <w:tc>
                      <w:tcPr>
                        <w:tcW w:w="619" w:type="dxa"/>
                      </w:tcPr>
                      <w:p>
                        <w:pPr>
                          <w:pStyle w:val="TableParagraph"/>
                          <w:spacing w:before="76"/>
                          <w:ind w:left="6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w w:val="99"/>
                            <w:sz w:val="21"/>
                          </w:rPr>
                          <w:t>/</w:t>
                        </w:r>
                      </w:p>
                    </w:tc>
                  </w:tr>
                  <w:tr>
                    <w:tblPrEx>
                      <w:tblW w:w="0" w:type="auto"/>
                      <w:tblInd w:w="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96"/>
                    </w:trPr>
                    <w:tc>
                      <w:tcPr>
                        <w:tcW w:w="742" w:type="dxa"/>
                        <w:vMerge w:val="restart"/>
                      </w:tcPr>
                      <w:p>
                        <w:pPr>
                          <w:pStyle w:val="TableParagraph"/>
                          <w:rPr>
                            <w:rFonts w:ascii="黑体"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spacing w:before="162" w:line="244" w:lineRule="auto"/>
                          <w:ind w:left="171" w:right="105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公用工程</w:t>
                        </w:r>
                      </w:p>
                    </w:tc>
                    <w:tc>
                      <w:tcPr>
                        <w:tcW w:w="1248" w:type="dxa"/>
                      </w:tcPr>
                      <w:p>
                        <w:pPr>
                          <w:pStyle w:val="TableParagraph"/>
                          <w:spacing w:before="63"/>
                          <w:ind w:left="158" w:right="138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供水</w:t>
                        </w:r>
                      </w:p>
                    </w:tc>
                    <w:tc>
                      <w:tcPr>
                        <w:tcW w:w="6000" w:type="dxa"/>
                      </w:tcPr>
                      <w:p>
                        <w:pPr>
                          <w:pStyle w:val="TableParagraph"/>
                          <w:spacing w:before="63"/>
                          <w:ind w:left="166" w:right="158"/>
                          <w:jc w:val="center"/>
                          <w:rPr>
                            <w:rFonts w:ascii="Times New Roman" w:eastAsia="Times New Roman"/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由乐陵市杨安镇自来水管网供给，年用水量为</w:t>
                        </w:r>
                        <w:r>
                          <w:rPr>
                            <w:rFonts w:ascii="Times New Roman" w:eastAsia="Times New Roman"/>
                            <w:sz w:val="21"/>
                          </w:rPr>
                          <w:t>159.5t</w:t>
                        </w:r>
                      </w:p>
                    </w:tc>
                    <w:tc>
                      <w:tcPr>
                        <w:tcW w:w="619" w:type="dxa"/>
                      </w:tcPr>
                      <w:p>
                        <w:pPr>
                          <w:pStyle w:val="TableParagraph"/>
                          <w:spacing w:before="77"/>
                          <w:ind w:left="6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w w:val="99"/>
                            <w:sz w:val="21"/>
                          </w:rPr>
                          <w:t>/</w:t>
                        </w:r>
                      </w:p>
                    </w:tc>
                  </w:tr>
                  <w:tr>
                    <w:tblPrEx>
                      <w:tblW w:w="0" w:type="auto"/>
                      <w:tblInd w:w="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567"/>
                    </w:trPr>
                    <w:tc>
                      <w:tcPr>
                        <w:tcW w:w="742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248" w:type="dxa"/>
                      </w:tcPr>
                      <w:p>
                        <w:pPr>
                          <w:pStyle w:val="TableParagraph"/>
                          <w:spacing w:before="148"/>
                          <w:ind w:left="158" w:right="140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供热</w:t>
                        </w:r>
                        <w:r>
                          <w:rPr>
                            <w:rFonts w:ascii="Times New Roman" w:eastAsia="Times New Roman"/>
                            <w:sz w:val="21"/>
                          </w:rPr>
                          <w:t>/</w:t>
                        </w:r>
                        <w:r>
                          <w:rPr>
                            <w:sz w:val="21"/>
                          </w:rPr>
                          <w:t>制冷</w:t>
                        </w:r>
                      </w:p>
                    </w:tc>
                    <w:tc>
                      <w:tcPr>
                        <w:tcW w:w="6000" w:type="dxa"/>
                      </w:tcPr>
                      <w:p>
                        <w:pPr>
                          <w:pStyle w:val="TableParagraph"/>
                          <w:spacing w:before="10" w:line="270" w:lineRule="atLeast"/>
                          <w:ind w:left="1027" w:right="155" w:hanging="864"/>
                          <w:rPr>
                            <w:rFonts w:ascii="Times New Roman" w:eastAsia="Times New Roman"/>
                            <w:sz w:val="21"/>
                          </w:rPr>
                        </w:pPr>
                        <w:r>
                          <w:rPr>
                            <w:w w:val="95"/>
                            <w:sz w:val="21"/>
                          </w:rPr>
                          <w:t xml:space="preserve">办公采暖制冷采用分体式空调，部分原料暂存使用冷库，生产 </w:t>
                        </w:r>
                        <w:r>
                          <w:rPr>
                            <w:sz w:val="21"/>
                          </w:rPr>
                          <w:t>过程用电及液化气加热，液化气年用量为</w:t>
                        </w:r>
                        <w:r>
                          <w:rPr>
                            <w:rFonts w:ascii="Times New Roman" w:eastAsia="Times New Roman"/>
                            <w:sz w:val="21"/>
                          </w:rPr>
                          <w:t>2t</w:t>
                        </w:r>
                      </w:p>
                    </w:tc>
                    <w:tc>
                      <w:tcPr>
                        <w:tcW w:w="619" w:type="dxa"/>
                      </w:tcPr>
                      <w:p>
                        <w:pPr>
                          <w:pStyle w:val="TableParagraph"/>
                          <w:spacing w:before="162"/>
                          <w:ind w:left="6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w w:val="99"/>
                            <w:sz w:val="21"/>
                          </w:rPr>
                          <w:t>/</w:t>
                        </w:r>
                      </w:p>
                    </w:tc>
                  </w:tr>
                  <w:tr>
                    <w:tblPrEx>
                      <w:tblW w:w="0" w:type="auto"/>
                      <w:tblInd w:w="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96"/>
                    </w:trPr>
                    <w:tc>
                      <w:tcPr>
                        <w:tcW w:w="742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248" w:type="dxa"/>
                      </w:tcPr>
                      <w:p>
                        <w:pPr>
                          <w:pStyle w:val="TableParagraph"/>
                          <w:spacing w:before="63"/>
                          <w:ind w:left="158" w:right="138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供电</w:t>
                        </w:r>
                      </w:p>
                    </w:tc>
                    <w:tc>
                      <w:tcPr>
                        <w:tcW w:w="6000" w:type="dxa"/>
                      </w:tcPr>
                      <w:p>
                        <w:pPr>
                          <w:pStyle w:val="TableParagraph"/>
                          <w:spacing w:before="63"/>
                          <w:ind w:left="166" w:right="159"/>
                          <w:jc w:val="center"/>
                          <w:rPr>
                            <w:rFonts w:ascii="Times New Roman" w:eastAsia="Times New Roman" w:hAnsi="Times New Roman"/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由杨安镇供电网提供，年用电量为</w:t>
                        </w:r>
                        <w:r>
                          <w:rPr>
                            <w:rFonts w:ascii="Times New Roman" w:eastAsia="Times New Roman" w:hAnsi="Times New Roman"/>
                            <w:sz w:val="21"/>
                          </w:rPr>
                          <w:t>6</w:t>
                        </w:r>
                        <w:r>
                          <w:rPr>
                            <w:sz w:val="21"/>
                          </w:rPr>
                          <w:t>万</w:t>
                        </w:r>
                        <w:r>
                          <w:rPr>
                            <w:rFonts w:ascii="Times New Roman" w:eastAsia="Times New Roman" w:hAnsi="Times New Roman"/>
                            <w:sz w:val="21"/>
                          </w:rPr>
                          <w:t>kW·h</w:t>
                        </w:r>
                      </w:p>
                    </w:tc>
                    <w:tc>
                      <w:tcPr>
                        <w:tcW w:w="619" w:type="dxa"/>
                      </w:tcPr>
                      <w:p>
                        <w:pPr>
                          <w:pStyle w:val="TableParagraph"/>
                          <w:spacing w:before="77"/>
                          <w:ind w:left="6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w w:val="99"/>
                            <w:sz w:val="21"/>
                          </w:rPr>
                          <w:t>/</w:t>
                        </w:r>
                      </w:p>
                    </w:tc>
                  </w:tr>
                  <w:tr>
                    <w:tblPrEx>
                      <w:tblW w:w="0" w:type="auto"/>
                      <w:tblInd w:w="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1633"/>
                    </w:trPr>
                    <w:tc>
                      <w:tcPr>
                        <w:tcW w:w="742" w:type="dxa"/>
                        <w:vMerge w:val="restart"/>
                      </w:tcPr>
                      <w:p>
                        <w:pPr>
                          <w:pStyle w:val="TableParagraph"/>
                          <w:rPr>
                            <w:rFonts w:ascii="黑体"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黑体"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黑体"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黑体"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黑体"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spacing w:before="3"/>
                          <w:rPr>
                            <w:rFonts w:ascii="黑体"/>
                            <w:sz w:val="25"/>
                          </w:rPr>
                        </w:pPr>
                      </w:p>
                      <w:p>
                        <w:pPr>
                          <w:pStyle w:val="TableParagraph"/>
                          <w:spacing w:line="242" w:lineRule="auto"/>
                          <w:ind w:left="171" w:right="105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环保工程</w:t>
                        </w:r>
                      </w:p>
                    </w:tc>
                    <w:tc>
                      <w:tcPr>
                        <w:tcW w:w="1248" w:type="dxa"/>
                      </w:tcPr>
                      <w:p>
                        <w:pPr>
                          <w:pStyle w:val="TableParagraph"/>
                          <w:rPr>
                            <w:rFonts w:ascii="黑体"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黑体"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spacing w:before="168"/>
                          <w:ind w:left="158" w:right="138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废气处理</w:t>
                        </w:r>
                      </w:p>
                    </w:tc>
                    <w:tc>
                      <w:tcPr>
                        <w:tcW w:w="6000" w:type="dxa"/>
                      </w:tcPr>
                      <w:p>
                        <w:pPr>
                          <w:pStyle w:val="TableParagraph"/>
                          <w:spacing w:before="2"/>
                          <w:ind w:left="110" w:right="100" w:hanging="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pacing w:val="-9"/>
                            <w:sz w:val="21"/>
                          </w:rPr>
                          <w:t>干洗、粉碎、筛分过程产生的颗粒物经布袋除尘器处理后通过一根</w:t>
                        </w:r>
                        <w:r>
                          <w:rPr>
                            <w:rFonts w:ascii="Times New Roman" w:eastAsia="Times New Roman"/>
                            <w:spacing w:val="-9"/>
                            <w:sz w:val="21"/>
                          </w:rPr>
                          <w:t>15m</w:t>
                        </w:r>
                        <w:r>
                          <w:rPr>
                            <w:spacing w:val="-9"/>
                            <w:sz w:val="21"/>
                          </w:rPr>
                          <w:t>高排气筒</w:t>
                        </w:r>
                        <w:r>
                          <w:rPr>
                            <w:rFonts w:ascii="Times New Roman" w:eastAsia="Times New Roman"/>
                            <w:spacing w:val="-9"/>
                            <w:sz w:val="21"/>
                          </w:rPr>
                          <w:t>DA001</w:t>
                        </w:r>
                        <w:r>
                          <w:rPr>
                            <w:spacing w:val="-9"/>
                            <w:sz w:val="21"/>
                          </w:rPr>
                          <w:t>外排；熬煮过程产生的油烟、恶臭和</w:t>
                        </w:r>
                        <w:r>
                          <w:rPr>
                            <w:spacing w:val="-9"/>
                            <w:w w:val="95"/>
                            <w:position w:val="2"/>
                            <w:sz w:val="21"/>
                          </w:rPr>
                          <w:t>液化气燃烧产生的颗粒物、</w:t>
                        </w:r>
                        <w:r>
                          <w:rPr>
                            <w:rFonts w:ascii="Times New Roman" w:eastAsia="Times New Roman"/>
                            <w:spacing w:val="-9"/>
                            <w:w w:val="95"/>
                            <w:position w:val="2"/>
                            <w:sz w:val="21"/>
                          </w:rPr>
                          <w:t>SO</w:t>
                        </w:r>
                        <w:r>
                          <w:rPr>
                            <w:rFonts w:ascii="Times New Roman" w:eastAsia="Times New Roman"/>
                            <w:spacing w:val="-9"/>
                            <w:w w:val="95"/>
                            <w:position w:val="2"/>
                            <w:sz w:val="21"/>
                            <w:vertAlign w:val="subscript"/>
                          </w:rPr>
                          <w:t>2</w:t>
                        </w:r>
                        <w:r>
                          <w:rPr>
                            <w:spacing w:val="-9"/>
                            <w:w w:val="95"/>
                            <w:position w:val="2"/>
                            <w:sz w:val="21"/>
                            <w:vertAlign w:val="baseline"/>
                          </w:rPr>
                          <w:t>、</w:t>
                        </w:r>
                        <w:r>
                          <w:rPr>
                            <w:rFonts w:ascii="Times New Roman" w:eastAsia="Times New Roman"/>
                            <w:spacing w:val="-9"/>
                            <w:w w:val="95"/>
                            <w:position w:val="2"/>
                            <w:sz w:val="21"/>
                            <w:vertAlign w:val="baseline"/>
                          </w:rPr>
                          <w:t>NO</w:t>
                        </w:r>
                        <w:r>
                          <w:rPr>
                            <w:rFonts w:ascii="Times New Roman" w:eastAsia="Times New Roman"/>
                            <w:spacing w:val="-9"/>
                            <w:w w:val="95"/>
                            <w:position w:val="2"/>
                            <w:sz w:val="21"/>
                            <w:vertAlign w:val="subscript"/>
                          </w:rPr>
                          <w:t>X</w:t>
                        </w:r>
                        <w:r>
                          <w:rPr>
                            <w:spacing w:val="-9"/>
                            <w:w w:val="95"/>
                            <w:position w:val="2"/>
                            <w:sz w:val="21"/>
                            <w:vertAlign w:val="baseline"/>
                          </w:rPr>
                          <w:t xml:space="preserve">经油烟净化器处理后通过 </w:t>
                        </w:r>
                        <w:r>
                          <w:rPr>
                            <w:spacing w:val="-9"/>
                            <w:position w:val="2"/>
                            <w:sz w:val="21"/>
                            <w:vertAlign w:val="baseline"/>
                          </w:rPr>
                          <w:t>一根</w:t>
                        </w:r>
                        <w:r>
                          <w:rPr>
                            <w:rFonts w:ascii="Times New Roman" w:eastAsia="Times New Roman"/>
                            <w:spacing w:val="-9"/>
                            <w:position w:val="2"/>
                            <w:sz w:val="21"/>
                            <w:vertAlign w:val="baseline"/>
                          </w:rPr>
                          <w:t>15m</w:t>
                        </w:r>
                        <w:r>
                          <w:rPr>
                            <w:spacing w:val="-9"/>
                            <w:position w:val="2"/>
                            <w:sz w:val="21"/>
                            <w:vertAlign w:val="baseline"/>
                          </w:rPr>
                          <w:t>高的排气筒</w:t>
                        </w:r>
                        <w:r>
                          <w:rPr>
                            <w:rFonts w:ascii="Times New Roman" w:eastAsia="Times New Roman"/>
                            <w:spacing w:val="-9"/>
                            <w:position w:val="2"/>
                            <w:sz w:val="21"/>
                            <w:vertAlign w:val="baseline"/>
                          </w:rPr>
                          <w:t>DA002</w:t>
                        </w:r>
                        <w:r>
                          <w:rPr>
                            <w:spacing w:val="-9"/>
                            <w:position w:val="2"/>
                            <w:sz w:val="21"/>
                            <w:vertAlign w:val="baseline"/>
                          </w:rPr>
                          <w:t>排放；少量未收集的颗粒物、</w:t>
                        </w:r>
                        <w:r>
                          <w:rPr>
                            <w:rFonts w:ascii="Times New Roman" w:eastAsia="Times New Roman"/>
                            <w:spacing w:val="-9"/>
                            <w:position w:val="2"/>
                            <w:sz w:val="21"/>
                            <w:vertAlign w:val="baseline"/>
                          </w:rPr>
                          <w:t>SO</w:t>
                        </w:r>
                        <w:r>
                          <w:rPr>
                            <w:rFonts w:ascii="Times New Roman" w:eastAsia="Times New Roman"/>
                            <w:spacing w:val="-9"/>
                            <w:position w:val="2"/>
                            <w:sz w:val="21"/>
                            <w:vertAlign w:val="subscript"/>
                          </w:rPr>
                          <w:t>2</w:t>
                        </w:r>
                        <w:r>
                          <w:rPr>
                            <w:spacing w:val="-9"/>
                            <w:position w:val="2"/>
                            <w:sz w:val="21"/>
                            <w:vertAlign w:val="baseline"/>
                          </w:rPr>
                          <w:t>、</w:t>
                        </w:r>
                        <w:r>
                          <w:rPr>
                            <w:rFonts w:ascii="Times New Roman" w:eastAsia="Times New Roman"/>
                            <w:spacing w:val="-9"/>
                            <w:position w:val="2"/>
                            <w:sz w:val="21"/>
                            <w:vertAlign w:val="baseline"/>
                          </w:rPr>
                          <w:t>NO</w:t>
                        </w:r>
                        <w:r>
                          <w:rPr>
                            <w:rFonts w:ascii="Times New Roman" w:eastAsia="Times New Roman"/>
                            <w:spacing w:val="-9"/>
                            <w:position w:val="2"/>
                            <w:sz w:val="21"/>
                            <w:vertAlign w:val="subscript"/>
                          </w:rPr>
                          <w:t>X</w:t>
                        </w:r>
                        <w:r>
                          <w:rPr>
                            <w:spacing w:val="-9"/>
                            <w:position w:val="2"/>
                            <w:sz w:val="21"/>
                            <w:vertAlign w:val="baseline"/>
                          </w:rPr>
                          <w:t>和恶臭无组织排放。污水处理恶臭通过产臭单元加盖密</w:t>
                        </w:r>
                      </w:p>
                      <w:p>
                        <w:pPr>
                          <w:pStyle w:val="TableParagraph"/>
                          <w:spacing w:line="248" w:lineRule="exact"/>
                          <w:ind w:left="166" w:right="160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封、喷洒生物除臭剂等措施后无组织排放。</w:t>
                        </w:r>
                      </w:p>
                    </w:tc>
                    <w:tc>
                      <w:tcPr>
                        <w:tcW w:w="619" w:type="dxa"/>
                      </w:tcPr>
                      <w:p>
                        <w:pPr>
                          <w:pStyle w:val="TableParagraph"/>
                          <w:rPr>
                            <w:rFonts w:ascii="黑体"/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spacing w:before="3"/>
                          <w:rPr>
                            <w:rFonts w:ascii="黑体"/>
                            <w:sz w:val="32"/>
                          </w:rPr>
                        </w:pPr>
                      </w:p>
                      <w:p>
                        <w:pPr>
                          <w:pStyle w:val="TableParagraph"/>
                          <w:ind w:left="6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w w:val="99"/>
                            <w:sz w:val="21"/>
                          </w:rPr>
                          <w:t>/</w:t>
                        </w:r>
                      </w:p>
                    </w:tc>
                  </w:tr>
                  <w:tr>
                    <w:tblPrEx>
                      <w:tblW w:w="0" w:type="auto"/>
                      <w:tblInd w:w="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624"/>
                    </w:trPr>
                    <w:tc>
                      <w:tcPr>
                        <w:tcW w:w="742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248" w:type="dxa"/>
                      </w:tcPr>
                      <w:p>
                        <w:pPr>
                          <w:pStyle w:val="TableParagraph"/>
                          <w:spacing w:before="177"/>
                          <w:ind w:left="158" w:right="138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废水处理</w:t>
                        </w:r>
                      </w:p>
                    </w:tc>
                    <w:tc>
                      <w:tcPr>
                        <w:tcW w:w="6000" w:type="dxa"/>
                      </w:tcPr>
                      <w:p>
                        <w:pPr>
                          <w:pStyle w:val="TableParagraph"/>
                          <w:spacing w:before="40" w:line="242" w:lineRule="auto"/>
                          <w:ind w:left="163" w:right="155" w:firstLine="211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 xml:space="preserve">生活污水经化粪池沉淀后由环卫部门定期清掏，不外排； </w:t>
                        </w:r>
                        <w:r>
                          <w:rPr>
                            <w:w w:val="95"/>
                            <w:sz w:val="21"/>
                          </w:rPr>
                          <w:t>生产废水经污水处理设备处理后用于道路洒水抑尘，不外排。</w:t>
                        </w:r>
                      </w:p>
                    </w:tc>
                    <w:tc>
                      <w:tcPr>
                        <w:tcW w:w="619" w:type="dxa"/>
                      </w:tcPr>
                      <w:p>
                        <w:pPr>
                          <w:pStyle w:val="TableParagraph"/>
                          <w:spacing w:before="191"/>
                          <w:ind w:left="6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w w:val="99"/>
                            <w:sz w:val="21"/>
                          </w:rPr>
                          <w:t>/</w:t>
                        </w:r>
                      </w:p>
                    </w:tc>
                  </w:tr>
                  <w:tr>
                    <w:tblPrEx>
                      <w:tblW w:w="0" w:type="auto"/>
                      <w:tblInd w:w="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840"/>
                    </w:trPr>
                    <w:tc>
                      <w:tcPr>
                        <w:tcW w:w="742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248" w:type="dxa"/>
                      </w:tcPr>
                      <w:p>
                        <w:pPr>
                          <w:pStyle w:val="TableParagraph"/>
                          <w:spacing w:before="2"/>
                          <w:rPr>
                            <w:rFonts w:ascii="黑体"/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158" w:right="138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固废处理</w:t>
                        </w:r>
                      </w:p>
                    </w:tc>
                    <w:tc>
                      <w:tcPr>
                        <w:tcW w:w="6000" w:type="dxa"/>
                      </w:tcPr>
                      <w:p>
                        <w:pPr>
                          <w:pStyle w:val="TableParagraph"/>
                          <w:spacing w:before="11"/>
                          <w:ind w:left="16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隔油沉淀过程中产生的废油、池渣、油烟净化器收集的废食用</w:t>
                        </w:r>
                      </w:p>
                      <w:p>
                        <w:pPr>
                          <w:pStyle w:val="TableParagraph"/>
                          <w:spacing w:before="4" w:line="270" w:lineRule="atLeast"/>
                          <w:ind w:left="1529" w:right="155" w:hanging="1366"/>
                          <w:rPr>
                            <w:sz w:val="21"/>
                          </w:rPr>
                        </w:pPr>
                        <w:r>
                          <w:rPr>
                            <w:w w:val="95"/>
                            <w:sz w:val="21"/>
                          </w:rPr>
                          <w:t xml:space="preserve">油和生活垃圾由环卫部门定期清运；杂质、布袋除尘器收集的 </w:t>
                        </w:r>
                        <w:r>
                          <w:rPr>
                            <w:sz w:val="21"/>
                          </w:rPr>
                          <w:t>粉尘和废包装材料收集后外售。</w:t>
                        </w:r>
                      </w:p>
                    </w:tc>
                    <w:tc>
                      <w:tcPr>
                        <w:tcW w:w="619" w:type="dxa"/>
                      </w:tcPr>
                      <w:p>
                        <w:pPr>
                          <w:pStyle w:val="TableParagraph"/>
                          <w:spacing w:before="4"/>
                          <w:rPr>
                            <w:rFonts w:ascii="黑体"/>
                            <w:sz w:val="23"/>
                          </w:rPr>
                        </w:pPr>
                      </w:p>
                      <w:p>
                        <w:pPr>
                          <w:pStyle w:val="TableParagraph"/>
                          <w:ind w:left="6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w w:val="99"/>
                            <w:sz w:val="21"/>
                          </w:rPr>
                          <w:t>/</w:t>
                        </w:r>
                      </w:p>
                    </w:tc>
                  </w:tr>
                  <w:tr>
                    <w:tblPrEx>
                      <w:tblW w:w="0" w:type="auto"/>
                      <w:tblInd w:w="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624"/>
                    </w:trPr>
                    <w:tc>
                      <w:tcPr>
                        <w:tcW w:w="742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248" w:type="dxa"/>
                      </w:tcPr>
                      <w:p>
                        <w:pPr>
                          <w:pStyle w:val="TableParagraph"/>
                          <w:spacing w:before="176"/>
                          <w:ind w:left="158" w:right="138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噪声治理</w:t>
                        </w:r>
                      </w:p>
                    </w:tc>
                    <w:tc>
                      <w:tcPr>
                        <w:tcW w:w="6000" w:type="dxa"/>
                      </w:tcPr>
                      <w:p>
                        <w:pPr>
                          <w:pStyle w:val="TableParagraph"/>
                          <w:spacing w:before="39" w:line="244" w:lineRule="auto"/>
                          <w:ind w:left="2263" w:right="155" w:hanging="2100"/>
                          <w:rPr>
                            <w:sz w:val="21"/>
                          </w:rPr>
                        </w:pPr>
                        <w:r>
                          <w:rPr>
                            <w:w w:val="95"/>
                            <w:sz w:val="21"/>
                          </w:rPr>
                          <w:t xml:space="preserve">主要噪声为设备运行产生噪声，经过隔音、减振等措施后，对 </w:t>
                        </w:r>
                        <w:r>
                          <w:rPr>
                            <w:sz w:val="21"/>
                          </w:rPr>
                          <w:t>环境影响较小。</w:t>
                        </w:r>
                      </w:p>
                    </w:tc>
                    <w:tc>
                      <w:tcPr>
                        <w:tcW w:w="619" w:type="dxa"/>
                      </w:tcPr>
                      <w:p>
                        <w:pPr>
                          <w:pStyle w:val="TableParagraph"/>
                          <w:spacing w:before="190"/>
                          <w:ind w:left="6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w w:val="99"/>
                            <w:sz w:val="21"/>
                          </w:rPr>
                          <w:t>/</w:t>
                        </w:r>
                      </w:p>
                    </w:tc>
                  </w:tr>
                  <w:tr>
                    <w:tblPrEx>
                      <w:tblW w:w="0" w:type="auto"/>
                      <w:tblInd w:w="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545"/>
                    </w:trPr>
                    <w:tc>
                      <w:tcPr>
                        <w:tcW w:w="742" w:type="dxa"/>
                      </w:tcPr>
                      <w:p>
                        <w:pPr>
                          <w:pStyle w:val="TableParagraph"/>
                          <w:ind w:left="171"/>
                          <w:rPr>
                            <w:sz w:val="21"/>
                          </w:rPr>
                        </w:pPr>
                        <w:r>
                          <w:rPr>
                            <w:spacing w:val="-5"/>
                            <w:w w:val="95"/>
                            <w:sz w:val="21"/>
                          </w:rPr>
                          <w:t>依托</w:t>
                        </w:r>
                      </w:p>
                      <w:p>
                        <w:pPr>
                          <w:pStyle w:val="TableParagraph"/>
                          <w:spacing w:before="3" w:line="253" w:lineRule="exact"/>
                          <w:ind w:left="171"/>
                          <w:rPr>
                            <w:sz w:val="21"/>
                          </w:rPr>
                        </w:pPr>
                        <w:r>
                          <w:rPr>
                            <w:spacing w:val="-5"/>
                            <w:w w:val="95"/>
                            <w:sz w:val="21"/>
                          </w:rPr>
                          <w:t>工程</w:t>
                        </w:r>
                      </w:p>
                    </w:tc>
                    <w:tc>
                      <w:tcPr>
                        <w:tcW w:w="1248" w:type="dxa"/>
                      </w:tcPr>
                      <w:p>
                        <w:pPr>
                          <w:pStyle w:val="TableParagraph"/>
                          <w:spacing w:before="135"/>
                          <w:ind w:left="18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99"/>
                            <w:sz w:val="21"/>
                          </w:rPr>
                          <w:t>无</w:t>
                        </w:r>
                      </w:p>
                    </w:tc>
                    <w:tc>
                      <w:tcPr>
                        <w:tcW w:w="6000" w:type="dxa"/>
                      </w:tcPr>
                      <w:p>
                        <w:pPr>
                          <w:pStyle w:val="TableParagraph"/>
                          <w:spacing w:before="151"/>
                          <w:ind w:left="20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w w:val="99"/>
                            <w:sz w:val="21"/>
                          </w:rPr>
                          <w:t>/</w:t>
                        </w:r>
                      </w:p>
                    </w:tc>
                    <w:tc>
                      <w:tcPr>
                        <w:tcW w:w="619" w:type="dxa"/>
                      </w:tcPr>
                      <w:p>
                        <w:pPr>
                          <w:pStyle w:val="TableParagraph"/>
                          <w:spacing w:before="151"/>
                          <w:ind w:left="21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w w:val="99"/>
                            <w:sz w:val="21"/>
                          </w:rPr>
                          <w:t>/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</v:shape>
        </w:pict>
      </w:r>
      <w:r>
        <w:t>二、建设项目工程分析</w:t>
      </w:r>
    </w:p>
    <w:tbl>
      <w:tblPr>
        <w:tblStyle w:val="TableNormal"/>
        <w:tblW w:w="0" w:type="auto"/>
        <w:tblInd w:w="1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5"/>
        <w:gridCol w:w="8815"/>
      </w:tblGrid>
      <w:tr>
        <w:tblPrEx>
          <w:tblW w:w="0" w:type="auto"/>
          <w:tblInd w:w="136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/>
        </w:trPr>
        <w:tc>
          <w:tcPr>
            <w:tcW w:w="565" w:type="dxa"/>
            <w:tcBorders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15" w:type="dxa"/>
            <w:tcBorders>
              <w:left w:val="single" w:sz="4" w:space="0" w:color="000000"/>
              <w:bottom w:val="nil"/>
            </w:tcBorders>
          </w:tcPr>
          <w:p>
            <w:pPr>
              <w:pStyle w:val="TableParagraph"/>
              <w:spacing w:before="1"/>
              <w:ind w:left="489"/>
              <w:rPr>
                <w:b/>
                <w:sz w:val="24"/>
              </w:rPr>
            </w:pPr>
            <w:bookmarkStart w:id="16" w:name="1、项目组成"/>
            <w:bookmarkEnd w:id="16"/>
            <w:r>
              <w:rPr>
                <w:rFonts w:ascii="Times New Roman" w:eastAsia="Times New Roman"/>
                <w:b/>
                <w:sz w:val="24"/>
              </w:rPr>
              <w:t>1</w:t>
            </w:r>
            <w:r>
              <w:rPr>
                <w:b/>
                <w:sz w:val="24"/>
              </w:rPr>
              <w:t>、项目组成</w:t>
            </w:r>
          </w:p>
        </w:tc>
      </w:tr>
      <w:tr>
        <w:tblPrEx>
          <w:tblW w:w="0" w:type="auto"/>
          <w:tblInd w:w="13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/>
        </w:trPr>
        <w:tc>
          <w:tcPr>
            <w:tcW w:w="565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15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before="76"/>
              <w:ind w:right="33"/>
              <w:jc w:val="right"/>
              <w:rPr>
                <w:sz w:val="24"/>
              </w:rPr>
            </w:pPr>
            <w:r>
              <w:rPr>
                <w:sz w:val="24"/>
              </w:rPr>
              <w:t>拟建项目总占地面积</w:t>
            </w:r>
            <w:r>
              <w:rPr>
                <w:rFonts w:ascii="Times New Roman" w:eastAsia="Times New Roman" w:hAnsi="Times New Roman"/>
                <w:sz w:val="24"/>
              </w:rPr>
              <w:t>2200m</w:t>
            </w:r>
            <w:r>
              <w:rPr>
                <w:sz w:val="24"/>
              </w:rPr>
              <w:t>²，建筑面积</w:t>
            </w:r>
            <w:r>
              <w:rPr>
                <w:rFonts w:ascii="Times New Roman" w:eastAsia="Times New Roman" w:hAnsi="Times New Roman"/>
                <w:sz w:val="24"/>
              </w:rPr>
              <w:t>4050m</w:t>
            </w:r>
            <w:r>
              <w:rPr>
                <w:sz w:val="24"/>
              </w:rPr>
              <w:t>²，建筑高度</w:t>
            </w:r>
            <w:r>
              <w:rPr>
                <w:rFonts w:ascii="Times New Roman" w:eastAsia="Times New Roman" w:hAnsi="Times New Roman"/>
                <w:sz w:val="24"/>
              </w:rPr>
              <w:t>9m</w:t>
            </w:r>
            <w:r>
              <w:rPr>
                <w:sz w:val="24"/>
              </w:rPr>
              <w:t>，砖混结构，拟</w:t>
            </w:r>
          </w:p>
        </w:tc>
      </w:tr>
      <w:tr>
        <w:tblPrEx>
          <w:tblW w:w="0" w:type="auto"/>
          <w:tblInd w:w="13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/>
        </w:trPr>
        <w:tc>
          <w:tcPr>
            <w:tcW w:w="565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15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before="75"/>
              <w:ind w:left="52"/>
              <w:rPr>
                <w:sz w:val="24"/>
              </w:rPr>
            </w:pPr>
            <w:r>
              <w:rPr>
                <w:sz w:val="24"/>
              </w:rPr>
              <w:t>建项目组成见表</w:t>
            </w:r>
            <w:r>
              <w:rPr>
                <w:rFonts w:ascii="Times New Roman" w:eastAsia="Times New Roman"/>
                <w:sz w:val="24"/>
              </w:rPr>
              <w:t>2-1</w:t>
            </w:r>
            <w:r>
              <w:rPr>
                <w:sz w:val="24"/>
              </w:rPr>
              <w:t>，厂区平面布置图见附图。</w:t>
            </w:r>
          </w:p>
        </w:tc>
      </w:tr>
      <w:tr>
        <w:tblPrEx>
          <w:tblW w:w="0" w:type="auto"/>
          <w:tblInd w:w="13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7"/>
        </w:trPr>
        <w:tc>
          <w:tcPr>
            <w:tcW w:w="565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15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before="75"/>
              <w:ind w:left="409" w:right="38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表</w:t>
            </w:r>
            <w:r>
              <w:rPr>
                <w:rFonts w:ascii="Times New Roman" w:eastAsia="Times New Roman"/>
                <w:b/>
                <w:sz w:val="21"/>
              </w:rPr>
              <w:t xml:space="preserve">2-1 </w:t>
            </w:r>
            <w:r>
              <w:rPr>
                <w:b/>
                <w:sz w:val="21"/>
              </w:rPr>
              <w:t>项目组成一览表</w:t>
            </w:r>
          </w:p>
        </w:tc>
      </w:tr>
      <w:tr>
        <w:tblPrEx>
          <w:tblW w:w="0" w:type="auto"/>
          <w:tblInd w:w="13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5"/>
        </w:trPr>
        <w:tc>
          <w:tcPr>
            <w:tcW w:w="565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黑体"/>
                <w:sz w:val="24"/>
              </w:rPr>
            </w:pPr>
          </w:p>
          <w:p>
            <w:pPr>
              <w:pStyle w:val="TableParagraph"/>
              <w:rPr>
                <w:rFonts w:ascii="黑体"/>
                <w:sz w:val="24"/>
              </w:rPr>
            </w:pPr>
          </w:p>
          <w:p>
            <w:pPr>
              <w:pStyle w:val="TableParagraph"/>
              <w:rPr>
                <w:rFonts w:ascii="黑体"/>
                <w:sz w:val="24"/>
              </w:rPr>
            </w:pPr>
          </w:p>
          <w:p>
            <w:pPr>
              <w:pStyle w:val="TableParagraph"/>
              <w:rPr>
                <w:rFonts w:ascii="黑体"/>
                <w:sz w:val="24"/>
              </w:rPr>
            </w:pPr>
          </w:p>
          <w:p>
            <w:pPr>
              <w:pStyle w:val="TableParagraph"/>
              <w:rPr>
                <w:rFonts w:ascii="黑体"/>
                <w:sz w:val="24"/>
              </w:rPr>
            </w:pPr>
          </w:p>
          <w:p>
            <w:pPr>
              <w:pStyle w:val="TableParagraph"/>
              <w:rPr>
                <w:rFonts w:ascii="黑体"/>
                <w:sz w:val="24"/>
              </w:rPr>
            </w:pPr>
          </w:p>
          <w:p>
            <w:pPr>
              <w:pStyle w:val="TableParagraph"/>
              <w:spacing w:before="9"/>
              <w:rPr>
                <w:rFonts w:ascii="黑体"/>
                <w:sz w:val="35"/>
              </w:rPr>
            </w:pPr>
          </w:p>
          <w:p>
            <w:pPr>
              <w:pStyle w:val="TableParagraph"/>
              <w:spacing w:line="242" w:lineRule="auto"/>
              <w:ind w:left="43" w:right="25"/>
              <w:rPr>
                <w:b/>
                <w:sz w:val="24"/>
              </w:rPr>
            </w:pPr>
            <w:r>
              <w:rPr>
                <w:b/>
                <w:sz w:val="24"/>
              </w:rPr>
              <w:t>建设内容</w:t>
            </w:r>
          </w:p>
        </w:tc>
        <w:tc>
          <w:tcPr>
            <w:tcW w:w="8815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blPrEx>
          <w:tblW w:w="0" w:type="auto"/>
          <w:tblInd w:w="13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3"/>
        </w:trPr>
        <w:tc>
          <w:tcPr>
            <w:tcW w:w="565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15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rPr>
                <w:rFonts w:ascii="黑体"/>
                <w:sz w:val="26"/>
              </w:rPr>
            </w:pPr>
          </w:p>
          <w:p>
            <w:pPr>
              <w:pStyle w:val="TableParagraph"/>
              <w:rPr>
                <w:rFonts w:ascii="黑体"/>
                <w:sz w:val="26"/>
              </w:rPr>
            </w:pPr>
          </w:p>
          <w:p>
            <w:pPr>
              <w:pStyle w:val="TableParagraph"/>
              <w:rPr>
                <w:rFonts w:ascii="黑体"/>
                <w:sz w:val="26"/>
              </w:rPr>
            </w:pPr>
          </w:p>
          <w:p>
            <w:pPr>
              <w:pStyle w:val="TableParagraph"/>
              <w:rPr>
                <w:rFonts w:ascii="黑体"/>
                <w:sz w:val="26"/>
              </w:rPr>
            </w:pPr>
          </w:p>
          <w:p>
            <w:pPr>
              <w:pStyle w:val="TableParagraph"/>
              <w:rPr>
                <w:rFonts w:ascii="黑体"/>
                <w:sz w:val="26"/>
              </w:rPr>
            </w:pPr>
          </w:p>
          <w:p>
            <w:pPr>
              <w:pStyle w:val="TableParagraph"/>
              <w:spacing w:before="4"/>
              <w:rPr>
                <w:rFonts w:ascii="黑体"/>
                <w:sz w:val="33"/>
              </w:rPr>
            </w:pPr>
          </w:p>
          <w:p>
            <w:pPr>
              <w:pStyle w:val="TableParagraph"/>
              <w:ind w:left="446"/>
              <w:rPr>
                <w:b/>
                <w:sz w:val="24"/>
              </w:rPr>
            </w:pPr>
            <w:bookmarkStart w:id="17" w:name="2、产品规模"/>
            <w:bookmarkEnd w:id="17"/>
            <w:r>
              <w:rPr>
                <w:rFonts w:ascii="Times New Roman" w:eastAsia="Times New Roman"/>
                <w:b/>
                <w:sz w:val="24"/>
              </w:rPr>
              <w:t>2</w:t>
            </w:r>
            <w:r>
              <w:rPr>
                <w:b/>
                <w:sz w:val="24"/>
              </w:rPr>
              <w:t>、产品规模</w:t>
            </w:r>
          </w:p>
        </w:tc>
      </w:tr>
      <w:tr>
        <w:tblPrEx>
          <w:tblW w:w="0" w:type="auto"/>
          <w:tblInd w:w="13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/>
        </w:trPr>
        <w:tc>
          <w:tcPr>
            <w:tcW w:w="565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15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before="75"/>
              <w:ind w:right="148"/>
              <w:jc w:val="right"/>
              <w:rPr>
                <w:sz w:val="24"/>
              </w:rPr>
            </w:pPr>
            <w:r>
              <w:rPr>
                <w:sz w:val="24"/>
              </w:rPr>
              <w:t>拟建项目建成后年可加工生产</w:t>
            </w:r>
            <w:r>
              <w:rPr>
                <w:rFonts w:ascii="Times New Roman" w:eastAsia="Times New Roman"/>
                <w:sz w:val="24"/>
              </w:rPr>
              <w:t>80</w:t>
            </w:r>
            <w:r>
              <w:rPr>
                <w:sz w:val="24"/>
              </w:rPr>
              <w:t>吨固态调味料、</w:t>
            </w:r>
            <w:r>
              <w:rPr>
                <w:rFonts w:ascii="Times New Roman" w:eastAsia="Times New Roman"/>
                <w:sz w:val="24"/>
              </w:rPr>
              <w:t>50</w:t>
            </w:r>
            <w:r>
              <w:rPr>
                <w:sz w:val="24"/>
              </w:rPr>
              <w:t>吨半固态调味料、</w:t>
            </w:r>
            <w:r>
              <w:rPr>
                <w:rFonts w:ascii="Times New Roman" w:eastAsia="Times New Roman"/>
                <w:sz w:val="24"/>
              </w:rPr>
              <w:t>30</w:t>
            </w:r>
            <w:r>
              <w:rPr>
                <w:sz w:val="24"/>
              </w:rPr>
              <w:t>吨液态</w:t>
            </w:r>
          </w:p>
        </w:tc>
      </w:tr>
      <w:tr>
        <w:tblPrEx>
          <w:tblW w:w="0" w:type="auto"/>
          <w:tblInd w:w="13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2"/>
        </w:trPr>
        <w:tc>
          <w:tcPr>
            <w:tcW w:w="565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15" w:type="dxa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75"/>
              <w:ind w:left="9"/>
              <w:rPr>
                <w:sz w:val="24"/>
              </w:rPr>
            </w:pPr>
            <w:r>
              <w:rPr>
                <w:sz w:val="24"/>
              </w:rPr>
              <w:t>调味料、</w:t>
            </w:r>
            <w:r>
              <w:rPr>
                <w:rFonts w:ascii="Times New Roman" w:eastAsia="Times New Roman"/>
                <w:sz w:val="24"/>
              </w:rPr>
              <w:t>20</w:t>
            </w:r>
            <w:r>
              <w:rPr>
                <w:sz w:val="24"/>
              </w:rPr>
              <w:t>吨调味油、</w:t>
            </w:r>
            <w:r>
              <w:rPr>
                <w:rFonts w:ascii="Times New Roman" w:eastAsia="Times New Roman"/>
                <w:sz w:val="24"/>
              </w:rPr>
              <w:t>20</w:t>
            </w:r>
            <w:r>
              <w:rPr>
                <w:sz w:val="24"/>
              </w:rPr>
              <w:t>吨分装食品，详见下表。</w:t>
            </w:r>
          </w:p>
        </w:tc>
      </w:tr>
    </w:tbl>
    <w:p>
      <w:pPr>
        <w:spacing w:after="0"/>
        <w:rPr>
          <w:sz w:val="24"/>
        </w:rPr>
        <w:sectPr>
          <w:footerReference w:type="default" r:id="rId13"/>
          <w:pgSz w:w="11910" w:h="16850"/>
          <w:pgMar w:top="1560" w:right="1140" w:bottom="740" w:left="1140" w:header="0" w:footer="546" w:gutter="0"/>
          <w:pgNumType w:start="9"/>
          <w:cols w:num="1" w:space="720"/>
        </w:sectPr>
      </w:pPr>
    </w:p>
    <w:tbl>
      <w:tblPr>
        <w:tblStyle w:val="TableNormal"/>
        <w:tblW w:w="0" w:type="auto"/>
        <w:tblInd w:w="1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5"/>
        <w:gridCol w:w="99"/>
        <w:gridCol w:w="851"/>
        <w:gridCol w:w="1932"/>
        <w:gridCol w:w="411"/>
        <w:gridCol w:w="1569"/>
        <w:gridCol w:w="859"/>
        <w:gridCol w:w="999"/>
        <w:gridCol w:w="1990"/>
        <w:gridCol w:w="105"/>
      </w:tblGrid>
      <w:tr>
        <w:tblPrEx>
          <w:tblW w:w="0" w:type="auto"/>
          <w:tblInd w:w="136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0"/>
        </w:trPr>
        <w:tc>
          <w:tcPr>
            <w:tcW w:w="565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" w:type="dxa"/>
            <w:tcBorders>
              <w:left w:val="single" w:sz="4" w:space="0" w:color="000000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94" w:type="dxa"/>
            <w:gridSpan w:val="3"/>
            <w:tcBorders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rPr>
                <w:rFonts w:ascii="黑体"/>
                <w:sz w:val="26"/>
              </w:rPr>
            </w:pPr>
          </w:p>
          <w:p>
            <w:pPr>
              <w:pStyle w:val="TableParagraph"/>
              <w:rPr>
                <w:rFonts w:ascii="黑体"/>
                <w:sz w:val="26"/>
              </w:rPr>
            </w:pPr>
          </w:p>
          <w:p>
            <w:pPr>
              <w:pStyle w:val="TableParagraph"/>
              <w:rPr>
                <w:rFonts w:ascii="黑体"/>
                <w:sz w:val="26"/>
              </w:rPr>
            </w:pPr>
          </w:p>
          <w:p>
            <w:pPr>
              <w:pStyle w:val="TableParagraph"/>
              <w:rPr>
                <w:rFonts w:ascii="黑体"/>
                <w:sz w:val="26"/>
              </w:rPr>
            </w:pPr>
          </w:p>
          <w:p>
            <w:pPr>
              <w:pStyle w:val="TableParagraph"/>
              <w:rPr>
                <w:rFonts w:ascii="黑体"/>
                <w:sz w:val="26"/>
              </w:rPr>
            </w:pPr>
          </w:p>
          <w:p>
            <w:pPr>
              <w:pStyle w:val="TableParagraph"/>
              <w:rPr>
                <w:rFonts w:ascii="黑体"/>
                <w:sz w:val="26"/>
              </w:rPr>
            </w:pPr>
          </w:p>
          <w:p>
            <w:pPr>
              <w:pStyle w:val="TableParagraph"/>
              <w:rPr>
                <w:rFonts w:ascii="黑体"/>
                <w:sz w:val="26"/>
              </w:rPr>
            </w:pPr>
          </w:p>
          <w:p>
            <w:pPr>
              <w:pStyle w:val="TableParagraph"/>
              <w:spacing w:before="1"/>
              <w:rPr>
                <w:rFonts w:ascii="黑体"/>
                <w:sz w:val="30"/>
              </w:rPr>
            </w:pPr>
          </w:p>
          <w:p>
            <w:pPr>
              <w:pStyle w:val="TableParagraph"/>
              <w:ind w:left="352"/>
              <w:rPr>
                <w:b/>
                <w:sz w:val="24"/>
              </w:rPr>
            </w:pPr>
            <w:bookmarkStart w:id="18" w:name="3、主要设备"/>
            <w:bookmarkEnd w:id="18"/>
            <w:r>
              <w:rPr>
                <w:rFonts w:ascii="Times New Roman" w:eastAsia="Times New Roman"/>
                <w:b/>
                <w:sz w:val="24"/>
              </w:rPr>
              <w:t>3</w:t>
            </w:r>
            <w:r>
              <w:rPr>
                <w:b/>
                <w:sz w:val="24"/>
              </w:rPr>
              <w:t>、主要设备</w:t>
            </w:r>
          </w:p>
          <w:p>
            <w:pPr>
              <w:pStyle w:val="TableParagraph"/>
              <w:spacing w:before="161"/>
              <w:ind w:left="395"/>
              <w:rPr>
                <w:sz w:val="24"/>
              </w:rPr>
            </w:pPr>
            <w:r>
              <w:rPr>
                <w:sz w:val="24"/>
              </w:rPr>
              <w:t>拟建项目设备详见下表。</w:t>
            </w:r>
          </w:p>
        </w:tc>
        <w:tc>
          <w:tcPr>
            <w:tcW w:w="2428" w:type="dxa"/>
            <w:gridSpan w:val="2"/>
            <w:tcBorders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262" w:lineRule="exact"/>
              <w:ind w:left="177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表</w:t>
            </w:r>
            <w:r>
              <w:rPr>
                <w:rFonts w:ascii="Times New Roman" w:eastAsia="Times New Roman"/>
                <w:b/>
                <w:spacing w:val="-7"/>
                <w:sz w:val="21"/>
              </w:rPr>
              <w:t>2-2</w:t>
            </w:r>
            <w:r>
              <w:rPr>
                <w:rFonts w:ascii="Times New Roman" w:eastAsia="Times New Roman"/>
                <w:b/>
                <w:spacing w:val="-39"/>
                <w:sz w:val="21"/>
              </w:rPr>
              <w:t xml:space="preserve"> </w:t>
            </w:r>
            <w:r>
              <w:rPr>
                <w:b/>
                <w:spacing w:val="-9"/>
                <w:sz w:val="21"/>
              </w:rPr>
              <w:t>产品方案一览表</w:t>
            </w:r>
          </w:p>
          <w:p>
            <w:pPr>
              <w:pStyle w:val="TableParagraph"/>
              <w:rPr>
                <w:rFonts w:ascii="黑体"/>
                <w:sz w:val="22"/>
              </w:rPr>
            </w:pPr>
          </w:p>
          <w:p>
            <w:pPr>
              <w:pStyle w:val="TableParagraph"/>
              <w:rPr>
                <w:rFonts w:ascii="黑体"/>
                <w:sz w:val="22"/>
              </w:rPr>
            </w:pPr>
          </w:p>
          <w:p>
            <w:pPr>
              <w:pStyle w:val="TableParagraph"/>
              <w:rPr>
                <w:rFonts w:ascii="黑体"/>
                <w:sz w:val="22"/>
              </w:rPr>
            </w:pPr>
          </w:p>
          <w:p>
            <w:pPr>
              <w:pStyle w:val="TableParagraph"/>
              <w:rPr>
                <w:rFonts w:ascii="黑体"/>
                <w:sz w:val="22"/>
              </w:rPr>
            </w:pPr>
          </w:p>
          <w:p>
            <w:pPr>
              <w:pStyle w:val="TableParagraph"/>
              <w:rPr>
                <w:rFonts w:ascii="黑体"/>
                <w:sz w:val="22"/>
              </w:rPr>
            </w:pPr>
          </w:p>
          <w:p>
            <w:pPr>
              <w:pStyle w:val="TableParagraph"/>
              <w:rPr>
                <w:rFonts w:ascii="黑体"/>
                <w:sz w:val="22"/>
              </w:rPr>
            </w:pPr>
          </w:p>
          <w:p>
            <w:pPr>
              <w:pStyle w:val="TableParagraph"/>
              <w:rPr>
                <w:rFonts w:ascii="黑体"/>
                <w:sz w:val="22"/>
              </w:rPr>
            </w:pPr>
          </w:p>
          <w:p>
            <w:pPr>
              <w:pStyle w:val="TableParagraph"/>
              <w:rPr>
                <w:rFonts w:ascii="黑体"/>
                <w:sz w:val="22"/>
              </w:rPr>
            </w:pPr>
          </w:p>
          <w:p>
            <w:pPr>
              <w:pStyle w:val="TableParagraph"/>
              <w:rPr>
                <w:rFonts w:ascii="黑体"/>
                <w:sz w:val="22"/>
              </w:rPr>
            </w:pPr>
          </w:p>
          <w:p>
            <w:pPr>
              <w:pStyle w:val="TableParagraph"/>
              <w:rPr>
                <w:rFonts w:ascii="黑体"/>
                <w:sz w:val="22"/>
              </w:rPr>
            </w:pPr>
          </w:p>
          <w:p>
            <w:pPr>
              <w:pStyle w:val="TableParagraph"/>
              <w:rPr>
                <w:rFonts w:ascii="黑体"/>
                <w:sz w:val="22"/>
              </w:rPr>
            </w:pPr>
          </w:p>
          <w:p>
            <w:pPr>
              <w:pStyle w:val="TableParagraph"/>
              <w:spacing w:before="6"/>
              <w:rPr>
                <w:rFonts w:ascii="黑体"/>
                <w:sz w:val="22"/>
              </w:rPr>
            </w:pPr>
          </w:p>
          <w:p>
            <w:pPr>
              <w:pStyle w:val="TableParagraph"/>
              <w:spacing w:line="260" w:lineRule="exact"/>
              <w:ind w:left="177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表</w:t>
            </w:r>
            <w:r>
              <w:rPr>
                <w:rFonts w:ascii="Times New Roman" w:eastAsia="Times New Roman"/>
                <w:b/>
                <w:spacing w:val="-7"/>
                <w:sz w:val="21"/>
              </w:rPr>
              <w:t>2-3</w:t>
            </w:r>
            <w:r>
              <w:rPr>
                <w:rFonts w:ascii="Times New Roman" w:eastAsia="Times New Roman"/>
                <w:b/>
                <w:spacing w:val="-39"/>
                <w:sz w:val="21"/>
              </w:rPr>
              <w:t xml:space="preserve"> </w:t>
            </w:r>
            <w:r>
              <w:rPr>
                <w:b/>
                <w:spacing w:val="-9"/>
                <w:sz w:val="21"/>
              </w:rPr>
              <w:t>项目设备一览表</w:t>
            </w:r>
          </w:p>
        </w:tc>
        <w:tc>
          <w:tcPr>
            <w:tcW w:w="999" w:type="dxa"/>
            <w:tcBorders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90" w:type="dxa"/>
            <w:tcBorders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5" w:type="dxa"/>
            <w:tcBorders>
              <w:left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blPrEx>
          <w:tblW w:w="0" w:type="auto"/>
          <w:tblInd w:w="13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7"/>
        </w:trPr>
        <w:tc>
          <w:tcPr>
            <w:tcW w:w="565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1"/>
              <w:ind w:left="202" w:right="176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序号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1"/>
              <w:ind w:left="108" w:right="7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设备名称</w:t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1"/>
              <w:ind w:left="595"/>
              <w:rPr>
                <w:b/>
                <w:sz w:val="21"/>
              </w:rPr>
            </w:pPr>
            <w:r>
              <w:rPr>
                <w:b/>
                <w:sz w:val="21"/>
              </w:rPr>
              <w:t>设备参数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1"/>
              <w:ind w:left="206" w:right="18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数量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1"/>
              <w:ind w:left="276" w:right="25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单位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1"/>
              <w:ind w:left="35" w:right="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主要生产单元及工艺</w:t>
            </w:r>
          </w:p>
        </w:tc>
        <w:tc>
          <w:tcPr>
            <w:tcW w:w="105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blPrEx>
          <w:tblW w:w="0" w:type="auto"/>
          <w:tblInd w:w="13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/>
        </w:trPr>
        <w:tc>
          <w:tcPr>
            <w:tcW w:w="565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3"/>
              <w:ind w:left="20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9"/>
                <w:sz w:val="21"/>
              </w:rPr>
              <w:t>1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0"/>
              <w:ind w:left="108" w:right="90"/>
              <w:jc w:val="center"/>
              <w:rPr>
                <w:sz w:val="21"/>
              </w:rPr>
            </w:pPr>
            <w:r>
              <w:rPr>
                <w:sz w:val="21"/>
              </w:rPr>
              <w:t>绞片机</w:t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3"/>
              <w:ind w:left="18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9"/>
                <w:sz w:val="21"/>
              </w:rPr>
              <w:t>/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3"/>
              <w:ind w:left="29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9"/>
                <w:sz w:val="21"/>
              </w:rPr>
              <w:t>1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0"/>
              <w:ind w:left="18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套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0"/>
              <w:ind w:left="23" w:right="7"/>
              <w:jc w:val="center"/>
              <w:rPr>
                <w:sz w:val="21"/>
              </w:rPr>
            </w:pPr>
            <w:r>
              <w:rPr>
                <w:sz w:val="21"/>
              </w:rPr>
              <w:t>切片</w:t>
            </w:r>
          </w:p>
        </w:tc>
        <w:tc>
          <w:tcPr>
            <w:tcW w:w="105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blPrEx>
          <w:tblW w:w="0" w:type="auto"/>
          <w:tblInd w:w="13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7"/>
        </w:trPr>
        <w:tc>
          <w:tcPr>
            <w:tcW w:w="565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5"/>
              <w:ind w:left="20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9"/>
                <w:sz w:val="21"/>
              </w:rPr>
              <w:t>2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1"/>
              <w:ind w:left="108" w:right="90"/>
              <w:jc w:val="center"/>
              <w:rPr>
                <w:sz w:val="21"/>
              </w:rPr>
            </w:pPr>
            <w:r>
              <w:rPr>
                <w:sz w:val="21"/>
              </w:rPr>
              <w:t>磨光机</w:t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5"/>
              <w:ind w:left="18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9"/>
                <w:sz w:val="21"/>
              </w:rPr>
              <w:t>/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5"/>
              <w:ind w:left="19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9"/>
                <w:sz w:val="21"/>
              </w:rPr>
              <w:t>1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1"/>
              <w:ind w:left="18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套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1"/>
              <w:ind w:left="23" w:right="7"/>
              <w:jc w:val="center"/>
              <w:rPr>
                <w:sz w:val="21"/>
              </w:rPr>
            </w:pPr>
            <w:r>
              <w:rPr>
                <w:sz w:val="21"/>
              </w:rPr>
              <w:t>赶光</w:t>
            </w:r>
          </w:p>
        </w:tc>
        <w:tc>
          <w:tcPr>
            <w:tcW w:w="105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blPrEx>
          <w:tblW w:w="0" w:type="auto"/>
          <w:tblInd w:w="13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7"/>
        </w:trPr>
        <w:tc>
          <w:tcPr>
            <w:tcW w:w="565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4"/>
              <w:ind w:left="20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9"/>
                <w:sz w:val="21"/>
              </w:rPr>
              <w:t>3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0"/>
              <w:ind w:left="108" w:right="90"/>
              <w:jc w:val="center"/>
              <w:rPr>
                <w:sz w:val="21"/>
              </w:rPr>
            </w:pPr>
            <w:r>
              <w:rPr>
                <w:sz w:val="21"/>
              </w:rPr>
              <w:t>去石机</w:t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4"/>
              <w:ind w:left="18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9"/>
                <w:sz w:val="21"/>
              </w:rPr>
              <w:t>/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8"/>
              <w:ind w:left="19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9"/>
                <w:sz w:val="21"/>
              </w:rPr>
              <w:t>1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0"/>
              <w:ind w:left="18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套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0"/>
              <w:ind w:left="23" w:right="7"/>
              <w:jc w:val="center"/>
              <w:rPr>
                <w:sz w:val="21"/>
              </w:rPr>
            </w:pPr>
            <w:r>
              <w:rPr>
                <w:sz w:val="21"/>
              </w:rPr>
              <w:t>去杂</w:t>
            </w:r>
          </w:p>
        </w:tc>
        <w:tc>
          <w:tcPr>
            <w:tcW w:w="105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blPrEx>
          <w:tblW w:w="0" w:type="auto"/>
          <w:tblInd w:w="13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/>
        </w:trPr>
        <w:tc>
          <w:tcPr>
            <w:tcW w:w="565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3"/>
              <w:ind w:left="20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9"/>
                <w:sz w:val="21"/>
              </w:rPr>
              <w:t>4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9"/>
              <w:ind w:left="108" w:right="90"/>
              <w:jc w:val="center"/>
              <w:rPr>
                <w:sz w:val="21"/>
              </w:rPr>
            </w:pPr>
            <w:r>
              <w:rPr>
                <w:sz w:val="21"/>
              </w:rPr>
              <w:t>切段机</w:t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3"/>
              <w:ind w:left="18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9"/>
                <w:sz w:val="21"/>
              </w:rPr>
              <w:t>/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0"/>
              <w:ind w:left="29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9"/>
                <w:sz w:val="21"/>
              </w:rPr>
              <w:t>1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9"/>
              <w:ind w:left="18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套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9"/>
              <w:ind w:left="23" w:right="7"/>
              <w:jc w:val="center"/>
              <w:rPr>
                <w:sz w:val="21"/>
              </w:rPr>
            </w:pPr>
            <w:r>
              <w:rPr>
                <w:sz w:val="21"/>
              </w:rPr>
              <w:t>切段</w:t>
            </w:r>
          </w:p>
        </w:tc>
        <w:tc>
          <w:tcPr>
            <w:tcW w:w="105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blPrEx>
          <w:tblW w:w="0" w:type="auto"/>
          <w:tblInd w:w="13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7"/>
        </w:trPr>
        <w:tc>
          <w:tcPr>
            <w:tcW w:w="565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4"/>
              <w:ind w:left="20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9"/>
                <w:sz w:val="21"/>
              </w:rPr>
              <w:t>5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0"/>
              <w:ind w:left="108" w:right="90"/>
              <w:jc w:val="center"/>
              <w:rPr>
                <w:sz w:val="21"/>
              </w:rPr>
            </w:pPr>
            <w:r>
              <w:rPr>
                <w:sz w:val="21"/>
              </w:rPr>
              <w:t>振动筛</w:t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4"/>
              <w:ind w:left="18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9"/>
                <w:sz w:val="21"/>
              </w:rPr>
              <w:t>/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9"/>
              <w:ind w:left="19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9"/>
                <w:sz w:val="21"/>
              </w:rPr>
              <w:t>3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0"/>
              <w:ind w:left="18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套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0"/>
              <w:ind w:left="23" w:right="7"/>
              <w:jc w:val="center"/>
              <w:rPr>
                <w:sz w:val="21"/>
              </w:rPr>
            </w:pPr>
            <w:r>
              <w:rPr>
                <w:sz w:val="21"/>
              </w:rPr>
              <w:t>筛分</w:t>
            </w:r>
          </w:p>
        </w:tc>
        <w:tc>
          <w:tcPr>
            <w:tcW w:w="105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blPrEx>
          <w:tblW w:w="0" w:type="auto"/>
          <w:tblInd w:w="13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7"/>
        </w:trPr>
        <w:tc>
          <w:tcPr>
            <w:tcW w:w="565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3"/>
              <w:ind w:left="20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9"/>
                <w:sz w:val="21"/>
              </w:rPr>
              <w:t>6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9"/>
              <w:ind w:left="108" w:right="90"/>
              <w:jc w:val="center"/>
              <w:rPr>
                <w:sz w:val="21"/>
              </w:rPr>
            </w:pPr>
            <w:r>
              <w:rPr>
                <w:sz w:val="21"/>
              </w:rPr>
              <w:t>磨粉机</w:t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3"/>
              <w:ind w:left="18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9"/>
                <w:sz w:val="21"/>
              </w:rPr>
              <w:t>/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8"/>
              <w:ind w:left="29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9"/>
                <w:sz w:val="21"/>
              </w:rPr>
              <w:t>2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9"/>
              <w:ind w:left="18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套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9"/>
              <w:ind w:left="23" w:right="7"/>
              <w:jc w:val="center"/>
              <w:rPr>
                <w:sz w:val="21"/>
              </w:rPr>
            </w:pPr>
            <w:r>
              <w:rPr>
                <w:sz w:val="21"/>
              </w:rPr>
              <w:t>粉碎</w:t>
            </w:r>
          </w:p>
        </w:tc>
        <w:tc>
          <w:tcPr>
            <w:tcW w:w="105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blPrEx>
          <w:tblW w:w="0" w:type="auto"/>
          <w:tblInd w:w="13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/>
        </w:trPr>
        <w:tc>
          <w:tcPr>
            <w:tcW w:w="565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5"/>
              <w:ind w:left="20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9"/>
                <w:sz w:val="21"/>
              </w:rPr>
              <w:t>7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1"/>
              <w:ind w:left="108" w:right="90"/>
              <w:jc w:val="center"/>
              <w:rPr>
                <w:sz w:val="21"/>
              </w:rPr>
            </w:pPr>
            <w:r>
              <w:rPr>
                <w:sz w:val="21"/>
              </w:rPr>
              <w:t>压片机</w:t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5"/>
              <w:ind w:left="18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9"/>
                <w:sz w:val="21"/>
              </w:rPr>
              <w:t>/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5"/>
              <w:ind w:left="19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9"/>
                <w:sz w:val="21"/>
              </w:rPr>
              <w:t>1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1"/>
              <w:ind w:left="18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套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1"/>
              <w:ind w:left="23" w:right="7"/>
              <w:jc w:val="center"/>
              <w:rPr>
                <w:sz w:val="21"/>
              </w:rPr>
            </w:pPr>
            <w:r>
              <w:rPr>
                <w:sz w:val="21"/>
              </w:rPr>
              <w:t>赶光</w:t>
            </w:r>
          </w:p>
        </w:tc>
        <w:tc>
          <w:tcPr>
            <w:tcW w:w="105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blPrEx>
          <w:tblW w:w="0" w:type="auto"/>
          <w:tblInd w:w="13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7"/>
        </w:trPr>
        <w:tc>
          <w:tcPr>
            <w:tcW w:w="565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4"/>
              <w:ind w:left="20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9"/>
                <w:sz w:val="21"/>
              </w:rPr>
              <w:t>8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0"/>
              <w:ind w:left="108" w:right="90"/>
              <w:jc w:val="center"/>
              <w:rPr>
                <w:sz w:val="21"/>
              </w:rPr>
            </w:pPr>
            <w:r>
              <w:rPr>
                <w:sz w:val="21"/>
              </w:rPr>
              <w:t>切丝机</w:t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4"/>
              <w:ind w:left="18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9"/>
                <w:sz w:val="21"/>
              </w:rPr>
              <w:t>/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4"/>
              <w:ind w:left="19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9"/>
                <w:sz w:val="21"/>
              </w:rPr>
              <w:t>1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0"/>
              <w:ind w:left="18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套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0"/>
              <w:ind w:left="23" w:right="7"/>
              <w:jc w:val="center"/>
              <w:rPr>
                <w:sz w:val="21"/>
              </w:rPr>
            </w:pPr>
            <w:r>
              <w:rPr>
                <w:sz w:val="21"/>
              </w:rPr>
              <w:t>切丝</w:t>
            </w:r>
          </w:p>
        </w:tc>
        <w:tc>
          <w:tcPr>
            <w:tcW w:w="105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blPrEx>
          <w:tblW w:w="0" w:type="auto"/>
          <w:tblInd w:w="13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/>
        </w:trPr>
        <w:tc>
          <w:tcPr>
            <w:tcW w:w="565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3"/>
              <w:ind w:left="20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9"/>
                <w:sz w:val="21"/>
              </w:rPr>
              <w:t>9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9"/>
              <w:ind w:left="108" w:right="90"/>
              <w:jc w:val="center"/>
              <w:rPr>
                <w:sz w:val="21"/>
              </w:rPr>
            </w:pPr>
            <w:r>
              <w:rPr>
                <w:sz w:val="21"/>
              </w:rPr>
              <w:t>粉碎机</w:t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3"/>
              <w:ind w:left="626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FFC45A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3"/>
              <w:ind w:left="19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9"/>
                <w:sz w:val="21"/>
              </w:rPr>
              <w:t>4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9"/>
              <w:ind w:left="18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套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9"/>
              <w:ind w:left="23" w:right="7"/>
              <w:jc w:val="center"/>
              <w:rPr>
                <w:sz w:val="21"/>
              </w:rPr>
            </w:pPr>
            <w:r>
              <w:rPr>
                <w:sz w:val="21"/>
              </w:rPr>
              <w:t>粉碎</w:t>
            </w:r>
          </w:p>
        </w:tc>
        <w:tc>
          <w:tcPr>
            <w:tcW w:w="105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blPrEx>
          <w:tblW w:w="0" w:type="auto"/>
          <w:tblInd w:w="13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7"/>
        </w:trPr>
        <w:tc>
          <w:tcPr>
            <w:tcW w:w="565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4"/>
              <w:ind w:left="191" w:right="176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10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0"/>
              <w:ind w:left="108" w:right="90"/>
              <w:jc w:val="center"/>
              <w:rPr>
                <w:sz w:val="21"/>
              </w:rPr>
            </w:pPr>
            <w:r>
              <w:rPr>
                <w:sz w:val="21"/>
              </w:rPr>
              <w:t>干洗机</w:t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4"/>
              <w:ind w:left="18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9"/>
                <w:sz w:val="21"/>
              </w:rPr>
              <w:t>/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4"/>
              <w:ind w:left="19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9"/>
                <w:sz w:val="21"/>
              </w:rPr>
              <w:t>1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0"/>
              <w:ind w:left="18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套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0"/>
              <w:ind w:left="23" w:right="7"/>
              <w:jc w:val="center"/>
              <w:rPr>
                <w:sz w:val="21"/>
              </w:rPr>
            </w:pPr>
            <w:r>
              <w:rPr>
                <w:sz w:val="21"/>
              </w:rPr>
              <w:t>干洗</w:t>
            </w:r>
          </w:p>
        </w:tc>
        <w:tc>
          <w:tcPr>
            <w:tcW w:w="105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blPrEx>
          <w:tblW w:w="0" w:type="auto"/>
          <w:tblInd w:w="13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/>
        </w:trPr>
        <w:tc>
          <w:tcPr>
            <w:tcW w:w="565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3"/>
              <w:ind w:left="191" w:right="176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11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9"/>
              <w:ind w:left="108" w:right="90"/>
              <w:jc w:val="center"/>
              <w:rPr>
                <w:sz w:val="21"/>
              </w:rPr>
            </w:pPr>
            <w:r>
              <w:rPr>
                <w:sz w:val="21"/>
              </w:rPr>
              <w:t>压光机</w:t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3"/>
              <w:ind w:left="18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9"/>
                <w:sz w:val="21"/>
              </w:rPr>
              <w:t>/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3"/>
              <w:ind w:left="19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9"/>
                <w:sz w:val="21"/>
              </w:rPr>
              <w:t>1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9"/>
              <w:ind w:left="18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套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9"/>
              <w:ind w:left="23" w:right="7"/>
              <w:jc w:val="center"/>
              <w:rPr>
                <w:sz w:val="21"/>
              </w:rPr>
            </w:pPr>
            <w:r>
              <w:rPr>
                <w:sz w:val="21"/>
              </w:rPr>
              <w:t>赶光</w:t>
            </w:r>
          </w:p>
        </w:tc>
        <w:tc>
          <w:tcPr>
            <w:tcW w:w="105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blPrEx>
          <w:tblW w:w="0" w:type="auto"/>
          <w:tblInd w:w="13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7"/>
        </w:trPr>
        <w:tc>
          <w:tcPr>
            <w:tcW w:w="565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4"/>
              <w:ind w:left="191" w:right="176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12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1"/>
              <w:ind w:left="108" w:right="93"/>
              <w:jc w:val="center"/>
              <w:rPr>
                <w:sz w:val="21"/>
              </w:rPr>
            </w:pPr>
            <w:r>
              <w:rPr>
                <w:sz w:val="21"/>
              </w:rPr>
              <w:t>微波灭菌机</w:t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4"/>
              <w:ind w:left="341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HK-12NMTN2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4"/>
              <w:ind w:left="19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9"/>
                <w:sz w:val="21"/>
              </w:rPr>
              <w:t>1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1"/>
              <w:ind w:left="18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套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1"/>
              <w:ind w:left="23" w:right="7"/>
              <w:jc w:val="center"/>
              <w:rPr>
                <w:sz w:val="21"/>
              </w:rPr>
            </w:pPr>
            <w:r>
              <w:rPr>
                <w:sz w:val="21"/>
              </w:rPr>
              <w:t>灭菌</w:t>
            </w:r>
          </w:p>
        </w:tc>
        <w:tc>
          <w:tcPr>
            <w:tcW w:w="105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blPrEx>
          <w:tblW w:w="0" w:type="auto"/>
          <w:tblInd w:w="13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7"/>
        </w:trPr>
        <w:tc>
          <w:tcPr>
            <w:tcW w:w="565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3"/>
              <w:ind w:left="191" w:right="176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13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9"/>
              <w:ind w:left="108" w:right="90"/>
              <w:jc w:val="center"/>
              <w:rPr>
                <w:sz w:val="21"/>
              </w:rPr>
            </w:pPr>
            <w:r>
              <w:rPr>
                <w:sz w:val="21"/>
              </w:rPr>
              <w:t>电烤箱（烘干）</w:t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3"/>
              <w:ind w:left="18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9"/>
                <w:sz w:val="21"/>
              </w:rPr>
              <w:t>/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8"/>
              <w:ind w:left="19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9"/>
                <w:sz w:val="21"/>
              </w:rPr>
              <w:t>1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9"/>
              <w:ind w:left="18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套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9"/>
              <w:ind w:left="23" w:right="7"/>
              <w:jc w:val="center"/>
              <w:rPr>
                <w:sz w:val="21"/>
              </w:rPr>
            </w:pPr>
            <w:r>
              <w:rPr>
                <w:sz w:val="21"/>
              </w:rPr>
              <w:t>前处理</w:t>
            </w:r>
          </w:p>
        </w:tc>
        <w:tc>
          <w:tcPr>
            <w:tcW w:w="105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blPrEx>
          <w:tblW w:w="0" w:type="auto"/>
          <w:tblInd w:w="13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7"/>
        </w:trPr>
        <w:tc>
          <w:tcPr>
            <w:tcW w:w="565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5"/>
              <w:ind w:left="191" w:right="176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14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1"/>
              <w:ind w:left="108" w:right="90"/>
              <w:jc w:val="center"/>
              <w:rPr>
                <w:sz w:val="21"/>
              </w:rPr>
            </w:pPr>
            <w:r>
              <w:rPr>
                <w:sz w:val="21"/>
              </w:rPr>
              <w:t>搅拌机</w:t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5"/>
              <w:ind w:left="516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YL/100L-6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9"/>
              <w:ind w:left="19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9"/>
                <w:sz w:val="21"/>
              </w:rPr>
              <w:t>2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1"/>
              <w:ind w:left="18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套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1"/>
              <w:ind w:left="23" w:right="7"/>
              <w:jc w:val="center"/>
              <w:rPr>
                <w:sz w:val="21"/>
              </w:rPr>
            </w:pPr>
            <w:r>
              <w:rPr>
                <w:sz w:val="21"/>
              </w:rPr>
              <w:t>包装</w:t>
            </w:r>
          </w:p>
        </w:tc>
        <w:tc>
          <w:tcPr>
            <w:tcW w:w="105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blPrEx>
          <w:tblW w:w="0" w:type="auto"/>
          <w:tblInd w:w="13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7"/>
        </w:trPr>
        <w:tc>
          <w:tcPr>
            <w:tcW w:w="565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4"/>
              <w:ind w:left="191" w:right="176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15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0"/>
              <w:ind w:left="108" w:right="93"/>
              <w:jc w:val="center"/>
              <w:rPr>
                <w:sz w:val="21"/>
              </w:rPr>
            </w:pPr>
            <w:r>
              <w:rPr>
                <w:sz w:val="21"/>
              </w:rPr>
              <w:t>制冷设备（冷库）</w:t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4"/>
              <w:ind w:left="18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9"/>
                <w:sz w:val="21"/>
              </w:rPr>
              <w:t>/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8"/>
              <w:ind w:left="19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9"/>
                <w:sz w:val="21"/>
              </w:rPr>
              <w:t>1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0"/>
              <w:ind w:left="18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套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0"/>
              <w:ind w:left="21" w:right="7"/>
              <w:jc w:val="center"/>
              <w:rPr>
                <w:sz w:val="21"/>
              </w:rPr>
            </w:pPr>
            <w:r>
              <w:rPr>
                <w:sz w:val="21"/>
              </w:rPr>
              <w:t>原料暂存</w:t>
            </w:r>
          </w:p>
        </w:tc>
        <w:tc>
          <w:tcPr>
            <w:tcW w:w="105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blPrEx>
          <w:tblW w:w="0" w:type="auto"/>
          <w:tblInd w:w="13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/>
        </w:trPr>
        <w:tc>
          <w:tcPr>
            <w:tcW w:w="565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3"/>
              <w:ind w:left="191" w:right="176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16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9"/>
              <w:ind w:left="108" w:right="93"/>
              <w:jc w:val="center"/>
              <w:rPr>
                <w:sz w:val="21"/>
              </w:rPr>
            </w:pPr>
            <w:r>
              <w:rPr>
                <w:sz w:val="21"/>
              </w:rPr>
              <w:t>真空包装机</w:t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3"/>
              <w:ind w:left="18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9"/>
                <w:sz w:val="21"/>
              </w:rPr>
              <w:t>/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0"/>
              <w:ind w:left="29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9"/>
                <w:sz w:val="21"/>
              </w:rPr>
              <w:t>1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9"/>
              <w:ind w:left="18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套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9"/>
              <w:ind w:left="23" w:right="7"/>
              <w:jc w:val="center"/>
              <w:rPr>
                <w:sz w:val="21"/>
              </w:rPr>
            </w:pPr>
            <w:r>
              <w:rPr>
                <w:sz w:val="21"/>
              </w:rPr>
              <w:t>包装</w:t>
            </w:r>
          </w:p>
        </w:tc>
        <w:tc>
          <w:tcPr>
            <w:tcW w:w="105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blPrEx>
          <w:tblW w:w="0" w:type="auto"/>
          <w:tblInd w:w="13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7"/>
        </w:trPr>
        <w:tc>
          <w:tcPr>
            <w:tcW w:w="565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4"/>
              <w:ind w:left="191" w:right="176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17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0"/>
              <w:ind w:left="108" w:right="90"/>
              <w:jc w:val="center"/>
              <w:rPr>
                <w:sz w:val="21"/>
              </w:rPr>
            </w:pPr>
            <w:r>
              <w:rPr>
                <w:sz w:val="21"/>
              </w:rPr>
              <w:t>封口机</w:t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4"/>
              <w:ind w:left="18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9"/>
                <w:sz w:val="21"/>
              </w:rPr>
              <w:t>/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9"/>
              <w:ind w:left="206" w:right="175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26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0"/>
              <w:ind w:left="18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套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0"/>
              <w:ind w:left="23" w:right="7"/>
              <w:jc w:val="center"/>
              <w:rPr>
                <w:sz w:val="21"/>
              </w:rPr>
            </w:pPr>
            <w:r>
              <w:rPr>
                <w:sz w:val="21"/>
              </w:rPr>
              <w:t>包装</w:t>
            </w:r>
          </w:p>
        </w:tc>
        <w:tc>
          <w:tcPr>
            <w:tcW w:w="105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blPrEx>
          <w:tblW w:w="0" w:type="auto"/>
          <w:tblInd w:w="13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7"/>
        </w:trPr>
        <w:tc>
          <w:tcPr>
            <w:tcW w:w="565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3"/>
              <w:ind w:left="191" w:right="176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18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9"/>
              <w:ind w:left="108" w:right="90"/>
              <w:jc w:val="center"/>
              <w:rPr>
                <w:sz w:val="21"/>
              </w:rPr>
            </w:pPr>
            <w:r>
              <w:rPr>
                <w:sz w:val="21"/>
              </w:rPr>
              <w:t>电子秤</w:t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3"/>
              <w:ind w:left="681" w:right="665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ACS-6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8"/>
              <w:ind w:left="200" w:right="181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52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9"/>
              <w:ind w:left="18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套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9"/>
              <w:ind w:left="23" w:right="7"/>
              <w:jc w:val="center"/>
              <w:rPr>
                <w:sz w:val="21"/>
              </w:rPr>
            </w:pPr>
            <w:r>
              <w:rPr>
                <w:sz w:val="21"/>
              </w:rPr>
              <w:t>包装</w:t>
            </w:r>
          </w:p>
        </w:tc>
        <w:tc>
          <w:tcPr>
            <w:tcW w:w="105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blPrEx>
          <w:tblW w:w="0" w:type="auto"/>
          <w:tblInd w:w="13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7"/>
        </w:trPr>
        <w:tc>
          <w:tcPr>
            <w:tcW w:w="565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5"/>
              <w:ind w:left="191" w:right="176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19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1"/>
              <w:ind w:left="108" w:right="90"/>
              <w:jc w:val="center"/>
              <w:rPr>
                <w:sz w:val="21"/>
              </w:rPr>
            </w:pPr>
            <w:r>
              <w:rPr>
                <w:sz w:val="21"/>
              </w:rPr>
              <w:t>包装机</w:t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5"/>
              <w:ind w:left="18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9"/>
                <w:sz w:val="21"/>
              </w:rPr>
              <w:t>/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5"/>
              <w:ind w:left="19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9"/>
                <w:sz w:val="21"/>
              </w:rPr>
              <w:t>3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1"/>
              <w:ind w:left="18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套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5"/>
              <w:ind w:left="17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9"/>
                <w:sz w:val="21"/>
              </w:rPr>
              <w:t>/</w:t>
            </w:r>
          </w:p>
        </w:tc>
        <w:tc>
          <w:tcPr>
            <w:tcW w:w="105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blPrEx>
          <w:tblW w:w="0" w:type="auto"/>
          <w:tblInd w:w="13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7"/>
        </w:trPr>
        <w:tc>
          <w:tcPr>
            <w:tcW w:w="565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4"/>
              <w:ind w:left="191" w:right="176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20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0"/>
              <w:ind w:left="108" w:right="90"/>
              <w:jc w:val="center"/>
              <w:rPr>
                <w:sz w:val="21"/>
              </w:rPr>
            </w:pPr>
            <w:r>
              <w:rPr>
                <w:sz w:val="21"/>
              </w:rPr>
              <w:t>抛光机</w:t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4"/>
              <w:ind w:left="18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9"/>
                <w:sz w:val="21"/>
              </w:rPr>
              <w:t>/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4"/>
              <w:ind w:left="19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9"/>
                <w:sz w:val="21"/>
              </w:rPr>
              <w:t>2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0"/>
              <w:ind w:left="18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套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0"/>
              <w:ind w:left="23" w:right="7"/>
              <w:jc w:val="center"/>
              <w:rPr>
                <w:sz w:val="21"/>
              </w:rPr>
            </w:pPr>
            <w:r>
              <w:rPr>
                <w:sz w:val="21"/>
              </w:rPr>
              <w:t>赶光</w:t>
            </w:r>
          </w:p>
        </w:tc>
        <w:tc>
          <w:tcPr>
            <w:tcW w:w="105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blPrEx>
          <w:tblW w:w="0" w:type="auto"/>
          <w:tblInd w:w="13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/>
        </w:trPr>
        <w:tc>
          <w:tcPr>
            <w:tcW w:w="565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3"/>
              <w:ind w:left="191" w:right="176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21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9"/>
              <w:ind w:left="108" w:right="90"/>
              <w:jc w:val="center"/>
              <w:rPr>
                <w:sz w:val="21"/>
              </w:rPr>
            </w:pPr>
            <w:r>
              <w:rPr>
                <w:sz w:val="21"/>
              </w:rPr>
              <w:t>抽草机</w:t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3"/>
              <w:ind w:left="18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9"/>
                <w:sz w:val="21"/>
              </w:rPr>
              <w:t>/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3"/>
              <w:ind w:left="19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9"/>
                <w:sz w:val="21"/>
              </w:rPr>
              <w:t>2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9"/>
              <w:ind w:left="18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套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9"/>
              <w:ind w:left="23" w:right="7"/>
              <w:jc w:val="center"/>
              <w:rPr>
                <w:sz w:val="21"/>
              </w:rPr>
            </w:pPr>
            <w:r>
              <w:rPr>
                <w:sz w:val="21"/>
              </w:rPr>
              <w:t>去杂</w:t>
            </w:r>
          </w:p>
        </w:tc>
        <w:tc>
          <w:tcPr>
            <w:tcW w:w="105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blPrEx>
          <w:tblW w:w="0" w:type="auto"/>
          <w:tblInd w:w="13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7"/>
        </w:trPr>
        <w:tc>
          <w:tcPr>
            <w:tcW w:w="565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4"/>
              <w:ind w:left="191" w:right="176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22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0"/>
              <w:ind w:left="108" w:right="90"/>
              <w:jc w:val="center"/>
              <w:rPr>
                <w:sz w:val="21"/>
              </w:rPr>
            </w:pPr>
            <w:r>
              <w:rPr>
                <w:sz w:val="21"/>
              </w:rPr>
              <w:t>破碎机</w:t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4"/>
              <w:ind w:left="18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9"/>
                <w:sz w:val="21"/>
              </w:rPr>
              <w:t>/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4"/>
              <w:ind w:left="19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9"/>
                <w:sz w:val="21"/>
              </w:rPr>
              <w:t>2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0"/>
              <w:ind w:left="18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套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0"/>
              <w:ind w:left="23" w:right="7"/>
              <w:jc w:val="center"/>
              <w:rPr>
                <w:sz w:val="21"/>
              </w:rPr>
            </w:pPr>
            <w:r>
              <w:rPr>
                <w:sz w:val="21"/>
              </w:rPr>
              <w:t>粉碎</w:t>
            </w:r>
          </w:p>
        </w:tc>
        <w:tc>
          <w:tcPr>
            <w:tcW w:w="105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blPrEx>
          <w:tblW w:w="0" w:type="auto"/>
          <w:tblInd w:w="13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/>
        </w:trPr>
        <w:tc>
          <w:tcPr>
            <w:tcW w:w="565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3"/>
              <w:ind w:left="191" w:right="176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23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9"/>
              <w:ind w:left="108" w:right="90"/>
              <w:jc w:val="center"/>
              <w:rPr>
                <w:sz w:val="21"/>
              </w:rPr>
            </w:pPr>
            <w:r>
              <w:rPr>
                <w:sz w:val="21"/>
              </w:rPr>
              <w:t>切割机</w:t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3"/>
              <w:ind w:left="18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9"/>
                <w:sz w:val="21"/>
              </w:rPr>
              <w:t>/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3"/>
              <w:ind w:left="19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9"/>
                <w:sz w:val="21"/>
              </w:rPr>
              <w:t>1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9"/>
              <w:ind w:left="18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套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9"/>
              <w:ind w:left="23" w:right="7"/>
              <w:jc w:val="center"/>
              <w:rPr>
                <w:sz w:val="21"/>
              </w:rPr>
            </w:pPr>
            <w:r>
              <w:rPr>
                <w:sz w:val="21"/>
              </w:rPr>
              <w:t>前处理</w:t>
            </w:r>
          </w:p>
        </w:tc>
        <w:tc>
          <w:tcPr>
            <w:tcW w:w="105" w:type="dxa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rPr>
          <w:sz w:val="2"/>
          <w:szCs w:val="2"/>
        </w:rPr>
      </w:pPr>
      <w:r>
        <w:pict>
          <v:shape id="_x0000_s1033" o:spid="_x0000_s1032" type="#_x0000_t202" style="width:431.3pt;height:122.6pt;margin-top:91.65pt;margin-left:96.25pt;mso-height-relative:page;mso-position-horizontal-relative:page;mso-position-vertical-relative:page;mso-width-relative:page;position:absolute;z-index:251662336" coordsize="21600,21600" filled="f" stroked="f">
            <v:stroke joinstyle="miter"/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1676"/>
                    <w:gridCol w:w="3363"/>
                    <w:gridCol w:w="1795"/>
                    <w:gridCol w:w="1777"/>
                  </w:tblGrid>
                  <w:tr>
                    <w:tblPrEx>
                      <w:tblW w:w="0" w:type="auto"/>
                      <w:tblInd w:w="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96"/>
                    </w:trPr>
                    <w:tc>
                      <w:tcPr>
                        <w:tcW w:w="1676" w:type="dxa"/>
                      </w:tcPr>
                      <w:p>
                        <w:pPr>
                          <w:pStyle w:val="TableParagraph"/>
                          <w:spacing w:before="64"/>
                          <w:ind w:left="583" w:right="578"/>
                          <w:jc w:val="center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序号</w:t>
                        </w:r>
                      </w:p>
                    </w:tc>
                    <w:tc>
                      <w:tcPr>
                        <w:tcW w:w="3363" w:type="dxa"/>
                      </w:tcPr>
                      <w:p>
                        <w:pPr>
                          <w:pStyle w:val="TableParagraph"/>
                          <w:spacing w:before="64"/>
                          <w:ind w:left="1029" w:right="1023"/>
                          <w:jc w:val="center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产品名称</w:t>
                        </w:r>
                      </w:p>
                    </w:tc>
                    <w:tc>
                      <w:tcPr>
                        <w:tcW w:w="1795" w:type="dxa"/>
                      </w:tcPr>
                      <w:p>
                        <w:pPr>
                          <w:pStyle w:val="TableParagraph"/>
                          <w:spacing w:before="64"/>
                          <w:ind w:left="665" w:right="657"/>
                          <w:jc w:val="center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产量</w:t>
                        </w:r>
                      </w:p>
                    </w:tc>
                    <w:tc>
                      <w:tcPr>
                        <w:tcW w:w="1777" w:type="dxa"/>
                      </w:tcPr>
                      <w:p>
                        <w:pPr>
                          <w:pStyle w:val="TableParagraph"/>
                          <w:spacing w:before="64"/>
                          <w:ind w:left="656" w:right="649"/>
                          <w:jc w:val="center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单位</w:t>
                        </w:r>
                      </w:p>
                    </w:tc>
                  </w:tr>
                  <w:tr>
                    <w:tblPrEx>
                      <w:tblW w:w="0" w:type="auto"/>
                      <w:tblInd w:w="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97"/>
                    </w:trPr>
                    <w:tc>
                      <w:tcPr>
                        <w:tcW w:w="1676" w:type="dxa"/>
                      </w:tcPr>
                      <w:p>
                        <w:pPr>
                          <w:pStyle w:val="TableParagraph"/>
                          <w:spacing w:before="76"/>
                          <w:ind w:left="6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w w:val="99"/>
                            <w:sz w:val="21"/>
                          </w:rPr>
                          <w:t>1</w:t>
                        </w:r>
                      </w:p>
                    </w:tc>
                    <w:tc>
                      <w:tcPr>
                        <w:tcW w:w="3363" w:type="dxa"/>
                      </w:tcPr>
                      <w:p>
                        <w:pPr>
                          <w:pStyle w:val="TableParagraph"/>
                          <w:spacing w:before="62"/>
                          <w:ind w:left="1029" w:right="1023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固态调味料</w:t>
                        </w:r>
                      </w:p>
                    </w:tc>
                    <w:tc>
                      <w:tcPr>
                        <w:tcW w:w="1795" w:type="dxa"/>
                      </w:tcPr>
                      <w:p>
                        <w:pPr>
                          <w:pStyle w:val="TableParagraph"/>
                          <w:spacing w:before="76"/>
                          <w:ind w:left="665" w:right="656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sz w:val="21"/>
                          </w:rPr>
                          <w:t>80</w:t>
                        </w:r>
                      </w:p>
                    </w:tc>
                    <w:tc>
                      <w:tcPr>
                        <w:tcW w:w="1777" w:type="dxa"/>
                      </w:tcPr>
                      <w:p>
                        <w:pPr>
                          <w:pStyle w:val="TableParagraph"/>
                          <w:spacing w:before="76"/>
                          <w:ind w:left="655" w:right="649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sz w:val="21"/>
                          </w:rPr>
                          <w:t>t/a</w:t>
                        </w:r>
                      </w:p>
                    </w:tc>
                  </w:tr>
                  <w:tr>
                    <w:tblPrEx>
                      <w:tblW w:w="0" w:type="auto"/>
                      <w:tblInd w:w="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97"/>
                    </w:trPr>
                    <w:tc>
                      <w:tcPr>
                        <w:tcW w:w="1676" w:type="dxa"/>
                      </w:tcPr>
                      <w:p>
                        <w:pPr>
                          <w:pStyle w:val="TableParagraph"/>
                          <w:spacing w:before="77"/>
                          <w:ind w:left="6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w w:val="99"/>
                            <w:sz w:val="21"/>
                          </w:rPr>
                          <w:t>2</w:t>
                        </w:r>
                      </w:p>
                    </w:tc>
                    <w:tc>
                      <w:tcPr>
                        <w:tcW w:w="3363" w:type="dxa"/>
                      </w:tcPr>
                      <w:p>
                        <w:pPr>
                          <w:pStyle w:val="TableParagraph"/>
                          <w:spacing w:before="63"/>
                          <w:ind w:left="1029" w:right="1023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半固态调味料</w:t>
                        </w:r>
                      </w:p>
                    </w:tc>
                    <w:tc>
                      <w:tcPr>
                        <w:tcW w:w="1795" w:type="dxa"/>
                      </w:tcPr>
                      <w:p>
                        <w:pPr>
                          <w:pStyle w:val="TableParagraph"/>
                          <w:spacing w:before="77"/>
                          <w:ind w:left="665" w:right="656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sz w:val="21"/>
                          </w:rPr>
                          <w:t>50</w:t>
                        </w:r>
                      </w:p>
                    </w:tc>
                    <w:tc>
                      <w:tcPr>
                        <w:tcW w:w="1777" w:type="dxa"/>
                      </w:tcPr>
                      <w:p>
                        <w:pPr>
                          <w:pStyle w:val="TableParagraph"/>
                          <w:spacing w:before="77"/>
                          <w:ind w:left="655" w:right="649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sz w:val="21"/>
                          </w:rPr>
                          <w:t>t/a</w:t>
                        </w:r>
                      </w:p>
                    </w:tc>
                  </w:tr>
                  <w:tr>
                    <w:tblPrEx>
                      <w:tblW w:w="0" w:type="auto"/>
                      <w:tblInd w:w="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97"/>
                    </w:trPr>
                    <w:tc>
                      <w:tcPr>
                        <w:tcW w:w="1676" w:type="dxa"/>
                      </w:tcPr>
                      <w:p>
                        <w:pPr>
                          <w:pStyle w:val="TableParagraph"/>
                          <w:spacing w:before="76"/>
                          <w:ind w:left="6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w w:val="99"/>
                            <w:sz w:val="21"/>
                          </w:rPr>
                          <w:t>3</w:t>
                        </w:r>
                      </w:p>
                    </w:tc>
                    <w:tc>
                      <w:tcPr>
                        <w:tcW w:w="3363" w:type="dxa"/>
                      </w:tcPr>
                      <w:p>
                        <w:pPr>
                          <w:pStyle w:val="TableParagraph"/>
                          <w:spacing w:before="62"/>
                          <w:ind w:left="1029" w:right="1023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液态调味料</w:t>
                        </w:r>
                      </w:p>
                    </w:tc>
                    <w:tc>
                      <w:tcPr>
                        <w:tcW w:w="1795" w:type="dxa"/>
                      </w:tcPr>
                      <w:p>
                        <w:pPr>
                          <w:pStyle w:val="TableParagraph"/>
                          <w:spacing w:before="76"/>
                          <w:ind w:left="665" w:right="656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sz w:val="21"/>
                          </w:rPr>
                          <w:t>30</w:t>
                        </w:r>
                      </w:p>
                    </w:tc>
                    <w:tc>
                      <w:tcPr>
                        <w:tcW w:w="1777" w:type="dxa"/>
                      </w:tcPr>
                      <w:p>
                        <w:pPr>
                          <w:pStyle w:val="TableParagraph"/>
                          <w:spacing w:before="76"/>
                          <w:ind w:left="655" w:right="649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sz w:val="21"/>
                          </w:rPr>
                          <w:t>t/a</w:t>
                        </w:r>
                      </w:p>
                    </w:tc>
                  </w:tr>
                  <w:tr>
                    <w:tblPrEx>
                      <w:tblW w:w="0" w:type="auto"/>
                      <w:tblInd w:w="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97"/>
                    </w:trPr>
                    <w:tc>
                      <w:tcPr>
                        <w:tcW w:w="1676" w:type="dxa"/>
                      </w:tcPr>
                      <w:p>
                        <w:pPr>
                          <w:pStyle w:val="TableParagraph"/>
                          <w:spacing w:before="77"/>
                          <w:ind w:left="6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w w:val="99"/>
                            <w:sz w:val="21"/>
                          </w:rPr>
                          <w:t>4</w:t>
                        </w:r>
                      </w:p>
                    </w:tc>
                    <w:tc>
                      <w:tcPr>
                        <w:tcW w:w="3363" w:type="dxa"/>
                      </w:tcPr>
                      <w:p>
                        <w:pPr>
                          <w:pStyle w:val="TableParagraph"/>
                          <w:spacing w:before="63"/>
                          <w:ind w:left="1029" w:right="1020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调味油</w:t>
                        </w:r>
                      </w:p>
                    </w:tc>
                    <w:tc>
                      <w:tcPr>
                        <w:tcW w:w="1795" w:type="dxa"/>
                      </w:tcPr>
                      <w:p>
                        <w:pPr>
                          <w:pStyle w:val="TableParagraph"/>
                          <w:spacing w:before="77"/>
                          <w:ind w:left="665" w:right="656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sz w:val="21"/>
                          </w:rPr>
                          <w:t>20</w:t>
                        </w:r>
                      </w:p>
                    </w:tc>
                    <w:tc>
                      <w:tcPr>
                        <w:tcW w:w="1777" w:type="dxa"/>
                      </w:tcPr>
                      <w:p>
                        <w:pPr>
                          <w:pStyle w:val="TableParagraph"/>
                          <w:spacing w:before="77"/>
                          <w:ind w:left="655" w:right="649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sz w:val="21"/>
                          </w:rPr>
                          <w:t>t/a</w:t>
                        </w:r>
                      </w:p>
                    </w:tc>
                  </w:tr>
                  <w:tr>
                    <w:tblPrEx>
                      <w:tblW w:w="0" w:type="auto"/>
                      <w:tblInd w:w="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96"/>
                    </w:trPr>
                    <w:tc>
                      <w:tcPr>
                        <w:tcW w:w="1676" w:type="dxa"/>
                      </w:tcPr>
                      <w:p>
                        <w:pPr>
                          <w:pStyle w:val="TableParagraph"/>
                          <w:spacing w:before="78"/>
                          <w:ind w:left="6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w w:val="99"/>
                            <w:sz w:val="21"/>
                          </w:rPr>
                          <w:t>5</w:t>
                        </w:r>
                      </w:p>
                    </w:tc>
                    <w:tc>
                      <w:tcPr>
                        <w:tcW w:w="3363" w:type="dxa"/>
                      </w:tcPr>
                      <w:p>
                        <w:pPr>
                          <w:pStyle w:val="TableParagraph"/>
                          <w:spacing w:before="64"/>
                          <w:ind w:left="1029" w:right="1023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分装食品</w:t>
                        </w:r>
                      </w:p>
                    </w:tc>
                    <w:tc>
                      <w:tcPr>
                        <w:tcW w:w="1795" w:type="dxa"/>
                      </w:tcPr>
                      <w:p>
                        <w:pPr>
                          <w:pStyle w:val="TableParagraph"/>
                          <w:spacing w:before="78"/>
                          <w:ind w:left="665" w:right="656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sz w:val="21"/>
                          </w:rPr>
                          <w:t>20</w:t>
                        </w:r>
                      </w:p>
                    </w:tc>
                    <w:tc>
                      <w:tcPr>
                        <w:tcW w:w="1777" w:type="dxa"/>
                      </w:tcPr>
                      <w:p>
                        <w:pPr>
                          <w:pStyle w:val="TableParagraph"/>
                          <w:spacing w:before="78"/>
                          <w:ind w:left="655" w:right="649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sz w:val="21"/>
                          </w:rPr>
                          <w:t>t/a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</v:shape>
        </w:pict>
      </w:r>
    </w:p>
    <w:p>
      <w:pPr>
        <w:spacing w:after="0"/>
        <w:rPr>
          <w:sz w:val="2"/>
          <w:szCs w:val="2"/>
        </w:rPr>
        <w:sectPr>
          <w:footerReference w:type="default" r:id="rId14"/>
          <w:pgSz w:w="11910" w:h="16850"/>
          <w:pgMar w:top="1540" w:right="1140" w:bottom="740" w:left="1140" w:header="0" w:footer="546" w:gutter="0"/>
          <w:pgNumType w:start="10"/>
          <w:cols w:num="1" w:space="720"/>
        </w:sectPr>
      </w:pPr>
    </w:p>
    <w:tbl>
      <w:tblPr>
        <w:tblStyle w:val="TableNormal"/>
        <w:tblW w:w="0" w:type="auto"/>
        <w:tblInd w:w="1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5"/>
        <w:gridCol w:w="99"/>
        <w:gridCol w:w="851"/>
        <w:gridCol w:w="319"/>
        <w:gridCol w:w="1613"/>
        <w:gridCol w:w="335"/>
        <w:gridCol w:w="1676"/>
        <w:gridCol w:w="828"/>
        <w:gridCol w:w="1029"/>
        <w:gridCol w:w="1959"/>
        <w:gridCol w:w="105"/>
      </w:tblGrid>
      <w:tr>
        <w:tblPrEx>
          <w:tblW w:w="0" w:type="auto"/>
          <w:tblInd w:w="136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7"/>
        </w:trPr>
        <w:tc>
          <w:tcPr>
            <w:tcW w:w="565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" w:type="dxa"/>
            <w:vMerge w:val="restart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3"/>
              <w:ind w:left="191" w:right="176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24</w:t>
            </w:r>
          </w:p>
        </w:tc>
        <w:tc>
          <w:tcPr>
            <w:tcW w:w="1932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9"/>
              <w:ind w:left="655"/>
              <w:rPr>
                <w:sz w:val="21"/>
              </w:rPr>
            </w:pPr>
            <w:r>
              <w:rPr>
                <w:sz w:val="21"/>
              </w:rPr>
              <w:t>切菜机</w:t>
            </w:r>
          </w:p>
        </w:tc>
        <w:tc>
          <w:tcPr>
            <w:tcW w:w="2011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3"/>
              <w:ind w:right="10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9"/>
                <w:sz w:val="21"/>
              </w:rPr>
              <w:t>/</w:t>
            </w:r>
          </w:p>
        </w:tc>
        <w:tc>
          <w:tcPr>
            <w:tcW w:w="82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3"/>
              <w:ind w:right="1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9"/>
                <w:sz w:val="21"/>
              </w:rPr>
              <w:t>3</w:t>
            </w:r>
          </w:p>
        </w:tc>
        <w:tc>
          <w:tcPr>
            <w:tcW w:w="102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9"/>
              <w:ind w:right="11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套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9"/>
              <w:ind w:left="291" w:right="301"/>
              <w:jc w:val="center"/>
              <w:rPr>
                <w:sz w:val="21"/>
              </w:rPr>
            </w:pPr>
            <w:r>
              <w:rPr>
                <w:sz w:val="21"/>
              </w:rPr>
              <w:t>前处理</w:t>
            </w:r>
          </w:p>
        </w:tc>
        <w:tc>
          <w:tcPr>
            <w:tcW w:w="105" w:type="dxa"/>
            <w:tcBorders>
              <w:left w:val="single" w:sz="4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blPrEx>
          <w:tblW w:w="0" w:type="auto"/>
          <w:tblInd w:w="13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/>
        </w:trPr>
        <w:tc>
          <w:tcPr>
            <w:tcW w:w="565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5"/>
              <w:ind w:left="191" w:right="176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25</w:t>
            </w:r>
          </w:p>
        </w:tc>
        <w:tc>
          <w:tcPr>
            <w:tcW w:w="1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1"/>
              <w:ind w:left="655"/>
              <w:rPr>
                <w:sz w:val="21"/>
              </w:rPr>
            </w:pPr>
            <w:r>
              <w:rPr>
                <w:sz w:val="21"/>
              </w:rPr>
              <w:t>煮酱锅</w:t>
            </w:r>
          </w:p>
        </w:tc>
        <w:tc>
          <w:tcPr>
            <w:tcW w:w="2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5"/>
              <w:ind w:left="727" w:right="737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200L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5"/>
              <w:ind w:right="9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9"/>
                <w:sz w:val="21"/>
              </w:rPr>
              <w:t>5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1"/>
              <w:ind w:right="11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套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1"/>
              <w:ind w:left="291" w:right="301"/>
              <w:jc w:val="center"/>
              <w:rPr>
                <w:sz w:val="21"/>
              </w:rPr>
            </w:pPr>
            <w:r>
              <w:rPr>
                <w:sz w:val="21"/>
              </w:rPr>
              <w:t>熬煮</w:t>
            </w:r>
          </w:p>
        </w:tc>
        <w:tc>
          <w:tcPr>
            <w:tcW w:w="105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blPrEx>
          <w:tblW w:w="0" w:type="auto"/>
          <w:tblInd w:w="13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7"/>
        </w:trPr>
        <w:tc>
          <w:tcPr>
            <w:tcW w:w="565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4"/>
              <w:ind w:left="191" w:right="176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26</w:t>
            </w:r>
          </w:p>
        </w:tc>
        <w:tc>
          <w:tcPr>
            <w:tcW w:w="1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0"/>
              <w:ind w:left="108" w:right="78"/>
              <w:jc w:val="center"/>
              <w:rPr>
                <w:sz w:val="21"/>
              </w:rPr>
            </w:pPr>
            <w:r>
              <w:rPr>
                <w:sz w:val="21"/>
              </w:rPr>
              <w:t>冷却罐</w:t>
            </w:r>
          </w:p>
        </w:tc>
        <w:tc>
          <w:tcPr>
            <w:tcW w:w="2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4"/>
              <w:ind w:right="10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9"/>
                <w:sz w:val="21"/>
              </w:rPr>
              <w:t>/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4"/>
              <w:ind w:right="9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9"/>
                <w:sz w:val="21"/>
              </w:rPr>
              <w:t>3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0"/>
              <w:ind w:right="11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套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0"/>
              <w:ind w:left="291" w:right="301"/>
              <w:jc w:val="center"/>
              <w:rPr>
                <w:sz w:val="21"/>
              </w:rPr>
            </w:pPr>
            <w:r>
              <w:rPr>
                <w:sz w:val="21"/>
              </w:rPr>
              <w:t>冷却</w:t>
            </w:r>
          </w:p>
        </w:tc>
        <w:tc>
          <w:tcPr>
            <w:tcW w:w="105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blPrEx>
          <w:tblW w:w="0" w:type="auto"/>
          <w:tblInd w:w="13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7"/>
        </w:trPr>
        <w:tc>
          <w:tcPr>
            <w:tcW w:w="565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3"/>
              <w:ind w:left="191" w:right="176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27</w:t>
            </w:r>
          </w:p>
        </w:tc>
        <w:tc>
          <w:tcPr>
            <w:tcW w:w="1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9"/>
              <w:ind w:left="655"/>
              <w:rPr>
                <w:sz w:val="21"/>
              </w:rPr>
            </w:pPr>
            <w:r>
              <w:rPr>
                <w:sz w:val="21"/>
              </w:rPr>
              <w:t>封口机</w:t>
            </w:r>
          </w:p>
        </w:tc>
        <w:tc>
          <w:tcPr>
            <w:tcW w:w="2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3"/>
              <w:ind w:left="614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DF-1000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3"/>
              <w:ind w:right="9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9"/>
                <w:sz w:val="21"/>
              </w:rPr>
              <w:t>5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9"/>
              <w:ind w:right="11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套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9"/>
              <w:ind w:left="291" w:right="301"/>
              <w:jc w:val="center"/>
              <w:rPr>
                <w:sz w:val="21"/>
              </w:rPr>
            </w:pPr>
            <w:r>
              <w:rPr>
                <w:sz w:val="21"/>
              </w:rPr>
              <w:t>包装</w:t>
            </w:r>
          </w:p>
        </w:tc>
        <w:tc>
          <w:tcPr>
            <w:tcW w:w="105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blPrEx>
          <w:tblW w:w="0" w:type="auto"/>
          <w:tblInd w:w="13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7"/>
        </w:trPr>
        <w:tc>
          <w:tcPr>
            <w:tcW w:w="565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4"/>
              <w:ind w:left="191" w:right="176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28</w:t>
            </w:r>
          </w:p>
        </w:tc>
        <w:tc>
          <w:tcPr>
            <w:tcW w:w="1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0"/>
              <w:ind w:left="655"/>
              <w:rPr>
                <w:sz w:val="21"/>
              </w:rPr>
            </w:pPr>
            <w:r>
              <w:rPr>
                <w:sz w:val="21"/>
              </w:rPr>
              <w:t>消毒柜</w:t>
            </w:r>
          </w:p>
        </w:tc>
        <w:tc>
          <w:tcPr>
            <w:tcW w:w="2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4"/>
              <w:ind w:right="10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9"/>
                <w:sz w:val="21"/>
              </w:rPr>
              <w:t>/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4"/>
              <w:ind w:right="9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9"/>
                <w:sz w:val="21"/>
              </w:rPr>
              <w:t>2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0"/>
              <w:ind w:right="11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套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4"/>
              <w:ind w:right="9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9"/>
                <w:sz w:val="21"/>
              </w:rPr>
              <w:t>/</w:t>
            </w:r>
          </w:p>
        </w:tc>
        <w:tc>
          <w:tcPr>
            <w:tcW w:w="105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blPrEx>
          <w:tblW w:w="0" w:type="auto"/>
          <w:tblInd w:w="13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7"/>
        </w:trPr>
        <w:tc>
          <w:tcPr>
            <w:tcW w:w="565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3"/>
              <w:ind w:left="191" w:right="176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29</w:t>
            </w:r>
          </w:p>
        </w:tc>
        <w:tc>
          <w:tcPr>
            <w:tcW w:w="1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9"/>
              <w:ind w:left="655"/>
              <w:rPr>
                <w:sz w:val="21"/>
              </w:rPr>
            </w:pPr>
            <w:r>
              <w:rPr>
                <w:sz w:val="21"/>
              </w:rPr>
              <w:t>灌装机</w:t>
            </w:r>
          </w:p>
        </w:tc>
        <w:tc>
          <w:tcPr>
            <w:tcW w:w="2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3"/>
              <w:ind w:right="10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9"/>
                <w:sz w:val="21"/>
              </w:rPr>
              <w:t>/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3"/>
              <w:ind w:right="9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9"/>
                <w:sz w:val="21"/>
              </w:rPr>
              <w:t>5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9"/>
              <w:ind w:right="11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套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9"/>
              <w:ind w:left="291" w:right="301"/>
              <w:jc w:val="center"/>
              <w:rPr>
                <w:sz w:val="21"/>
              </w:rPr>
            </w:pPr>
            <w:r>
              <w:rPr>
                <w:sz w:val="21"/>
              </w:rPr>
              <w:t>灌装</w:t>
            </w:r>
          </w:p>
        </w:tc>
        <w:tc>
          <w:tcPr>
            <w:tcW w:w="105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blPrEx>
          <w:tblW w:w="0" w:type="auto"/>
          <w:tblInd w:w="13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/>
        </w:trPr>
        <w:tc>
          <w:tcPr>
            <w:tcW w:w="565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4"/>
              <w:ind w:left="191" w:right="176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30</w:t>
            </w:r>
          </w:p>
        </w:tc>
        <w:tc>
          <w:tcPr>
            <w:tcW w:w="1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1"/>
              <w:ind w:left="108" w:right="78"/>
              <w:jc w:val="center"/>
              <w:rPr>
                <w:sz w:val="21"/>
              </w:rPr>
            </w:pPr>
            <w:r>
              <w:rPr>
                <w:sz w:val="21"/>
              </w:rPr>
              <w:t>打包机</w:t>
            </w:r>
          </w:p>
        </w:tc>
        <w:tc>
          <w:tcPr>
            <w:tcW w:w="2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4"/>
              <w:ind w:right="10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9"/>
                <w:sz w:val="21"/>
              </w:rPr>
              <w:t>/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4"/>
              <w:ind w:right="9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9"/>
                <w:sz w:val="21"/>
              </w:rPr>
              <w:t>2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1"/>
              <w:ind w:right="11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套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1"/>
              <w:ind w:left="291" w:right="301"/>
              <w:jc w:val="center"/>
              <w:rPr>
                <w:sz w:val="21"/>
              </w:rPr>
            </w:pPr>
            <w:r>
              <w:rPr>
                <w:sz w:val="21"/>
              </w:rPr>
              <w:t>包装</w:t>
            </w:r>
          </w:p>
        </w:tc>
        <w:tc>
          <w:tcPr>
            <w:tcW w:w="105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blPrEx>
          <w:tblW w:w="0" w:type="auto"/>
          <w:tblInd w:w="13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7"/>
        </w:trPr>
        <w:tc>
          <w:tcPr>
            <w:tcW w:w="565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3"/>
              <w:ind w:left="191" w:right="176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31</w:t>
            </w:r>
          </w:p>
        </w:tc>
        <w:tc>
          <w:tcPr>
            <w:tcW w:w="1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9"/>
              <w:ind w:left="550"/>
              <w:rPr>
                <w:sz w:val="21"/>
              </w:rPr>
            </w:pPr>
            <w:r>
              <w:rPr>
                <w:sz w:val="21"/>
              </w:rPr>
              <w:t>液化气罐</w:t>
            </w:r>
          </w:p>
        </w:tc>
        <w:tc>
          <w:tcPr>
            <w:tcW w:w="2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3"/>
              <w:ind w:left="727" w:right="736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50kg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3"/>
              <w:ind w:right="1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9"/>
                <w:sz w:val="21"/>
              </w:rPr>
              <w:t>5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9"/>
              <w:ind w:right="11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个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3"/>
              <w:ind w:right="9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9"/>
                <w:sz w:val="21"/>
              </w:rPr>
              <w:t>/</w:t>
            </w:r>
          </w:p>
        </w:tc>
        <w:tc>
          <w:tcPr>
            <w:tcW w:w="105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blPrEx>
          <w:tblW w:w="0" w:type="auto"/>
          <w:tblInd w:w="13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7"/>
        </w:trPr>
        <w:tc>
          <w:tcPr>
            <w:tcW w:w="565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5"/>
              <w:ind w:left="191" w:right="176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32</w:t>
            </w:r>
          </w:p>
        </w:tc>
        <w:tc>
          <w:tcPr>
            <w:tcW w:w="1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1"/>
              <w:ind w:left="473"/>
              <w:rPr>
                <w:sz w:val="21"/>
              </w:rPr>
            </w:pPr>
            <w:r>
              <w:rPr>
                <w:sz w:val="21"/>
              </w:rPr>
              <w:t>油烟净化器</w:t>
            </w:r>
          </w:p>
        </w:tc>
        <w:tc>
          <w:tcPr>
            <w:tcW w:w="2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1"/>
              <w:ind w:left="96"/>
              <w:rPr>
                <w:rFonts w:ascii="Times New Roman" w:eastAsia="Times New Roman" w:hAnsi="Times New Roman"/>
                <w:sz w:val="21"/>
              </w:rPr>
            </w:pPr>
            <w:r>
              <w:rPr>
                <w:sz w:val="21"/>
              </w:rPr>
              <w:t>风机风量</w:t>
            </w:r>
            <w:r>
              <w:rPr>
                <w:rFonts w:ascii="Times New Roman" w:eastAsia="Times New Roman" w:hAnsi="Times New Roman"/>
                <w:sz w:val="21"/>
              </w:rPr>
              <w:t>20000m</w:t>
            </w:r>
            <w:r>
              <w:rPr>
                <w:sz w:val="21"/>
              </w:rPr>
              <w:t>³</w:t>
            </w:r>
            <w:r>
              <w:rPr>
                <w:rFonts w:ascii="Times New Roman" w:eastAsia="Times New Roman" w:hAnsi="Times New Roman"/>
                <w:sz w:val="21"/>
              </w:rPr>
              <w:t>/h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5"/>
              <w:ind w:right="1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9"/>
                <w:sz w:val="21"/>
              </w:rPr>
              <w:t>1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1"/>
              <w:ind w:right="11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套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5"/>
              <w:ind w:right="7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9"/>
                <w:sz w:val="21"/>
              </w:rPr>
              <w:t>-</w:t>
            </w:r>
          </w:p>
        </w:tc>
        <w:tc>
          <w:tcPr>
            <w:tcW w:w="105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blPrEx>
          <w:tblW w:w="0" w:type="auto"/>
          <w:tblInd w:w="13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/>
        </w:trPr>
        <w:tc>
          <w:tcPr>
            <w:tcW w:w="565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4"/>
              <w:ind w:left="191" w:right="176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33</w:t>
            </w:r>
          </w:p>
        </w:tc>
        <w:tc>
          <w:tcPr>
            <w:tcW w:w="1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0"/>
              <w:ind w:left="444"/>
              <w:rPr>
                <w:sz w:val="21"/>
              </w:rPr>
            </w:pPr>
            <w:r>
              <w:rPr>
                <w:sz w:val="21"/>
              </w:rPr>
              <w:t>布袋除尘器</w:t>
            </w:r>
          </w:p>
        </w:tc>
        <w:tc>
          <w:tcPr>
            <w:tcW w:w="2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0"/>
              <w:ind w:left="115"/>
              <w:rPr>
                <w:rFonts w:ascii="Times New Roman" w:eastAsia="Times New Roman" w:hAnsi="Times New Roman"/>
                <w:sz w:val="21"/>
              </w:rPr>
            </w:pPr>
            <w:r>
              <w:rPr>
                <w:sz w:val="21"/>
              </w:rPr>
              <w:t>风机风量</w:t>
            </w:r>
            <w:r>
              <w:rPr>
                <w:rFonts w:ascii="Times New Roman" w:eastAsia="Times New Roman" w:hAnsi="Times New Roman"/>
                <w:sz w:val="21"/>
              </w:rPr>
              <w:t>10000m³/h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4"/>
              <w:ind w:right="9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9"/>
                <w:sz w:val="21"/>
              </w:rPr>
              <w:t>1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0"/>
              <w:ind w:right="11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套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4"/>
              <w:ind w:right="7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9"/>
                <w:sz w:val="21"/>
              </w:rPr>
              <w:t>-</w:t>
            </w:r>
          </w:p>
        </w:tc>
        <w:tc>
          <w:tcPr>
            <w:tcW w:w="105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blPrEx>
          <w:tblW w:w="0" w:type="auto"/>
          <w:tblInd w:w="13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7"/>
        </w:trPr>
        <w:tc>
          <w:tcPr>
            <w:tcW w:w="565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3"/>
              <w:ind w:left="191" w:right="176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34</w:t>
            </w:r>
          </w:p>
        </w:tc>
        <w:tc>
          <w:tcPr>
            <w:tcW w:w="1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9"/>
              <w:ind w:left="372"/>
              <w:rPr>
                <w:sz w:val="21"/>
              </w:rPr>
            </w:pPr>
            <w:r>
              <w:rPr>
                <w:sz w:val="21"/>
              </w:rPr>
              <w:t>污水处理设备</w:t>
            </w:r>
          </w:p>
        </w:tc>
        <w:tc>
          <w:tcPr>
            <w:tcW w:w="2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3"/>
              <w:ind w:left="727" w:right="739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1m³/d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3"/>
              <w:ind w:right="1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9"/>
                <w:sz w:val="21"/>
              </w:rPr>
              <w:t>1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9"/>
              <w:ind w:right="11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套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3"/>
              <w:ind w:right="7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9"/>
                <w:sz w:val="21"/>
              </w:rPr>
              <w:t>-</w:t>
            </w:r>
          </w:p>
        </w:tc>
        <w:tc>
          <w:tcPr>
            <w:tcW w:w="105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blPrEx>
          <w:tblW w:w="0" w:type="auto"/>
          <w:tblInd w:w="13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5"/>
        </w:trPr>
        <w:tc>
          <w:tcPr>
            <w:tcW w:w="565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1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302" w:lineRule="exact"/>
              <w:ind w:left="446"/>
              <w:rPr>
                <w:b/>
                <w:sz w:val="24"/>
              </w:rPr>
            </w:pPr>
            <w:bookmarkStart w:id="19" w:name="4、主要原、辅材料消耗"/>
            <w:bookmarkEnd w:id="19"/>
            <w:r>
              <w:rPr>
                <w:rFonts w:ascii="Times New Roman" w:eastAsia="Times New Roman"/>
                <w:b/>
                <w:sz w:val="24"/>
              </w:rPr>
              <w:t>4</w:t>
            </w:r>
            <w:r>
              <w:rPr>
                <w:b/>
                <w:sz w:val="24"/>
              </w:rPr>
              <w:t>、主要原、辅材料消耗</w:t>
            </w:r>
          </w:p>
          <w:p>
            <w:pPr>
              <w:pStyle w:val="TableParagraph"/>
              <w:spacing w:before="158"/>
              <w:ind w:left="489"/>
              <w:rPr>
                <w:sz w:val="24"/>
              </w:rPr>
            </w:pPr>
            <w:r>
              <w:rPr>
                <w:sz w:val="24"/>
              </w:rPr>
              <w:t>拟建项目主要原辅材料见下表。</w:t>
            </w:r>
          </w:p>
          <w:p>
            <w:pPr>
              <w:pStyle w:val="TableParagraph"/>
              <w:spacing w:before="159" w:line="259" w:lineRule="exact"/>
              <w:ind w:left="2856" w:right="282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表</w:t>
            </w:r>
            <w:r>
              <w:rPr>
                <w:rFonts w:ascii="Times New Roman" w:eastAsia="Times New Roman"/>
                <w:b/>
                <w:sz w:val="21"/>
              </w:rPr>
              <w:t xml:space="preserve">2-4 </w:t>
            </w:r>
            <w:r>
              <w:rPr>
                <w:b/>
                <w:sz w:val="21"/>
              </w:rPr>
              <w:t>主要原、辅材料及年消耗量</w:t>
            </w:r>
          </w:p>
        </w:tc>
      </w:tr>
      <w:tr>
        <w:tblPrEx>
          <w:tblW w:w="0" w:type="auto"/>
          <w:tblInd w:w="13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/>
        </w:trPr>
        <w:tc>
          <w:tcPr>
            <w:tcW w:w="565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5"/>
              <w:ind w:left="378"/>
              <w:rPr>
                <w:b/>
                <w:sz w:val="21"/>
              </w:rPr>
            </w:pPr>
            <w:r>
              <w:rPr>
                <w:b/>
                <w:sz w:val="21"/>
              </w:rPr>
              <w:t>序号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5"/>
              <w:ind w:left="557"/>
              <w:rPr>
                <w:b/>
                <w:sz w:val="21"/>
              </w:rPr>
            </w:pPr>
            <w:r>
              <w:rPr>
                <w:b/>
                <w:sz w:val="21"/>
              </w:rPr>
              <w:t>原辅材料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5"/>
              <w:ind w:left="604" w:right="556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单位</w:t>
            </w:r>
          </w:p>
        </w:tc>
        <w:tc>
          <w:tcPr>
            <w:tcW w:w="1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5"/>
              <w:ind w:left="648"/>
              <w:rPr>
                <w:b/>
                <w:sz w:val="21"/>
              </w:rPr>
            </w:pPr>
            <w:r>
              <w:rPr>
                <w:b/>
                <w:sz w:val="21"/>
              </w:rPr>
              <w:t>年用量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5"/>
              <w:ind w:left="348" w:right="3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备注</w:t>
            </w:r>
          </w:p>
        </w:tc>
        <w:tc>
          <w:tcPr>
            <w:tcW w:w="105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blPrEx>
          <w:tblW w:w="0" w:type="auto"/>
          <w:tblInd w:w="13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/>
        </w:trPr>
        <w:tc>
          <w:tcPr>
            <w:tcW w:w="565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8"/>
              <w:ind w:left="18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9"/>
                <w:sz w:val="21"/>
              </w:rPr>
              <w:t>1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4"/>
              <w:ind w:left="338" w:right="322"/>
              <w:jc w:val="center"/>
              <w:rPr>
                <w:sz w:val="21"/>
              </w:rPr>
            </w:pPr>
            <w:r>
              <w:rPr>
                <w:sz w:val="21"/>
              </w:rPr>
              <w:t>辣椒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8"/>
              <w:ind w:left="604" w:right="557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t/a</w:t>
            </w:r>
          </w:p>
        </w:tc>
        <w:tc>
          <w:tcPr>
            <w:tcW w:w="1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8"/>
              <w:ind w:left="168" w:right="91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30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4"/>
              <w:ind w:left="346" w:right="301"/>
              <w:jc w:val="center"/>
              <w:rPr>
                <w:sz w:val="21"/>
              </w:rPr>
            </w:pPr>
            <w:r>
              <w:rPr>
                <w:sz w:val="21"/>
              </w:rPr>
              <w:t>固态</w:t>
            </w:r>
          </w:p>
        </w:tc>
        <w:tc>
          <w:tcPr>
            <w:tcW w:w="105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blPrEx>
          <w:tblW w:w="0" w:type="auto"/>
          <w:tblInd w:w="13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/>
        </w:trPr>
        <w:tc>
          <w:tcPr>
            <w:tcW w:w="565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8"/>
              <w:ind w:left="18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9"/>
                <w:sz w:val="21"/>
              </w:rPr>
              <w:t>2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9"/>
              <w:ind w:left="338" w:right="317"/>
              <w:jc w:val="center"/>
              <w:rPr>
                <w:sz w:val="22"/>
              </w:rPr>
            </w:pPr>
            <w:r>
              <w:rPr>
                <w:sz w:val="22"/>
              </w:rPr>
              <w:t>八角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8"/>
              <w:ind w:left="604" w:right="557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t/a</w:t>
            </w:r>
          </w:p>
        </w:tc>
        <w:tc>
          <w:tcPr>
            <w:tcW w:w="1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8"/>
              <w:ind w:left="168" w:right="91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10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4"/>
              <w:ind w:left="346" w:right="301"/>
              <w:jc w:val="center"/>
              <w:rPr>
                <w:sz w:val="21"/>
              </w:rPr>
            </w:pPr>
            <w:r>
              <w:rPr>
                <w:sz w:val="21"/>
              </w:rPr>
              <w:t>固态</w:t>
            </w:r>
          </w:p>
        </w:tc>
        <w:tc>
          <w:tcPr>
            <w:tcW w:w="105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blPrEx>
          <w:tblW w:w="0" w:type="auto"/>
          <w:tblInd w:w="13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/>
        </w:trPr>
        <w:tc>
          <w:tcPr>
            <w:tcW w:w="565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9"/>
              <w:ind w:left="18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9"/>
                <w:sz w:val="21"/>
              </w:rPr>
              <w:t>3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5"/>
              <w:ind w:left="338" w:right="322"/>
              <w:jc w:val="center"/>
              <w:rPr>
                <w:sz w:val="21"/>
              </w:rPr>
            </w:pPr>
            <w:r>
              <w:rPr>
                <w:sz w:val="21"/>
              </w:rPr>
              <w:t>陈皮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9"/>
              <w:ind w:left="604" w:right="557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t/a</w:t>
            </w:r>
          </w:p>
        </w:tc>
        <w:tc>
          <w:tcPr>
            <w:tcW w:w="1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9"/>
              <w:ind w:left="82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9"/>
                <w:sz w:val="21"/>
              </w:rPr>
              <w:t>6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5"/>
              <w:ind w:left="346" w:right="301"/>
              <w:jc w:val="center"/>
              <w:rPr>
                <w:sz w:val="21"/>
              </w:rPr>
            </w:pPr>
            <w:r>
              <w:rPr>
                <w:sz w:val="21"/>
              </w:rPr>
              <w:t>固态</w:t>
            </w:r>
          </w:p>
        </w:tc>
        <w:tc>
          <w:tcPr>
            <w:tcW w:w="105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blPrEx>
          <w:tblW w:w="0" w:type="auto"/>
          <w:tblInd w:w="13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/>
        </w:trPr>
        <w:tc>
          <w:tcPr>
            <w:tcW w:w="565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9"/>
              <w:ind w:left="18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9"/>
                <w:sz w:val="21"/>
              </w:rPr>
              <w:t>4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8"/>
              <w:ind w:left="338" w:right="317"/>
              <w:jc w:val="center"/>
              <w:rPr>
                <w:sz w:val="22"/>
              </w:rPr>
            </w:pPr>
            <w:r>
              <w:rPr>
                <w:sz w:val="22"/>
              </w:rPr>
              <w:t>茴香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9"/>
              <w:ind w:left="604" w:right="557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t/a</w:t>
            </w:r>
          </w:p>
        </w:tc>
        <w:tc>
          <w:tcPr>
            <w:tcW w:w="1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9"/>
              <w:ind w:left="168" w:right="91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10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5"/>
              <w:ind w:left="346" w:right="301"/>
              <w:jc w:val="center"/>
              <w:rPr>
                <w:sz w:val="21"/>
              </w:rPr>
            </w:pPr>
            <w:r>
              <w:rPr>
                <w:sz w:val="21"/>
              </w:rPr>
              <w:t>固态</w:t>
            </w:r>
          </w:p>
        </w:tc>
        <w:tc>
          <w:tcPr>
            <w:tcW w:w="105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blPrEx>
          <w:tblW w:w="0" w:type="auto"/>
          <w:tblInd w:w="13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/>
        </w:trPr>
        <w:tc>
          <w:tcPr>
            <w:tcW w:w="565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8"/>
              <w:ind w:left="18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9"/>
                <w:sz w:val="21"/>
              </w:rPr>
              <w:t>5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8"/>
              <w:ind w:left="648"/>
              <w:rPr>
                <w:sz w:val="22"/>
              </w:rPr>
            </w:pPr>
            <w:r>
              <w:rPr>
                <w:sz w:val="22"/>
              </w:rPr>
              <w:t>干姜片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8"/>
              <w:ind w:left="604" w:right="557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t/a</w:t>
            </w:r>
          </w:p>
        </w:tc>
        <w:tc>
          <w:tcPr>
            <w:tcW w:w="1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8"/>
              <w:ind w:left="82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9"/>
                <w:sz w:val="21"/>
              </w:rPr>
              <w:t>5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4"/>
              <w:ind w:left="346" w:right="301"/>
              <w:jc w:val="center"/>
              <w:rPr>
                <w:sz w:val="21"/>
              </w:rPr>
            </w:pPr>
            <w:r>
              <w:rPr>
                <w:sz w:val="21"/>
              </w:rPr>
              <w:t>固态</w:t>
            </w:r>
          </w:p>
        </w:tc>
        <w:tc>
          <w:tcPr>
            <w:tcW w:w="105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blPrEx>
          <w:tblW w:w="0" w:type="auto"/>
          <w:tblInd w:w="13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/>
        </w:trPr>
        <w:tc>
          <w:tcPr>
            <w:tcW w:w="565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8"/>
              <w:ind w:left="18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9"/>
                <w:sz w:val="21"/>
              </w:rPr>
              <w:t>6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9"/>
              <w:ind w:left="338" w:right="317"/>
              <w:jc w:val="center"/>
              <w:rPr>
                <w:sz w:val="22"/>
              </w:rPr>
            </w:pPr>
            <w:r>
              <w:rPr>
                <w:sz w:val="22"/>
              </w:rPr>
              <w:t>花椒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8"/>
              <w:ind w:left="604" w:right="557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t/a</w:t>
            </w:r>
          </w:p>
        </w:tc>
        <w:tc>
          <w:tcPr>
            <w:tcW w:w="1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8"/>
              <w:ind w:left="82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9"/>
                <w:sz w:val="21"/>
              </w:rPr>
              <w:t>5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4"/>
              <w:ind w:left="346" w:right="301"/>
              <w:jc w:val="center"/>
              <w:rPr>
                <w:sz w:val="21"/>
              </w:rPr>
            </w:pPr>
            <w:r>
              <w:rPr>
                <w:sz w:val="21"/>
              </w:rPr>
              <w:t>固态</w:t>
            </w:r>
          </w:p>
        </w:tc>
        <w:tc>
          <w:tcPr>
            <w:tcW w:w="105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blPrEx>
          <w:tblW w:w="0" w:type="auto"/>
          <w:tblInd w:w="13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/>
        </w:trPr>
        <w:tc>
          <w:tcPr>
            <w:tcW w:w="565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9"/>
              <w:ind w:left="18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9"/>
                <w:sz w:val="21"/>
              </w:rPr>
              <w:t>7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5"/>
              <w:ind w:left="338" w:right="322"/>
              <w:jc w:val="center"/>
              <w:rPr>
                <w:sz w:val="21"/>
              </w:rPr>
            </w:pPr>
            <w:r>
              <w:rPr>
                <w:sz w:val="21"/>
              </w:rPr>
              <w:t>孜然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9"/>
              <w:ind w:left="604" w:right="557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t/a</w:t>
            </w:r>
          </w:p>
        </w:tc>
        <w:tc>
          <w:tcPr>
            <w:tcW w:w="1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9"/>
              <w:ind w:left="82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9"/>
                <w:sz w:val="21"/>
              </w:rPr>
              <w:t>5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5"/>
              <w:ind w:left="346" w:right="301"/>
              <w:jc w:val="center"/>
              <w:rPr>
                <w:sz w:val="21"/>
              </w:rPr>
            </w:pPr>
            <w:r>
              <w:rPr>
                <w:sz w:val="21"/>
              </w:rPr>
              <w:t>固态</w:t>
            </w:r>
          </w:p>
        </w:tc>
        <w:tc>
          <w:tcPr>
            <w:tcW w:w="105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blPrEx>
          <w:tblW w:w="0" w:type="auto"/>
          <w:tblInd w:w="13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/>
        </w:trPr>
        <w:tc>
          <w:tcPr>
            <w:tcW w:w="565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9"/>
              <w:ind w:left="18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9"/>
                <w:sz w:val="21"/>
              </w:rPr>
              <w:t>8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6"/>
              <w:ind w:left="338" w:right="322"/>
              <w:jc w:val="center"/>
              <w:rPr>
                <w:sz w:val="21"/>
              </w:rPr>
            </w:pPr>
            <w:r>
              <w:rPr>
                <w:sz w:val="21"/>
              </w:rPr>
              <w:t>胡椒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9"/>
              <w:ind w:left="604" w:right="557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t/a</w:t>
            </w:r>
          </w:p>
        </w:tc>
        <w:tc>
          <w:tcPr>
            <w:tcW w:w="1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9"/>
              <w:ind w:left="82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9"/>
                <w:sz w:val="21"/>
              </w:rPr>
              <w:t>8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6"/>
              <w:ind w:left="346" w:right="301"/>
              <w:jc w:val="center"/>
              <w:rPr>
                <w:sz w:val="21"/>
              </w:rPr>
            </w:pPr>
            <w:r>
              <w:rPr>
                <w:sz w:val="21"/>
              </w:rPr>
              <w:t>固态</w:t>
            </w:r>
          </w:p>
        </w:tc>
        <w:tc>
          <w:tcPr>
            <w:tcW w:w="105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blPrEx>
          <w:tblW w:w="0" w:type="auto"/>
          <w:tblInd w:w="13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/>
        </w:trPr>
        <w:tc>
          <w:tcPr>
            <w:tcW w:w="565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8"/>
              <w:ind w:left="18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9"/>
                <w:sz w:val="21"/>
              </w:rPr>
              <w:t>9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4"/>
              <w:ind w:left="338" w:right="322"/>
              <w:jc w:val="center"/>
              <w:rPr>
                <w:sz w:val="21"/>
              </w:rPr>
            </w:pPr>
            <w:r>
              <w:rPr>
                <w:sz w:val="21"/>
              </w:rPr>
              <w:t>桂皮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8"/>
              <w:ind w:left="604" w:right="557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t/a</w:t>
            </w:r>
          </w:p>
        </w:tc>
        <w:tc>
          <w:tcPr>
            <w:tcW w:w="1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8"/>
              <w:ind w:left="82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9"/>
                <w:sz w:val="21"/>
              </w:rPr>
              <w:t>8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4"/>
              <w:ind w:left="346" w:right="301"/>
              <w:jc w:val="center"/>
              <w:rPr>
                <w:sz w:val="21"/>
              </w:rPr>
            </w:pPr>
            <w:r>
              <w:rPr>
                <w:sz w:val="21"/>
              </w:rPr>
              <w:t>固态</w:t>
            </w:r>
          </w:p>
        </w:tc>
        <w:tc>
          <w:tcPr>
            <w:tcW w:w="105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blPrEx>
          <w:tblW w:w="0" w:type="auto"/>
          <w:tblInd w:w="13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/>
        </w:trPr>
        <w:tc>
          <w:tcPr>
            <w:tcW w:w="565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8"/>
              <w:ind w:left="464" w:right="446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10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4"/>
              <w:ind w:left="338" w:right="322"/>
              <w:jc w:val="center"/>
              <w:rPr>
                <w:sz w:val="21"/>
              </w:rPr>
            </w:pPr>
            <w:r>
              <w:rPr>
                <w:sz w:val="21"/>
              </w:rPr>
              <w:t>香叶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8"/>
              <w:ind w:left="604" w:right="557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t/a</w:t>
            </w:r>
          </w:p>
        </w:tc>
        <w:tc>
          <w:tcPr>
            <w:tcW w:w="1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8"/>
              <w:ind w:left="82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9"/>
                <w:sz w:val="21"/>
              </w:rPr>
              <w:t>5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4"/>
              <w:ind w:left="346" w:right="301"/>
              <w:jc w:val="center"/>
              <w:rPr>
                <w:sz w:val="21"/>
              </w:rPr>
            </w:pPr>
            <w:r>
              <w:rPr>
                <w:sz w:val="21"/>
              </w:rPr>
              <w:t>固态</w:t>
            </w:r>
          </w:p>
        </w:tc>
        <w:tc>
          <w:tcPr>
            <w:tcW w:w="105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blPrEx>
          <w:tblW w:w="0" w:type="auto"/>
          <w:tblInd w:w="13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/>
        </w:trPr>
        <w:tc>
          <w:tcPr>
            <w:tcW w:w="565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9"/>
              <w:ind w:left="464" w:right="446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11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5"/>
              <w:ind w:left="19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糖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9"/>
              <w:ind w:left="604" w:right="557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t/a</w:t>
            </w:r>
          </w:p>
        </w:tc>
        <w:tc>
          <w:tcPr>
            <w:tcW w:w="1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9"/>
              <w:ind w:left="168" w:right="91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10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5"/>
              <w:ind w:left="346" w:right="301"/>
              <w:jc w:val="center"/>
              <w:rPr>
                <w:sz w:val="21"/>
              </w:rPr>
            </w:pPr>
            <w:r>
              <w:rPr>
                <w:sz w:val="21"/>
              </w:rPr>
              <w:t>固态</w:t>
            </w:r>
          </w:p>
        </w:tc>
        <w:tc>
          <w:tcPr>
            <w:tcW w:w="105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blPrEx>
          <w:tblW w:w="0" w:type="auto"/>
          <w:tblInd w:w="13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/>
        </w:trPr>
        <w:tc>
          <w:tcPr>
            <w:tcW w:w="565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9"/>
              <w:ind w:left="464" w:right="446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12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6"/>
              <w:ind w:left="338" w:right="322"/>
              <w:jc w:val="center"/>
              <w:rPr>
                <w:sz w:val="21"/>
              </w:rPr>
            </w:pPr>
            <w:r>
              <w:rPr>
                <w:sz w:val="21"/>
              </w:rPr>
              <w:t>食用油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9"/>
              <w:ind w:left="604" w:right="557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t/a</w:t>
            </w:r>
          </w:p>
        </w:tc>
        <w:tc>
          <w:tcPr>
            <w:tcW w:w="1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9"/>
              <w:ind w:left="168" w:right="91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50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6"/>
              <w:ind w:left="348" w:right="300"/>
              <w:jc w:val="center"/>
              <w:rPr>
                <w:sz w:val="21"/>
              </w:rPr>
            </w:pPr>
            <w:r>
              <w:rPr>
                <w:sz w:val="21"/>
              </w:rPr>
              <w:t>液态</w:t>
            </w:r>
          </w:p>
        </w:tc>
        <w:tc>
          <w:tcPr>
            <w:tcW w:w="105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blPrEx>
          <w:tblW w:w="0" w:type="auto"/>
          <w:tblInd w:w="13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/>
        </w:trPr>
        <w:tc>
          <w:tcPr>
            <w:tcW w:w="565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8"/>
              <w:ind w:left="464" w:right="446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13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4"/>
              <w:ind w:left="338" w:right="322"/>
              <w:jc w:val="center"/>
              <w:rPr>
                <w:sz w:val="21"/>
              </w:rPr>
            </w:pPr>
            <w:r>
              <w:rPr>
                <w:sz w:val="21"/>
              </w:rPr>
              <w:t>酱油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8"/>
              <w:ind w:left="604" w:right="557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t/a</w:t>
            </w:r>
          </w:p>
        </w:tc>
        <w:tc>
          <w:tcPr>
            <w:tcW w:w="1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8"/>
              <w:ind w:left="82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9"/>
                <w:sz w:val="21"/>
              </w:rPr>
              <w:t>8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4"/>
              <w:ind w:left="348" w:right="300"/>
              <w:jc w:val="center"/>
              <w:rPr>
                <w:sz w:val="21"/>
              </w:rPr>
            </w:pPr>
            <w:r>
              <w:rPr>
                <w:sz w:val="21"/>
              </w:rPr>
              <w:t>液态</w:t>
            </w:r>
          </w:p>
        </w:tc>
        <w:tc>
          <w:tcPr>
            <w:tcW w:w="105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blPrEx>
          <w:tblW w:w="0" w:type="auto"/>
          <w:tblInd w:w="13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/>
        </w:trPr>
        <w:tc>
          <w:tcPr>
            <w:tcW w:w="565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8"/>
              <w:ind w:left="464" w:right="446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14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4"/>
              <w:ind w:left="19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醋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8"/>
              <w:ind w:left="604" w:right="557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t/a</w:t>
            </w:r>
          </w:p>
        </w:tc>
        <w:tc>
          <w:tcPr>
            <w:tcW w:w="1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8"/>
              <w:ind w:left="82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9"/>
                <w:sz w:val="21"/>
              </w:rPr>
              <w:t>4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4"/>
              <w:ind w:left="348" w:right="300"/>
              <w:jc w:val="center"/>
              <w:rPr>
                <w:sz w:val="21"/>
              </w:rPr>
            </w:pPr>
            <w:r>
              <w:rPr>
                <w:sz w:val="21"/>
              </w:rPr>
              <w:t>液态</w:t>
            </w:r>
          </w:p>
        </w:tc>
        <w:tc>
          <w:tcPr>
            <w:tcW w:w="105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blPrEx>
          <w:tblW w:w="0" w:type="auto"/>
          <w:tblInd w:w="13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/>
        </w:trPr>
        <w:tc>
          <w:tcPr>
            <w:tcW w:w="565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9"/>
              <w:ind w:left="464" w:right="446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15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5"/>
              <w:ind w:left="338" w:right="322"/>
              <w:jc w:val="center"/>
              <w:rPr>
                <w:sz w:val="21"/>
              </w:rPr>
            </w:pPr>
            <w:r>
              <w:rPr>
                <w:sz w:val="21"/>
              </w:rPr>
              <w:t>味精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9"/>
              <w:ind w:left="604" w:right="557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t/a</w:t>
            </w:r>
          </w:p>
        </w:tc>
        <w:tc>
          <w:tcPr>
            <w:tcW w:w="1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9"/>
              <w:ind w:left="82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9"/>
                <w:sz w:val="21"/>
              </w:rPr>
              <w:t>5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5"/>
              <w:ind w:left="348" w:right="301"/>
              <w:jc w:val="center"/>
              <w:rPr>
                <w:sz w:val="21"/>
              </w:rPr>
            </w:pPr>
            <w:r>
              <w:rPr>
                <w:sz w:val="21"/>
              </w:rPr>
              <w:t>固态，颗粒状</w:t>
            </w:r>
          </w:p>
        </w:tc>
        <w:tc>
          <w:tcPr>
            <w:tcW w:w="105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blPrEx>
          <w:tblW w:w="0" w:type="auto"/>
          <w:tblInd w:w="13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/>
        </w:trPr>
        <w:tc>
          <w:tcPr>
            <w:tcW w:w="565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9"/>
              <w:ind w:left="464" w:right="446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16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5"/>
              <w:ind w:left="19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盐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9"/>
              <w:ind w:left="604" w:right="557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t/a</w:t>
            </w:r>
          </w:p>
        </w:tc>
        <w:tc>
          <w:tcPr>
            <w:tcW w:w="1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9"/>
              <w:ind w:left="82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9"/>
                <w:sz w:val="21"/>
              </w:rPr>
              <w:t>5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5"/>
              <w:ind w:left="348" w:right="301"/>
              <w:jc w:val="center"/>
              <w:rPr>
                <w:sz w:val="21"/>
              </w:rPr>
            </w:pPr>
            <w:r>
              <w:rPr>
                <w:sz w:val="21"/>
              </w:rPr>
              <w:t>固态，颗粒状</w:t>
            </w:r>
          </w:p>
        </w:tc>
        <w:tc>
          <w:tcPr>
            <w:tcW w:w="105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blPrEx>
          <w:tblW w:w="0" w:type="auto"/>
          <w:tblInd w:w="13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/>
        </w:trPr>
        <w:tc>
          <w:tcPr>
            <w:tcW w:w="565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8"/>
              <w:ind w:left="464" w:right="446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17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4"/>
              <w:ind w:left="338" w:right="322"/>
              <w:jc w:val="center"/>
              <w:rPr>
                <w:sz w:val="21"/>
              </w:rPr>
            </w:pPr>
            <w:r>
              <w:rPr>
                <w:sz w:val="21"/>
              </w:rPr>
              <w:t>蚝油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8"/>
              <w:ind w:left="604" w:right="557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t/a</w:t>
            </w:r>
          </w:p>
        </w:tc>
        <w:tc>
          <w:tcPr>
            <w:tcW w:w="1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8"/>
              <w:ind w:left="168" w:right="91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10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4"/>
              <w:ind w:left="348" w:right="300"/>
              <w:jc w:val="center"/>
              <w:rPr>
                <w:sz w:val="21"/>
              </w:rPr>
            </w:pPr>
            <w:r>
              <w:rPr>
                <w:sz w:val="21"/>
              </w:rPr>
              <w:t>液态</w:t>
            </w:r>
          </w:p>
        </w:tc>
        <w:tc>
          <w:tcPr>
            <w:tcW w:w="105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blPrEx>
          <w:tblW w:w="0" w:type="auto"/>
          <w:tblInd w:w="13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/>
        </w:trPr>
        <w:tc>
          <w:tcPr>
            <w:tcW w:w="565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8"/>
              <w:ind w:left="464" w:right="446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18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4"/>
              <w:ind w:left="338" w:right="322"/>
              <w:jc w:val="center"/>
              <w:rPr>
                <w:sz w:val="21"/>
              </w:rPr>
            </w:pPr>
            <w:r>
              <w:rPr>
                <w:sz w:val="21"/>
              </w:rPr>
              <w:t>豆瓣酱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8"/>
              <w:ind w:left="604" w:right="557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t/a</w:t>
            </w:r>
          </w:p>
        </w:tc>
        <w:tc>
          <w:tcPr>
            <w:tcW w:w="1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8"/>
              <w:ind w:left="82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9"/>
                <w:sz w:val="21"/>
              </w:rPr>
              <w:t>8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4"/>
              <w:ind w:left="348" w:right="301"/>
              <w:jc w:val="center"/>
              <w:rPr>
                <w:sz w:val="21"/>
              </w:rPr>
            </w:pPr>
            <w:r>
              <w:rPr>
                <w:sz w:val="21"/>
              </w:rPr>
              <w:t>半固态</w:t>
            </w:r>
          </w:p>
        </w:tc>
        <w:tc>
          <w:tcPr>
            <w:tcW w:w="105" w:type="dxa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spacing w:after="0"/>
        <w:rPr>
          <w:rFonts w:ascii="Times New Roman"/>
          <w:sz w:val="20"/>
        </w:rPr>
        <w:sectPr>
          <w:footerReference w:type="default" r:id="rId15"/>
          <w:pgSz w:w="11910" w:h="16850"/>
          <w:pgMar w:top="1540" w:right="1140" w:bottom="740" w:left="1140" w:header="0" w:footer="546" w:gutter="0"/>
          <w:pgNumType w:start="11"/>
          <w:cols w:num="1" w:space="720"/>
        </w:sectPr>
      </w:pPr>
    </w:p>
    <w:tbl>
      <w:tblPr>
        <w:tblStyle w:val="TableNormal"/>
        <w:tblW w:w="0" w:type="auto"/>
        <w:tblInd w:w="1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5"/>
        <w:gridCol w:w="99"/>
        <w:gridCol w:w="1170"/>
        <w:gridCol w:w="1948"/>
        <w:gridCol w:w="1707"/>
        <w:gridCol w:w="1857"/>
        <w:gridCol w:w="1929"/>
        <w:gridCol w:w="105"/>
      </w:tblGrid>
      <w:tr>
        <w:tblPrEx>
          <w:tblW w:w="0" w:type="auto"/>
          <w:tblInd w:w="136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/>
        </w:trPr>
        <w:tc>
          <w:tcPr>
            <w:tcW w:w="565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9" w:type="dxa"/>
            <w:vMerge w:val="restart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7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8"/>
              <w:ind w:left="464" w:right="446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19</w:t>
            </w:r>
          </w:p>
        </w:tc>
        <w:tc>
          <w:tcPr>
            <w:tcW w:w="194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4"/>
              <w:ind w:left="338" w:right="322"/>
              <w:jc w:val="center"/>
              <w:rPr>
                <w:sz w:val="21"/>
              </w:rPr>
            </w:pPr>
            <w:r>
              <w:rPr>
                <w:sz w:val="21"/>
              </w:rPr>
              <w:t>葱姜蒜</w:t>
            </w:r>
          </w:p>
        </w:tc>
        <w:tc>
          <w:tcPr>
            <w:tcW w:w="17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8"/>
              <w:ind w:left="731" w:right="715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t/a</w:t>
            </w:r>
          </w:p>
        </w:tc>
        <w:tc>
          <w:tcPr>
            <w:tcW w:w="185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8"/>
              <w:ind w:left="168" w:right="150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10.5</w:t>
            </w:r>
          </w:p>
        </w:tc>
        <w:tc>
          <w:tcPr>
            <w:tcW w:w="192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4"/>
              <w:ind w:left="13"/>
              <w:jc w:val="center"/>
              <w:rPr>
                <w:sz w:val="21"/>
              </w:rPr>
            </w:pPr>
            <w:r>
              <w:rPr>
                <w:sz w:val="21"/>
              </w:rPr>
              <w:t>固态</w:t>
            </w:r>
          </w:p>
        </w:tc>
        <w:tc>
          <w:tcPr>
            <w:tcW w:w="105" w:type="dxa"/>
            <w:tcBorders>
              <w:left w:val="single" w:sz="4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blPrEx>
          <w:tblW w:w="0" w:type="auto"/>
          <w:tblInd w:w="13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/>
        </w:trPr>
        <w:tc>
          <w:tcPr>
            <w:tcW w:w="565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8"/>
              <w:ind w:left="464" w:right="446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20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9"/>
              <w:ind w:left="338" w:right="319"/>
              <w:jc w:val="center"/>
              <w:rPr>
                <w:sz w:val="22"/>
              </w:rPr>
            </w:pPr>
            <w:r>
              <w:rPr>
                <w:sz w:val="22"/>
              </w:rPr>
              <w:t>纯净水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8"/>
              <w:ind w:left="731" w:right="715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t/a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8"/>
              <w:ind w:left="168" w:right="148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9.5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4"/>
              <w:ind w:left="15"/>
              <w:jc w:val="center"/>
              <w:rPr>
                <w:sz w:val="21"/>
              </w:rPr>
            </w:pPr>
            <w:r>
              <w:rPr>
                <w:sz w:val="21"/>
              </w:rPr>
              <w:t>外购，液态</w:t>
            </w:r>
          </w:p>
        </w:tc>
        <w:tc>
          <w:tcPr>
            <w:tcW w:w="105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blPrEx>
          <w:tblW w:w="0" w:type="auto"/>
          <w:tblInd w:w="13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/>
        </w:trPr>
        <w:tc>
          <w:tcPr>
            <w:tcW w:w="565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9"/>
              <w:ind w:left="464" w:right="446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21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0"/>
              <w:ind w:left="338" w:right="319"/>
              <w:jc w:val="center"/>
              <w:rPr>
                <w:sz w:val="22"/>
              </w:rPr>
            </w:pPr>
            <w:r>
              <w:rPr>
                <w:sz w:val="22"/>
              </w:rPr>
              <w:t>食品添加剂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9"/>
              <w:ind w:left="731" w:right="715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t/a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9"/>
              <w:ind w:left="168" w:right="148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0.5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5"/>
              <w:ind w:left="13"/>
              <w:jc w:val="center"/>
              <w:rPr>
                <w:sz w:val="21"/>
              </w:rPr>
            </w:pPr>
            <w:r>
              <w:rPr>
                <w:sz w:val="21"/>
              </w:rPr>
              <w:t>固态</w:t>
            </w:r>
          </w:p>
        </w:tc>
        <w:tc>
          <w:tcPr>
            <w:tcW w:w="105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blPrEx>
          <w:tblW w:w="0" w:type="auto"/>
          <w:tblInd w:w="13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/>
        </w:trPr>
        <w:tc>
          <w:tcPr>
            <w:tcW w:w="565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9"/>
              <w:ind w:left="464" w:right="446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22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6"/>
              <w:ind w:left="338" w:right="322"/>
              <w:jc w:val="center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>R410A</w:t>
            </w:r>
            <w:r>
              <w:rPr>
                <w:sz w:val="21"/>
              </w:rPr>
              <w:t>制冷剂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9"/>
              <w:ind w:left="731" w:right="715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t/a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9"/>
              <w:ind w:left="168" w:right="148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0.002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6"/>
              <w:ind w:left="15"/>
              <w:jc w:val="center"/>
              <w:rPr>
                <w:sz w:val="21"/>
              </w:rPr>
            </w:pPr>
            <w:r>
              <w:rPr>
                <w:sz w:val="21"/>
              </w:rPr>
              <w:t>冷库使用，定期添加</w:t>
            </w:r>
          </w:p>
        </w:tc>
        <w:tc>
          <w:tcPr>
            <w:tcW w:w="105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blPrEx>
          <w:tblW w:w="0" w:type="auto"/>
          <w:tblInd w:w="13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/>
        </w:trPr>
        <w:tc>
          <w:tcPr>
            <w:tcW w:w="565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2"/>
              <w:ind w:left="464" w:right="446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23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3"/>
              <w:ind w:left="338" w:right="319"/>
              <w:jc w:val="center"/>
              <w:rPr>
                <w:sz w:val="22"/>
              </w:rPr>
            </w:pPr>
            <w:r>
              <w:rPr>
                <w:sz w:val="22"/>
              </w:rPr>
              <w:t>液化气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2"/>
              <w:ind w:left="731" w:right="715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t/a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2"/>
              <w:ind w:left="20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9"/>
                <w:sz w:val="21"/>
              </w:rPr>
              <w:t>2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" w:line="270" w:lineRule="atLeast"/>
              <w:ind w:left="337" w:right="5" w:hanging="315"/>
              <w:rPr>
                <w:sz w:val="21"/>
              </w:rPr>
            </w:pPr>
            <w:r>
              <w:rPr>
                <w:sz w:val="21"/>
              </w:rPr>
              <w:t>储存在液化气罐内， 置于专用仓库</w:t>
            </w:r>
          </w:p>
        </w:tc>
        <w:tc>
          <w:tcPr>
            <w:tcW w:w="105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blPrEx>
          <w:tblW w:w="0" w:type="auto"/>
          <w:tblInd w:w="13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03"/>
        </w:trPr>
        <w:tc>
          <w:tcPr>
            <w:tcW w:w="565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300" w:lineRule="exact"/>
              <w:ind w:left="446"/>
              <w:rPr>
                <w:b/>
                <w:sz w:val="24"/>
              </w:rPr>
            </w:pPr>
            <w:r>
              <w:rPr>
                <w:rFonts w:ascii="Times New Roman" w:eastAsia="Times New Roman"/>
                <w:b/>
                <w:sz w:val="24"/>
              </w:rPr>
              <w:t>5</w:t>
            </w:r>
            <w:r>
              <w:rPr>
                <w:b/>
                <w:sz w:val="24"/>
              </w:rPr>
              <w:t>、劳动定员及工作制度</w:t>
            </w:r>
          </w:p>
          <w:p>
            <w:pPr>
              <w:pStyle w:val="TableParagraph"/>
              <w:spacing w:before="160" w:line="364" w:lineRule="auto"/>
              <w:ind w:left="52" w:right="33" w:firstLine="480"/>
              <w:rPr>
                <w:sz w:val="24"/>
              </w:rPr>
            </w:pPr>
            <w:r>
              <w:rPr>
                <w:sz w:val="24"/>
              </w:rPr>
              <w:t>拟建项目劳动定员</w:t>
            </w:r>
            <w:r>
              <w:rPr>
                <w:rFonts w:ascii="Times New Roman" w:eastAsia="Times New Roman"/>
                <w:sz w:val="24"/>
              </w:rPr>
              <w:t>10</w:t>
            </w:r>
            <w:r>
              <w:rPr>
                <w:sz w:val="24"/>
              </w:rPr>
              <w:t>人，全年工作日</w:t>
            </w:r>
            <w:r>
              <w:rPr>
                <w:rFonts w:ascii="Times New Roman" w:eastAsia="Times New Roman"/>
                <w:sz w:val="24"/>
              </w:rPr>
              <w:t>300</w:t>
            </w:r>
            <w:r>
              <w:rPr>
                <w:sz w:val="24"/>
              </w:rPr>
              <w:t>天，实行白班制，夜间不生产，每天生产时间</w:t>
            </w:r>
            <w:r>
              <w:rPr>
                <w:rFonts w:ascii="Times New Roman" w:eastAsia="Times New Roman"/>
                <w:sz w:val="24"/>
              </w:rPr>
              <w:t>8</w:t>
            </w:r>
            <w:r>
              <w:rPr>
                <w:sz w:val="24"/>
              </w:rPr>
              <w:t>小时，每天</w:t>
            </w:r>
            <w:r>
              <w:rPr>
                <w:rFonts w:ascii="Times New Roman" w:eastAsia="Times New Roman"/>
                <w:sz w:val="24"/>
              </w:rPr>
              <w:t>1</w:t>
            </w:r>
            <w:r>
              <w:rPr>
                <w:sz w:val="24"/>
              </w:rPr>
              <w:t>班。生产工序年时基数</w:t>
            </w:r>
            <w:r>
              <w:rPr>
                <w:rFonts w:ascii="Times New Roman" w:eastAsia="Times New Roman"/>
                <w:sz w:val="24"/>
              </w:rPr>
              <w:t>2400h</w:t>
            </w:r>
            <w:r>
              <w:rPr>
                <w:sz w:val="24"/>
              </w:rPr>
              <w:t>。</w:t>
            </w:r>
          </w:p>
          <w:p>
            <w:pPr>
              <w:pStyle w:val="TableParagraph"/>
              <w:spacing w:line="306" w:lineRule="exact"/>
              <w:ind w:left="489"/>
              <w:rPr>
                <w:b/>
                <w:sz w:val="24"/>
              </w:rPr>
            </w:pPr>
            <w:bookmarkStart w:id="20" w:name="6、公用工程方案"/>
            <w:bookmarkEnd w:id="20"/>
            <w:r>
              <w:rPr>
                <w:rFonts w:ascii="Times New Roman" w:eastAsia="Times New Roman"/>
                <w:b/>
                <w:sz w:val="24"/>
              </w:rPr>
              <w:t>6</w:t>
            </w:r>
            <w:r>
              <w:rPr>
                <w:b/>
                <w:sz w:val="24"/>
              </w:rPr>
              <w:t>、公用工程方案</w:t>
            </w:r>
          </w:p>
          <w:p>
            <w:pPr>
              <w:pStyle w:val="TableParagraph"/>
              <w:spacing w:before="161"/>
              <w:ind w:left="532"/>
              <w:rPr>
                <w:sz w:val="24"/>
              </w:rPr>
            </w:pPr>
            <w:bookmarkStart w:id="21" w:name="（1）给水工程"/>
            <w:bookmarkEnd w:id="21"/>
            <w:r>
              <w:rPr>
                <w:sz w:val="24"/>
              </w:rPr>
              <w:t>（</w:t>
            </w:r>
            <w:r>
              <w:rPr>
                <w:rFonts w:ascii="Times New Roman" w:eastAsia="Times New Roman"/>
                <w:sz w:val="24"/>
              </w:rPr>
              <w:t>1</w:t>
            </w:r>
            <w:r>
              <w:rPr>
                <w:sz w:val="24"/>
              </w:rPr>
              <w:t>）给水工程</w:t>
            </w:r>
          </w:p>
          <w:p>
            <w:pPr>
              <w:pStyle w:val="TableParagraph"/>
              <w:spacing w:before="158"/>
              <w:ind w:left="532"/>
              <w:rPr>
                <w:sz w:val="24"/>
              </w:rPr>
            </w:pPr>
            <w:r>
              <w:rPr>
                <w:sz w:val="24"/>
              </w:rPr>
              <w:t>拟建项目用水主要为职工生活用水和生产用水。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val="left" w:pos="894"/>
              </w:tabs>
              <w:spacing w:before="158" w:after="0" w:line="240" w:lineRule="auto"/>
              <w:ind w:left="893" w:right="0" w:hanging="362"/>
              <w:jc w:val="left"/>
              <w:rPr>
                <w:sz w:val="24"/>
              </w:rPr>
            </w:pPr>
            <w:r>
              <w:rPr>
                <w:sz w:val="24"/>
              </w:rPr>
              <w:t>生产用水：主要为产品用水和设备清洗用水。</w:t>
            </w:r>
          </w:p>
          <w:p>
            <w:pPr>
              <w:pStyle w:val="TableParagraph"/>
              <w:spacing w:before="160" w:line="364" w:lineRule="auto"/>
              <w:ind w:left="52" w:right="30" w:firstLine="480"/>
              <w:jc w:val="both"/>
              <w:rPr>
                <w:sz w:val="24"/>
              </w:rPr>
            </w:pPr>
            <w:r>
              <w:rPr>
                <w:sz w:val="24"/>
              </w:rPr>
              <w:t>①产品用水主要为半固态调味料和液态调味料用水，根据项目单位提供的资料，半固态调味料含水量约为</w:t>
            </w:r>
            <w:r>
              <w:rPr>
                <w:rFonts w:ascii="Times New Roman" w:eastAsia="Times New Roman" w:hAnsi="Times New Roman"/>
                <w:sz w:val="24"/>
              </w:rPr>
              <w:t>10</w:t>
            </w:r>
            <w:r>
              <w:rPr>
                <w:sz w:val="24"/>
              </w:rPr>
              <w:t>％，液态调味料含水量约为</w:t>
            </w:r>
            <w:r>
              <w:rPr>
                <w:rFonts w:ascii="Times New Roman" w:eastAsia="Times New Roman" w:hAnsi="Times New Roman"/>
                <w:sz w:val="24"/>
              </w:rPr>
              <w:t>15</w:t>
            </w:r>
            <w:r>
              <w:rPr>
                <w:sz w:val="24"/>
              </w:rPr>
              <w:t>％，则产品用水约为</w:t>
            </w:r>
            <w:r>
              <w:rPr>
                <w:rFonts w:ascii="Times New Roman" w:eastAsia="Times New Roman" w:hAnsi="Times New Roman"/>
                <w:sz w:val="24"/>
              </w:rPr>
              <w:t>9.5t/a</w:t>
            </w:r>
            <w:r>
              <w:rPr>
                <w:sz w:val="24"/>
              </w:rPr>
              <w:t>，使用外购的纯净水。</w:t>
            </w:r>
          </w:p>
          <w:p>
            <w:pPr>
              <w:pStyle w:val="TableParagraph"/>
              <w:spacing w:line="364" w:lineRule="auto"/>
              <w:ind w:left="52" w:right="33" w:firstLine="480"/>
              <w:jc w:val="both"/>
              <w:rPr>
                <w:sz w:val="24"/>
              </w:rPr>
            </w:pPr>
            <w:r>
              <w:rPr>
                <w:sz w:val="24"/>
              </w:rPr>
              <w:t>②设备每天需清洗一次，根据项目单位提供的资料，清洗用水量约为</w:t>
            </w:r>
            <w:r>
              <w:rPr>
                <w:rFonts w:ascii="Times New Roman" w:eastAsia="Times New Roman" w:hAnsi="Times New Roman"/>
                <w:sz w:val="24"/>
              </w:rPr>
              <w:t>0.1t/d</w:t>
            </w:r>
            <w:r>
              <w:rPr>
                <w:sz w:val="24"/>
              </w:rPr>
              <w:t xml:space="preserve">， </w:t>
            </w:r>
            <w:r>
              <w:rPr>
                <w:rFonts w:ascii="Times New Roman" w:eastAsia="Times New Roman" w:hAnsi="Times New Roman"/>
                <w:sz w:val="24"/>
              </w:rPr>
              <w:t>30t/a</w:t>
            </w:r>
            <w:r>
              <w:rPr>
                <w:sz w:val="24"/>
              </w:rPr>
              <w:t>，使用市政自来水管网的自来水，厂区内铺设供水管网，可以满足拟建项目用水需求。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val="left" w:pos="905"/>
              </w:tabs>
              <w:spacing w:before="0" w:after="0" w:line="364" w:lineRule="auto"/>
              <w:ind w:left="52" w:right="33" w:firstLine="480"/>
              <w:jc w:val="both"/>
              <w:rPr>
                <w:sz w:val="24"/>
              </w:rPr>
            </w:pPr>
            <w:r>
              <w:rPr>
                <w:spacing w:val="3"/>
                <w:sz w:val="24"/>
              </w:rPr>
              <w:t>生活用水主要为职工日常生活洗漱用水及冲厕用水。员工生活用水定额按</w:t>
            </w:r>
            <w:r>
              <w:rPr>
                <w:spacing w:val="19"/>
                <w:sz w:val="24"/>
              </w:rPr>
              <w:t>照《建筑给水排水设计规范》</w:t>
            </w:r>
            <w:r>
              <w:rPr>
                <w:sz w:val="24"/>
              </w:rPr>
              <w:t>（</w:t>
            </w:r>
            <w:r>
              <w:rPr>
                <w:spacing w:val="-95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spacing w:val="2"/>
                <w:sz w:val="24"/>
              </w:rPr>
              <w:t>GB50015-2019</w:t>
            </w:r>
            <w:r>
              <w:rPr>
                <w:spacing w:val="2"/>
                <w:sz w:val="24"/>
              </w:rPr>
              <w:t>）</w:t>
            </w:r>
            <w:r>
              <w:rPr>
                <w:spacing w:val="19"/>
                <w:sz w:val="24"/>
              </w:rPr>
              <w:t>的规定，职工生活用水按</w:t>
            </w:r>
            <w:r>
              <w:rPr>
                <w:rFonts w:ascii="Times New Roman" w:eastAsia="Times New Roman" w:hAnsi="Times New Roman"/>
                <w:sz w:val="24"/>
              </w:rPr>
              <w:t xml:space="preserve">40L/ </w:t>
            </w:r>
            <w:r>
              <w:rPr>
                <w:spacing w:val="4"/>
                <w:sz w:val="24"/>
              </w:rPr>
              <w:t>人</w:t>
            </w:r>
            <w:r>
              <w:rPr>
                <w:rFonts w:ascii="Times New Roman" w:eastAsia="Times New Roman" w:hAnsi="Times New Roman"/>
                <w:spacing w:val="4"/>
                <w:sz w:val="24"/>
              </w:rPr>
              <w:t>·</w:t>
            </w:r>
            <w:r>
              <w:rPr>
                <w:spacing w:val="4"/>
                <w:sz w:val="24"/>
              </w:rPr>
              <w:t>天计，劳动定员</w:t>
            </w:r>
            <w:r>
              <w:rPr>
                <w:rFonts w:ascii="Times New Roman" w:eastAsia="Times New Roman" w:hAnsi="Times New Roman"/>
                <w:sz w:val="24"/>
              </w:rPr>
              <w:t>10</w:t>
            </w:r>
            <w:r>
              <w:rPr>
                <w:spacing w:val="4"/>
                <w:sz w:val="24"/>
              </w:rPr>
              <w:t>人，每年工作</w:t>
            </w:r>
            <w:r>
              <w:rPr>
                <w:rFonts w:ascii="Times New Roman" w:eastAsia="Times New Roman" w:hAnsi="Times New Roman"/>
                <w:sz w:val="24"/>
              </w:rPr>
              <w:t>300</w:t>
            </w:r>
            <w:r>
              <w:rPr>
                <w:spacing w:val="4"/>
                <w:sz w:val="24"/>
              </w:rPr>
              <w:t>天，则生活用水量为</w:t>
            </w:r>
            <w:r>
              <w:rPr>
                <w:rFonts w:ascii="Times New Roman" w:eastAsia="Times New Roman" w:hAnsi="Times New Roman"/>
                <w:sz w:val="24"/>
              </w:rPr>
              <w:t>0.4t/d</w:t>
            </w:r>
            <w:r>
              <w:rPr>
                <w:sz w:val="24"/>
              </w:rPr>
              <w:t>（</w:t>
            </w:r>
            <w:r>
              <w:rPr>
                <w:rFonts w:ascii="Times New Roman" w:eastAsia="Times New Roman" w:hAnsi="Times New Roman"/>
                <w:sz w:val="24"/>
              </w:rPr>
              <w:t>120t/a</w:t>
            </w:r>
            <w:r>
              <w:rPr>
                <w:sz w:val="24"/>
              </w:rPr>
              <w:t>）</w:t>
            </w:r>
            <w:r>
              <w:rPr>
                <w:spacing w:val="1"/>
                <w:sz w:val="24"/>
              </w:rPr>
              <w:t>，使用自来水。</w:t>
            </w:r>
          </w:p>
          <w:p>
            <w:pPr>
              <w:pStyle w:val="TableParagraph"/>
              <w:spacing w:line="303" w:lineRule="exact"/>
              <w:ind w:left="532"/>
              <w:rPr>
                <w:sz w:val="24"/>
              </w:rPr>
            </w:pPr>
            <w:bookmarkStart w:id="22" w:name="综上，拟建项目用水量约为0.53t/d（159.5t/a）。"/>
            <w:bookmarkEnd w:id="22"/>
            <w:r>
              <w:rPr>
                <w:sz w:val="24"/>
              </w:rPr>
              <w:t>综上，拟建项目用水量约为</w:t>
            </w:r>
            <w:r>
              <w:rPr>
                <w:rFonts w:ascii="Times New Roman" w:eastAsia="Times New Roman"/>
                <w:sz w:val="24"/>
              </w:rPr>
              <w:t>0.53t/d</w:t>
            </w:r>
            <w:r>
              <w:rPr>
                <w:sz w:val="24"/>
              </w:rPr>
              <w:t>（</w:t>
            </w:r>
            <w:r>
              <w:rPr>
                <w:rFonts w:ascii="Times New Roman" w:eastAsia="Times New Roman"/>
                <w:sz w:val="24"/>
              </w:rPr>
              <w:t>159.5t/a</w:t>
            </w:r>
            <w:r>
              <w:rPr>
                <w:sz w:val="24"/>
              </w:rPr>
              <w:t>）。</w:t>
            </w:r>
          </w:p>
          <w:p>
            <w:pPr>
              <w:pStyle w:val="TableParagraph"/>
              <w:spacing w:before="160"/>
              <w:ind w:left="532"/>
              <w:rPr>
                <w:sz w:val="24"/>
              </w:rPr>
            </w:pPr>
            <w:bookmarkStart w:id="23" w:name="（2）排水工程"/>
            <w:bookmarkEnd w:id="23"/>
            <w:r>
              <w:rPr>
                <w:sz w:val="24"/>
              </w:rPr>
              <w:t>（</w:t>
            </w:r>
            <w:r>
              <w:rPr>
                <w:rFonts w:ascii="Times New Roman" w:eastAsia="Times New Roman"/>
                <w:sz w:val="24"/>
              </w:rPr>
              <w:t>2</w:t>
            </w:r>
            <w:r>
              <w:rPr>
                <w:sz w:val="24"/>
              </w:rPr>
              <w:t>）排水工程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val="left" w:pos="894"/>
              </w:tabs>
              <w:spacing w:before="160" w:after="0" w:line="240" w:lineRule="auto"/>
              <w:ind w:left="893" w:right="0" w:hanging="362"/>
              <w:jc w:val="left"/>
              <w:rPr>
                <w:sz w:val="24"/>
              </w:rPr>
            </w:pPr>
            <w:r>
              <w:rPr>
                <w:sz w:val="24"/>
              </w:rPr>
              <w:t>生产废水：</w:t>
            </w:r>
          </w:p>
          <w:p>
            <w:pPr>
              <w:pStyle w:val="TableParagraph"/>
              <w:spacing w:before="158"/>
              <w:ind w:left="532"/>
              <w:rPr>
                <w:sz w:val="24"/>
              </w:rPr>
            </w:pPr>
            <w:r>
              <w:rPr>
                <w:sz w:val="24"/>
              </w:rPr>
              <w:t>①产品用水全部消耗在产品中。</w:t>
            </w:r>
          </w:p>
          <w:p>
            <w:pPr>
              <w:pStyle w:val="TableParagraph"/>
              <w:spacing w:before="161"/>
              <w:ind w:left="532"/>
              <w:rPr>
                <w:rFonts w:ascii="Times New Roman" w:eastAsia="Times New Roman" w:hAnsi="Times New Roman"/>
                <w:sz w:val="24"/>
              </w:rPr>
            </w:pPr>
            <w:r>
              <w:rPr>
                <w:sz w:val="24"/>
              </w:rPr>
              <w:t>② 清洗废水按设备清洗用水的</w:t>
            </w:r>
            <w:r>
              <w:rPr>
                <w:rFonts w:ascii="Times New Roman" w:eastAsia="Times New Roman" w:hAnsi="Times New Roman"/>
                <w:sz w:val="24"/>
              </w:rPr>
              <w:t xml:space="preserve">90 </w:t>
            </w:r>
            <w:r>
              <w:rPr>
                <w:sz w:val="24"/>
              </w:rPr>
              <w:t>％ 计算， 则清洗废水产生量为</w:t>
            </w:r>
            <w:r>
              <w:rPr>
                <w:rFonts w:ascii="Times New Roman" w:eastAsia="Times New Roman" w:hAnsi="Times New Roman"/>
                <w:sz w:val="24"/>
              </w:rPr>
              <w:t>0.09t/d</w:t>
            </w:r>
          </w:p>
          <w:p>
            <w:pPr>
              <w:pStyle w:val="TableParagraph"/>
              <w:spacing w:before="158"/>
              <w:ind w:left="52"/>
              <w:rPr>
                <w:sz w:val="24"/>
              </w:rPr>
            </w:pPr>
            <w:r>
              <w:rPr>
                <w:sz w:val="24"/>
              </w:rPr>
              <w:t>（</w:t>
            </w:r>
            <w:r>
              <w:rPr>
                <w:rFonts w:ascii="Times New Roman" w:eastAsia="Times New Roman"/>
                <w:sz w:val="24"/>
              </w:rPr>
              <w:t>27t/a</w:t>
            </w:r>
            <w:r>
              <w:rPr>
                <w:sz w:val="24"/>
              </w:rPr>
              <w:t>）。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val="left" w:pos="856"/>
              </w:tabs>
              <w:spacing w:before="160" w:after="0" w:line="240" w:lineRule="auto"/>
              <w:ind w:left="855" w:right="0" w:hanging="362"/>
              <w:jc w:val="left"/>
              <w:rPr>
                <w:sz w:val="24"/>
              </w:rPr>
            </w:pPr>
            <w:r>
              <w:rPr>
                <w:sz w:val="24"/>
              </w:rPr>
              <w:t>生活污水按生活用水量的</w:t>
            </w:r>
            <w:r>
              <w:rPr>
                <w:rFonts w:ascii="Times New Roman" w:eastAsia="Times New Roman"/>
                <w:sz w:val="24"/>
              </w:rPr>
              <w:t>80</w:t>
            </w:r>
            <w:r>
              <w:rPr>
                <w:sz w:val="24"/>
              </w:rPr>
              <w:t>％计算，则生活污水产生量为</w:t>
            </w:r>
            <w:r>
              <w:rPr>
                <w:rFonts w:ascii="Times New Roman" w:eastAsia="Times New Roman"/>
                <w:sz w:val="24"/>
              </w:rPr>
              <w:t>0.32t/d</w:t>
            </w:r>
            <w:r>
              <w:rPr>
                <w:sz w:val="24"/>
              </w:rPr>
              <w:t>（</w:t>
            </w:r>
            <w:r>
              <w:rPr>
                <w:rFonts w:ascii="Times New Roman" w:eastAsia="Times New Roman"/>
                <w:sz w:val="24"/>
              </w:rPr>
              <w:t>96t/a</w:t>
            </w:r>
            <w:r>
              <w:rPr>
                <w:sz w:val="24"/>
              </w:rPr>
              <w:t>）。</w:t>
            </w:r>
          </w:p>
        </w:tc>
      </w:tr>
    </w:tbl>
    <w:p>
      <w:pPr>
        <w:spacing w:after="0" w:line="240" w:lineRule="auto"/>
        <w:jc w:val="left"/>
        <w:rPr>
          <w:sz w:val="24"/>
        </w:rPr>
        <w:sectPr>
          <w:footerReference w:type="default" r:id="rId16"/>
          <w:pgSz w:w="11910" w:h="16850"/>
          <w:pgMar w:top="1540" w:right="1140" w:bottom="740" w:left="1140" w:header="0" w:footer="546" w:gutter="0"/>
          <w:pgNumType w:start="12"/>
          <w:cols w:num="1" w:space="720"/>
        </w:sectPr>
      </w:pPr>
    </w:p>
    <w:tbl>
      <w:tblPr>
        <w:tblStyle w:val="TableNormal"/>
        <w:tblW w:w="0" w:type="auto"/>
        <w:tblInd w:w="1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5"/>
        <w:gridCol w:w="8815"/>
      </w:tblGrid>
      <w:tr>
        <w:tblPrEx>
          <w:tblW w:w="0" w:type="auto"/>
          <w:tblInd w:w="136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62"/>
        </w:trPr>
        <w:tc>
          <w:tcPr>
            <w:tcW w:w="56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8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364" w:lineRule="auto"/>
              <w:ind w:left="9" w:right="-15" w:firstLine="436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综上，拟建项目建成后废水产生量为</w:t>
            </w:r>
            <w:r>
              <w:rPr>
                <w:rFonts w:ascii="Times New Roman" w:eastAsia="Times New Roman"/>
                <w:spacing w:val="-11"/>
                <w:sz w:val="24"/>
              </w:rPr>
              <w:t>0.41t/d</w:t>
            </w:r>
            <w:r>
              <w:rPr>
                <w:spacing w:val="-11"/>
                <w:sz w:val="24"/>
              </w:rPr>
              <w:t>（</w:t>
            </w:r>
            <w:r>
              <w:rPr>
                <w:rFonts w:ascii="Times New Roman" w:eastAsia="Times New Roman"/>
                <w:spacing w:val="-11"/>
                <w:sz w:val="24"/>
              </w:rPr>
              <w:t>123t/a</w:t>
            </w:r>
            <w:r>
              <w:rPr>
                <w:spacing w:val="-11"/>
                <w:sz w:val="24"/>
              </w:rPr>
              <w:t>）</w:t>
            </w:r>
            <w:r>
              <w:rPr>
                <w:sz w:val="24"/>
              </w:rPr>
              <w:t>。生活污水经化粪池沉淀后</w:t>
            </w:r>
            <w:r>
              <w:rPr>
                <w:spacing w:val="8"/>
                <w:sz w:val="24"/>
              </w:rPr>
              <w:t>由环卫部门定期清掏，不外排；生产废水经污水处理设备处理后用于道路洒水抑</w:t>
            </w:r>
            <w:r>
              <w:rPr>
                <w:sz w:val="24"/>
              </w:rPr>
              <w:t>尘，不外排。</w:t>
            </w:r>
          </w:p>
          <w:p>
            <w:pPr>
              <w:pStyle w:val="TableParagraph"/>
              <w:spacing w:line="307" w:lineRule="exact"/>
              <w:ind w:left="532"/>
              <w:rPr>
                <w:sz w:val="24"/>
              </w:rPr>
            </w:pPr>
            <w:r>
              <w:rPr>
                <w:sz w:val="24"/>
              </w:rPr>
              <w:t>拟建项目水平衡图见下图。</w:t>
            </w:r>
          </w:p>
          <w:p>
            <w:pPr>
              <w:pStyle w:val="TableParagraph"/>
              <w:spacing w:before="10"/>
              <w:rPr>
                <w:rFonts w:ascii="黑体"/>
                <w:sz w:val="14"/>
              </w:rPr>
            </w:pPr>
          </w:p>
          <w:p>
            <w:pPr>
              <w:pStyle w:val="TableParagraph"/>
              <w:ind w:left="1308"/>
              <w:rPr>
                <w:rFonts w:ascii="黑体"/>
                <w:sz w:val="20"/>
              </w:rPr>
            </w:pPr>
            <w:r>
              <w:rPr>
                <w:rFonts w:ascii="黑体"/>
                <w:sz w:val="20"/>
              </w:rPr>
              <w:drawing>
                <wp:inline distT="0" distB="0" distL="0" distR="0">
                  <wp:extent cx="3841115" cy="1434465"/>
                  <wp:effectExtent l="0" t="0" r="0" b="0"/>
                  <wp:docPr id="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1.pn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41483" cy="14344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TableParagraph"/>
              <w:spacing w:before="73"/>
              <w:ind w:left="2856"/>
              <w:rPr>
                <w:b/>
                <w:sz w:val="21"/>
              </w:rPr>
            </w:pPr>
            <w:bookmarkStart w:id="24" w:name="图2-1 项目水平衡图（单位：t/d）"/>
            <w:bookmarkEnd w:id="24"/>
            <w:r>
              <w:rPr>
                <w:b/>
                <w:sz w:val="21"/>
              </w:rPr>
              <w:t>图</w:t>
            </w:r>
            <w:r>
              <w:rPr>
                <w:rFonts w:ascii="Times New Roman" w:eastAsia="Times New Roman"/>
                <w:b/>
                <w:sz w:val="21"/>
              </w:rPr>
              <w:t xml:space="preserve">2-1 </w:t>
            </w:r>
            <w:r>
              <w:rPr>
                <w:b/>
                <w:sz w:val="21"/>
              </w:rPr>
              <w:t>项目水平衡图（单位：</w:t>
            </w:r>
            <w:r>
              <w:rPr>
                <w:rFonts w:ascii="Times New Roman" w:eastAsia="Times New Roman"/>
                <w:b/>
                <w:sz w:val="21"/>
              </w:rPr>
              <w:t>t/d</w:t>
            </w:r>
            <w:r>
              <w:rPr>
                <w:b/>
                <w:sz w:val="21"/>
              </w:rPr>
              <w:t>）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val="left" w:pos="1024"/>
              </w:tabs>
              <w:spacing w:before="140" w:after="0" w:line="240" w:lineRule="auto"/>
              <w:ind w:left="1023" w:right="0" w:hanging="578"/>
              <w:jc w:val="left"/>
              <w:rPr>
                <w:sz w:val="24"/>
              </w:rPr>
            </w:pPr>
            <w:bookmarkStart w:id="25" w:name="（3）供暖制冷"/>
            <w:bookmarkEnd w:id="25"/>
            <w:r>
              <w:rPr>
                <w:spacing w:val="-9"/>
                <w:sz w:val="24"/>
              </w:rPr>
              <w:t>供暖制冷</w:t>
            </w:r>
          </w:p>
          <w:p>
            <w:pPr>
              <w:pStyle w:val="TableParagraph"/>
              <w:spacing w:before="158" w:line="364" w:lineRule="auto"/>
              <w:ind w:left="9" w:right="-15" w:firstLine="480"/>
              <w:rPr>
                <w:sz w:val="24"/>
              </w:rPr>
            </w:pPr>
            <w:r>
              <w:rPr>
                <w:spacing w:val="3"/>
                <w:sz w:val="24"/>
              </w:rPr>
              <w:t>拟建项目部分原料暂存使用冷库，生产过程用电及液化气加热，办公采暖制冷采用分体式空调。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val="left" w:pos="1024"/>
              </w:tabs>
              <w:spacing w:before="0" w:after="0" w:line="306" w:lineRule="exact"/>
              <w:ind w:left="1023" w:right="0" w:hanging="578"/>
              <w:jc w:val="left"/>
              <w:rPr>
                <w:sz w:val="24"/>
              </w:rPr>
            </w:pPr>
            <w:bookmarkStart w:id="26" w:name="（4）供电"/>
            <w:bookmarkEnd w:id="26"/>
            <w:r>
              <w:rPr>
                <w:spacing w:val="-6"/>
                <w:sz w:val="24"/>
              </w:rPr>
              <w:t>供电</w:t>
            </w:r>
          </w:p>
          <w:p>
            <w:pPr>
              <w:pStyle w:val="TableParagraph"/>
              <w:spacing w:before="160"/>
              <w:ind w:left="489"/>
              <w:rPr>
                <w:sz w:val="24"/>
              </w:rPr>
            </w:pPr>
            <w:r>
              <w:rPr>
                <w:sz w:val="24"/>
              </w:rPr>
              <w:t>拟建项目供电由乐陵市杨安镇供电所提供，年用电量</w:t>
            </w:r>
            <w:r>
              <w:rPr>
                <w:rFonts w:ascii="Times New Roman" w:eastAsia="Times New Roman" w:hAnsi="Times New Roman"/>
                <w:sz w:val="24"/>
              </w:rPr>
              <w:t>6</w:t>
            </w:r>
            <w:r>
              <w:rPr>
                <w:sz w:val="24"/>
              </w:rPr>
              <w:t>万</w:t>
            </w:r>
            <w:r>
              <w:rPr>
                <w:rFonts w:ascii="Times New Roman" w:eastAsia="Times New Roman" w:hAnsi="Times New Roman"/>
                <w:sz w:val="24"/>
              </w:rPr>
              <w:t>kW·h</w:t>
            </w:r>
            <w:r>
              <w:rPr>
                <w:sz w:val="24"/>
              </w:rPr>
              <w:t>。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val="left" w:pos="1024"/>
              </w:tabs>
              <w:spacing w:before="161" w:after="0" w:line="240" w:lineRule="auto"/>
              <w:ind w:left="1023" w:right="0" w:hanging="578"/>
              <w:jc w:val="left"/>
              <w:rPr>
                <w:sz w:val="24"/>
              </w:rPr>
            </w:pPr>
            <w:bookmarkStart w:id="27" w:name="（5）供气"/>
            <w:bookmarkEnd w:id="27"/>
            <w:r>
              <w:rPr>
                <w:spacing w:val="-6"/>
                <w:sz w:val="24"/>
              </w:rPr>
              <w:t>供气</w:t>
            </w:r>
          </w:p>
          <w:p>
            <w:pPr>
              <w:pStyle w:val="TableParagraph"/>
              <w:spacing w:before="158"/>
              <w:ind w:left="446"/>
              <w:rPr>
                <w:sz w:val="24"/>
              </w:rPr>
            </w:pPr>
            <w:bookmarkStart w:id="28" w:name="拟建项目煮酱锅需要使用液化气加热，年用量约2t，液化气储存在液化气罐内。"/>
            <w:bookmarkEnd w:id="28"/>
            <w:r>
              <w:rPr>
                <w:sz w:val="24"/>
              </w:rPr>
              <w:t>拟建项目煮酱锅需要使用液化气加热，年用量约</w:t>
            </w:r>
            <w:r>
              <w:rPr>
                <w:rFonts w:ascii="Times New Roman" w:eastAsia="Times New Roman"/>
                <w:sz w:val="24"/>
              </w:rPr>
              <w:t>2t</w:t>
            </w:r>
            <w:r>
              <w:rPr>
                <w:sz w:val="24"/>
              </w:rPr>
              <w:t>，液化气储存在液化气罐内。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val="left" w:pos="1024"/>
              </w:tabs>
              <w:spacing w:before="161" w:after="0" w:line="240" w:lineRule="auto"/>
              <w:ind w:left="1023" w:right="0" w:hanging="578"/>
              <w:jc w:val="left"/>
              <w:rPr>
                <w:sz w:val="24"/>
              </w:rPr>
            </w:pPr>
            <w:bookmarkStart w:id="29" w:name="（6）其他"/>
            <w:bookmarkEnd w:id="29"/>
            <w:r>
              <w:rPr>
                <w:spacing w:val="-6"/>
                <w:sz w:val="24"/>
              </w:rPr>
              <w:t>其他</w:t>
            </w:r>
          </w:p>
          <w:p>
            <w:pPr>
              <w:pStyle w:val="TableParagraph"/>
              <w:spacing w:before="158"/>
              <w:ind w:left="489"/>
              <w:rPr>
                <w:sz w:val="24"/>
              </w:rPr>
            </w:pPr>
            <w:r>
              <w:rPr>
                <w:sz w:val="24"/>
              </w:rPr>
              <w:t>拟建项目不设职工食堂，不设宿舍。</w:t>
            </w:r>
          </w:p>
        </w:tc>
      </w:tr>
      <w:tr>
        <w:tblPrEx>
          <w:tblW w:w="0" w:type="auto"/>
          <w:tblInd w:w="13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0"/>
        </w:trPr>
        <w:tc>
          <w:tcPr>
            <w:tcW w:w="56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黑体"/>
                <w:sz w:val="24"/>
              </w:rPr>
            </w:pPr>
          </w:p>
          <w:p>
            <w:pPr>
              <w:pStyle w:val="TableParagraph"/>
              <w:rPr>
                <w:rFonts w:ascii="黑体"/>
                <w:sz w:val="24"/>
              </w:rPr>
            </w:pPr>
          </w:p>
          <w:p>
            <w:pPr>
              <w:pStyle w:val="TableParagraph"/>
              <w:rPr>
                <w:rFonts w:ascii="黑体"/>
                <w:sz w:val="24"/>
              </w:rPr>
            </w:pPr>
          </w:p>
          <w:p>
            <w:pPr>
              <w:pStyle w:val="TableParagraph"/>
              <w:spacing w:before="1"/>
              <w:rPr>
                <w:rFonts w:ascii="黑体"/>
                <w:sz w:val="24"/>
              </w:rPr>
            </w:pPr>
          </w:p>
          <w:p>
            <w:pPr>
              <w:pStyle w:val="TableParagraph"/>
              <w:spacing w:line="242" w:lineRule="auto"/>
              <w:ind w:left="43" w:right="2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工艺流程和产排污环节</w:t>
            </w:r>
          </w:p>
        </w:tc>
        <w:tc>
          <w:tcPr>
            <w:tcW w:w="8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300" w:lineRule="exact"/>
              <w:ind w:left="446"/>
              <w:rPr>
                <w:b/>
                <w:sz w:val="24"/>
              </w:rPr>
            </w:pPr>
            <w:bookmarkStart w:id="30" w:name="一、工艺流程"/>
            <w:bookmarkEnd w:id="30"/>
            <w:r>
              <w:rPr>
                <w:b/>
                <w:sz w:val="24"/>
              </w:rPr>
              <w:t>一、工艺流程</w:t>
            </w:r>
          </w:p>
          <w:p>
            <w:pPr>
              <w:pStyle w:val="TableParagraph"/>
              <w:spacing w:before="158"/>
              <w:ind w:left="489"/>
              <w:rPr>
                <w:sz w:val="24"/>
              </w:rPr>
            </w:pPr>
            <w:r>
              <w:rPr>
                <w:rFonts w:ascii="Times New Roman" w:eastAsia="Times New Roman"/>
                <w:sz w:val="24"/>
              </w:rPr>
              <w:t>1.</w:t>
            </w:r>
            <w:r>
              <w:rPr>
                <w:sz w:val="24"/>
              </w:rPr>
              <w:t>辣椒</w:t>
            </w:r>
          </w:p>
          <w:p>
            <w:pPr>
              <w:pStyle w:val="TableParagraph"/>
              <w:spacing w:before="8"/>
              <w:rPr>
                <w:rFonts w:ascii="黑体"/>
                <w:sz w:val="14"/>
              </w:rPr>
            </w:pPr>
          </w:p>
          <w:p>
            <w:pPr>
              <w:pStyle w:val="TableParagraph"/>
              <w:ind w:left="796"/>
              <w:rPr>
                <w:rFonts w:ascii="黑体"/>
                <w:sz w:val="20"/>
              </w:rPr>
            </w:pPr>
            <w:r>
              <w:rPr>
                <w:rFonts w:ascii="黑体"/>
                <w:sz w:val="20"/>
              </w:rPr>
              <w:drawing>
                <wp:inline distT="0" distB="0" distL="0" distR="0">
                  <wp:extent cx="4665980" cy="1289050"/>
                  <wp:effectExtent l="0" t="0" r="0" b="0"/>
                  <wp:docPr id="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2.pn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66157" cy="12893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TableParagraph"/>
              <w:spacing w:before="28"/>
              <w:ind w:left="409" w:right="539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注：</w:t>
            </w:r>
            <w:r>
              <w:rPr>
                <w:rFonts w:ascii="Times New Roman" w:eastAsia="Times New Roman"/>
                <w:b/>
                <w:sz w:val="21"/>
              </w:rPr>
              <w:t>N--</w:t>
            </w:r>
            <w:r>
              <w:rPr>
                <w:b/>
                <w:sz w:val="21"/>
              </w:rPr>
              <w:t>噪声；</w:t>
            </w:r>
            <w:r>
              <w:rPr>
                <w:rFonts w:ascii="Times New Roman" w:eastAsia="Times New Roman"/>
                <w:b/>
                <w:sz w:val="21"/>
              </w:rPr>
              <w:t>S--</w:t>
            </w:r>
            <w:r>
              <w:rPr>
                <w:b/>
                <w:sz w:val="21"/>
              </w:rPr>
              <w:t>固废；</w:t>
            </w:r>
            <w:r>
              <w:rPr>
                <w:rFonts w:ascii="Times New Roman" w:eastAsia="Times New Roman"/>
                <w:b/>
                <w:sz w:val="21"/>
              </w:rPr>
              <w:t>G--</w:t>
            </w:r>
            <w:r>
              <w:rPr>
                <w:b/>
                <w:sz w:val="21"/>
              </w:rPr>
              <w:t>废气</w:t>
            </w:r>
          </w:p>
          <w:p>
            <w:pPr>
              <w:pStyle w:val="TableParagraph"/>
              <w:spacing w:before="2"/>
              <w:ind w:left="409" w:right="39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图</w:t>
            </w:r>
            <w:r>
              <w:rPr>
                <w:rFonts w:ascii="Times New Roman" w:eastAsia="Times New Roman"/>
                <w:b/>
                <w:sz w:val="21"/>
              </w:rPr>
              <w:t>2-2</w:t>
            </w:r>
            <w:r>
              <w:rPr>
                <w:b/>
                <w:sz w:val="21"/>
              </w:rPr>
              <w:t>辣椒生产工艺及产污环节图</w:t>
            </w:r>
          </w:p>
          <w:p>
            <w:pPr>
              <w:pStyle w:val="TableParagraph"/>
              <w:spacing w:before="6"/>
              <w:ind w:left="409" w:right="6060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生产工艺流程简述</w:t>
            </w:r>
            <w:r>
              <w:rPr>
                <w:sz w:val="24"/>
              </w:rPr>
              <w:t>：</w:t>
            </w:r>
          </w:p>
        </w:tc>
      </w:tr>
    </w:tbl>
    <w:p>
      <w:pPr>
        <w:spacing w:after="0"/>
        <w:jc w:val="center"/>
        <w:rPr>
          <w:sz w:val="24"/>
        </w:rPr>
        <w:sectPr>
          <w:footerReference w:type="default" r:id="rId19"/>
          <w:pgSz w:w="11910" w:h="16850"/>
          <w:pgMar w:top="1540" w:right="1140" w:bottom="740" w:left="1140" w:header="0" w:footer="546" w:gutter="0"/>
          <w:pgNumType w:start="13"/>
          <w:cols w:num="1" w:space="720"/>
        </w:sectPr>
      </w:pPr>
    </w:p>
    <w:p>
      <w:pPr>
        <w:pStyle w:val="ListParagraph"/>
        <w:numPr>
          <w:ilvl w:val="0"/>
          <w:numId w:val="8"/>
        </w:numPr>
        <w:tabs>
          <w:tab w:val="left" w:pos="1800"/>
        </w:tabs>
        <w:spacing w:before="64" w:after="0" w:line="362" w:lineRule="auto"/>
        <w:ind w:left="696" w:right="131" w:firstLine="480"/>
        <w:jc w:val="left"/>
        <w:rPr>
          <w:sz w:val="24"/>
        </w:rPr>
      </w:pPr>
      <w:r>
        <w:pict>
          <v:group id="_x0000_s1034" o:spid="_x0000_s1033" style="width:470pt;height:687.9pt;margin-top:77.05pt;margin-left:62.8pt;mso-height-relative:page;mso-position-horizontal-relative:page;mso-position-vertical-relative:page;mso-width-relative:page;position:absolute;z-index:-251652096" coordorigin="1256,1542" coordsize="9400,13758">
            <v:shape id="_x0000_s1035" o:spid="_x0000_s1034" style="width:9361;height:13748;left:1275;position:absolute;top:1555" coordorigin="1276,1555" coordsize="9361,13748" path="m1276,1547l10636,1547m1276,15295l10636,15295e" filled="f" stroked="t" strokecolor="black">
              <v:path arrowok="t"/>
            </v:shape>
            <v:shape id="_x0000_s1036" o:spid="_x0000_s1035" style="width:9380;height:13758;left:1266;position:absolute;top:1550" coordorigin="1266,1550" coordsize="9380,13758" path="m1266,1542l1266,15300m10646,1542l10646,15300e" filled="f" stroked="t" strokecolor="black">
              <v:path arrowok="t"/>
            </v:shape>
            <v:line id="_x0000_s1037" o:spid="_x0000_s1036" style="position:absolute" from="1831,1542" to="1831,15290" coordsize="21600,21600" stroked="t" strokecolor="black"/>
          </v:group>
        </w:pict>
      </w:r>
      <w:r>
        <w:rPr>
          <w:spacing w:val="6"/>
          <w:sz w:val="24"/>
        </w:rPr>
        <w:t>去杂：外购的辣椒首先用去石机除去杂质。该工序会产生杂质和设备噪声。</w:t>
      </w:r>
    </w:p>
    <w:p>
      <w:pPr>
        <w:pStyle w:val="ListParagraph"/>
        <w:numPr>
          <w:ilvl w:val="0"/>
          <w:numId w:val="8"/>
        </w:numPr>
        <w:tabs>
          <w:tab w:val="left" w:pos="1777"/>
        </w:tabs>
        <w:spacing w:before="4" w:after="0" w:line="240" w:lineRule="auto"/>
        <w:ind w:left="1777" w:right="0" w:hanging="601"/>
        <w:jc w:val="left"/>
        <w:rPr>
          <w:sz w:val="24"/>
        </w:rPr>
      </w:pPr>
      <w:r>
        <w:rPr>
          <w:sz w:val="24"/>
        </w:rPr>
        <w:t>干洗：将辣椒放入干洗机中进行干洗。该工序会产生颗粒物和设备噪声。</w:t>
      </w:r>
    </w:p>
    <w:p>
      <w:pPr>
        <w:pStyle w:val="ListParagraph"/>
        <w:numPr>
          <w:ilvl w:val="0"/>
          <w:numId w:val="8"/>
        </w:numPr>
        <w:tabs>
          <w:tab w:val="left" w:pos="1780"/>
        </w:tabs>
        <w:spacing w:before="159" w:after="0" w:line="364" w:lineRule="auto"/>
        <w:ind w:left="696" w:right="131" w:firstLine="480"/>
        <w:jc w:val="both"/>
        <w:rPr>
          <w:sz w:val="24"/>
        </w:rPr>
      </w:pPr>
      <w:r>
        <w:rPr>
          <w:spacing w:val="-1"/>
          <w:sz w:val="24"/>
        </w:rPr>
        <w:t>灭菌：将处理好的辣椒放入微波灭菌机中灭菌。设备密闭，灭菌主要通过</w:t>
      </w:r>
      <w:r>
        <w:rPr>
          <w:sz w:val="24"/>
        </w:rPr>
        <w:t>电加热的方式对物料进行隔空加热，灭菌的同时能使物料中的水分蒸发出来，该工序会产生水蒸气和设备噪声。水蒸气无污染，经设备上的管道收集后通过风机引至车间外无组织排放。</w:t>
      </w:r>
    </w:p>
    <w:p>
      <w:pPr>
        <w:pStyle w:val="BodyText"/>
        <w:ind w:left="1176"/>
      </w:pPr>
      <w:r>
        <w:t>灭菌后的原料根据产品规格不同，分别进行（</w:t>
      </w:r>
      <w:r>
        <w:rPr>
          <w:rFonts w:ascii="Times New Roman" w:eastAsia="Times New Roman"/>
        </w:rPr>
        <w:t>4</w:t>
      </w:r>
      <w:r>
        <w:t>）或（</w:t>
      </w:r>
      <w:r>
        <w:rPr>
          <w:rFonts w:ascii="Times New Roman" w:eastAsia="Times New Roman"/>
        </w:rPr>
        <w:t>5</w:t>
      </w:r>
      <w:r>
        <w:t>）工艺。</w:t>
      </w:r>
    </w:p>
    <w:p>
      <w:pPr>
        <w:pStyle w:val="ListParagraph"/>
        <w:numPr>
          <w:ilvl w:val="0"/>
          <w:numId w:val="8"/>
        </w:numPr>
        <w:tabs>
          <w:tab w:val="left" w:pos="1780"/>
        </w:tabs>
        <w:spacing w:before="158" w:after="0" w:line="362" w:lineRule="auto"/>
        <w:ind w:left="696" w:right="131" w:firstLine="480"/>
        <w:jc w:val="left"/>
        <w:rPr>
          <w:sz w:val="24"/>
        </w:rPr>
      </w:pPr>
      <w:r>
        <w:rPr>
          <w:spacing w:val="-1"/>
          <w:sz w:val="24"/>
        </w:rPr>
        <w:t>粉碎：将辣椒放入粉碎机或磨粉机中进行粉碎。该工序会产生颗粒物和设</w:t>
      </w:r>
      <w:r>
        <w:rPr>
          <w:sz w:val="24"/>
        </w:rPr>
        <w:t>备噪声。</w:t>
      </w:r>
    </w:p>
    <w:p>
      <w:pPr>
        <w:pStyle w:val="ListParagraph"/>
        <w:numPr>
          <w:ilvl w:val="0"/>
          <w:numId w:val="8"/>
        </w:numPr>
        <w:tabs>
          <w:tab w:val="left" w:pos="1788"/>
        </w:tabs>
        <w:spacing w:before="5" w:after="0" w:line="364" w:lineRule="auto"/>
        <w:ind w:left="696" w:right="131" w:firstLine="480"/>
        <w:jc w:val="left"/>
        <w:rPr>
          <w:sz w:val="24"/>
        </w:rPr>
      </w:pPr>
      <w:r>
        <w:rPr>
          <w:spacing w:val="2"/>
          <w:sz w:val="24"/>
        </w:rPr>
        <w:t>切段</w:t>
      </w:r>
      <w:r>
        <w:rPr>
          <w:rFonts w:ascii="Times New Roman" w:eastAsia="Times New Roman"/>
          <w:spacing w:val="5"/>
          <w:sz w:val="24"/>
        </w:rPr>
        <w:t>/</w:t>
      </w:r>
      <w:r>
        <w:rPr>
          <w:spacing w:val="4"/>
          <w:sz w:val="24"/>
        </w:rPr>
        <w:t>片</w:t>
      </w:r>
      <w:r>
        <w:rPr>
          <w:rFonts w:ascii="Times New Roman" w:eastAsia="Times New Roman"/>
          <w:sz w:val="24"/>
        </w:rPr>
        <w:t>/</w:t>
      </w:r>
      <w:r>
        <w:rPr>
          <w:sz w:val="24"/>
        </w:rPr>
        <w:t>丝：根据客户的要求，将辣椒放入切段机或切片机或切丝机中处理成符合要求的规格。该工序会产生设备噪声。</w:t>
      </w:r>
    </w:p>
    <w:p>
      <w:pPr>
        <w:pStyle w:val="ListParagraph"/>
        <w:numPr>
          <w:ilvl w:val="0"/>
          <w:numId w:val="8"/>
        </w:numPr>
        <w:tabs>
          <w:tab w:val="left" w:pos="1780"/>
        </w:tabs>
        <w:spacing w:before="0" w:after="0" w:line="364" w:lineRule="auto"/>
        <w:ind w:left="696" w:right="133" w:firstLine="480"/>
        <w:jc w:val="left"/>
        <w:rPr>
          <w:sz w:val="24"/>
        </w:rPr>
      </w:pPr>
      <w:r>
        <w:rPr>
          <w:spacing w:val="-1"/>
          <w:sz w:val="24"/>
        </w:rPr>
        <w:t>赶光：将辣椒放入压光机、抛光机等设备中加工，使辣椒更有色泽。该工</w:t>
      </w:r>
      <w:r>
        <w:rPr>
          <w:sz w:val="24"/>
        </w:rPr>
        <w:t>序会产生设备噪声。</w:t>
      </w:r>
    </w:p>
    <w:p>
      <w:pPr>
        <w:pStyle w:val="ListParagraph"/>
        <w:numPr>
          <w:ilvl w:val="0"/>
          <w:numId w:val="8"/>
        </w:numPr>
        <w:tabs>
          <w:tab w:val="left" w:pos="1780"/>
        </w:tabs>
        <w:spacing w:before="0" w:after="0" w:line="364" w:lineRule="auto"/>
        <w:ind w:left="696" w:right="131" w:firstLine="480"/>
        <w:jc w:val="left"/>
        <w:rPr>
          <w:sz w:val="24"/>
        </w:rPr>
      </w:pPr>
      <w:r>
        <w:rPr>
          <w:spacing w:val="-1"/>
          <w:sz w:val="24"/>
        </w:rPr>
        <w:t>筛分：处理后的辣椒放入振动筛中进行筛分，分别制成不同规格的产品。</w:t>
      </w:r>
      <w:r>
        <w:rPr>
          <w:sz w:val="24"/>
        </w:rPr>
        <w:t>该工序会产生颗粒物和设备噪声。</w:t>
      </w:r>
    </w:p>
    <w:p>
      <w:pPr>
        <w:pStyle w:val="ListParagraph"/>
        <w:numPr>
          <w:ilvl w:val="0"/>
          <w:numId w:val="8"/>
        </w:numPr>
        <w:tabs>
          <w:tab w:val="left" w:pos="1777"/>
        </w:tabs>
        <w:spacing w:before="0" w:after="0" w:line="240" w:lineRule="auto"/>
        <w:ind w:left="1777" w:right="0" w:hanging="601"/>
        <w:jc w:val="left"/>
        <w:rPr>
          <w:sz w:val="24"/>
        </w:rPr>
      </w:pPr>
      <w:r>
        <w:rPr>
          <w:sz w:val="24"/>
        </w:rPr>
        <w:t>包装：按照包装规格进行包装，并封口、打包后入库待售。</w:t>
      </w:r>
    </w:p>
    <w:p>
      <w:pPr>
        <w:pStyle w:val="BodyText"/>
        <w:spacing w:before="156"/>
        <w:ind w:left="1176"/>
      </w:pPr>
      <w:r>
        <w:rPr>
          <w:rFonts w:ascii="Times New Roman" w:eastAsia="Times New Roman"/>
        </w:rPr>
        <w:t>2.</w:t>
      </w:r>
      <w:r>
        <w:t>其他固态调味料</w:t>
      </w:r>
    </w:p>
    <w:p>
      <w:pPr>
        <w:pStyle w:val="BodyText"/>
        <w:spacing w:before="6"/>
        <w:rPr>
          <w:sz w:val="16"/>
        </w:rPr>
      </w:pPr>
      <w:r>
        <w:drawing>
          <wp:anchor distT="0" distB="0" distL="0" distR="0" simplePos="0" relativeHeight="251663360" behindDoc="0" locked="0" layoutInCell="1" allowOverlap="1">
            <wp:simplePos x="0" y="0"/>
            <wp:positionH relativeFrom="page">
              <wp:posOffset>1890395</wp:posOffset>
            </wp:positionH>
            <wp:positionV relativeFrom="paragraph">
              <wp:posOffset>158750</wp:posOffset>
            </wp:positionV>
            <wp:extent cx="4189095" cy="867410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3.pn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88953" cy="8675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0"/>
        <w:ind w:left="1104" w:right="0" w:firstLine="0"/>
        <w:jc w:val="left"/>
        <w:rPr>
          <w:b/>
          <w:sz w:val="21"/>
        </w:rPr>
      </w:pPr>
      <w:r>
        <w:rPr>
          <w:b/>
          <w:sz w:val="21"/>
        </w:rPr>
        <w:t>注：</w:t>
      </w:r>
      <w:r>
        <w:rPr>
          <w:rFonts w:ascii="Times New Roman" w:eastAsia="Times New Roman"/>
          <w:b/>
          <w:sz w:val="21"/>
        </w:rPr>
        <w:t>G--</w:t>
      </w:r>
      <w:r>
        <w:rPr>
          <w:b/>
          <w:sz w:val="21"/>
        </w:rPr>
        <w:t>废气；</w:t>
      </w:r>
      <w:r>
        <w:rPr>
          <w:rFonts w:ascii="Times New Roman" w:eastAsia="Times New Roman"/>
          <w:b/>
          <w:sz w:val="21"/>
        </w:rPr>
        <w:t>N--</w:t>
      </w:r>
      <w:r>
        <w:rPr>
          <w:b/>
          <w:sz w:val="21"/>
        </w:rPr>
        <w:t>噪声；</w:t>
      </w:r>
      <w:r>
        <w:rPr>
          <w:rFonts w:ascii="Times New Roman" w:eastAsia="Times New Roman"/>
          <w:b/>
          <w:sz w:val="21"/>
        </w:rPr>
        <w:t>S--</w:t>
      </w:r>
      <w:r>
        <w:rPr>
          <w:b/>
          <w:sz w:val="21"/>
        </w:rPr>
        <w:t>固废</w:t>
      </w:r>
    </w:p>
    <w:p>
      <w:pPr>
        <w:spacing w:before="4"/>
        <w:ind w:left="3453" w:right="0" w:firstLine="0"/>
        <w:jc w:val="left"/>
        <w:rPr>
          <w:b/>
          <w:sz w:val="21"/>
        </w:rPr>
      </w:pPr>
      <w:r>
        <w:rPr>
          <w:b/>
          <w:sz w:val="21"/>
        </w:rPr>
        <w:t>图</w:t>
      </w:r>
      <w:r>
        <w:rPr>
          <w:rFonts w:ascii="Times New Roman" w:eastAsia="Times New Roman"/>
          <w:b/>
          <w:sz w:val="21"/>
        </w:rPr>
        <w:t xml:space="preserve">2-3 </w:t>
      </w:r>
      <w:r>
        <w:rPr>
          <w:b/>
          <w:sz w:val="21"/>
        </w:rPr>
        <w:t>其他固态调味料加工工艺流程图</w:t>
      </w:r>
    </w:p>
    <w:p>
      <w:pPr>
        <w:pStyle w:val="BodyText"/>
        <w:spacing w:before="4"/>
        <w:ind w:left="1176"/>
      </w:pPr>
      <w:r>
        <w:t>工艺流程简述：</w:t>
      </w:r>
    </w:p>
    <w:p>
      <w:pPr>
        <w:pStyle w:val="BodyText"/>
        <w:spacing w:before="160" w:line="362" w:lineRule="auto"/>
        <w:ind w:left="696" w:right="133" w:firstLine="480"/>
      </w:pPr>
      <w:r>
        <w:t>①分拣：先将八角、花椒等原料使用去石机去除杂质，该工序会产生分拣杂质和设备噪声。</w:t>
      </w:r>
    </w:p>
    <w:p>
      <w:pPr>
        <w:pStyle w:val="BodyText"/>
        <w:spacing w:before="5" w:line="362" w:lineRule="auto"/>
        <w:ind w:left="696" w:right="131" w:firstLine="480"/>
        <w:jc w:val="both"/>
      </w:pPr>
      <w:r>
        <w:t>②灭菌：设备密闭，灭菌主要通过电加热的方式对物料进行隔空加热，灭菌的同时能使物料中的水分蒸发出来，该工序会产生水蒸气和设备噪声。水蒸气无污染，经设备上的管道收集后通过风机引至车间外无组织排放。</w:t>
      </w:r>
    </w:p>
    <w:p>
      <w:pPr>
        <w:pStyle w:val="BodyText"/>
        <w:spacing w:before="54"/>
        <w:ind w:left="1176"/>
      </w:pPr>
      <w:r>
        <w:t>③粉碎：将原料放入粉碎机或破碎机中进行粉碎，该工序会产生颗粒物和设备</w:t>
      </w:r>
    </w:p>
    <w:p>
      <w:pPr>
        <w:spacing w:after="0"/>
        <w:sectPr>
          <w:footerReference w:type="default" r:id="rId21"/>
          <w:pgSz w:w="11910" w:h="16850"/>
          <w:pgMar w:top="1480" w:right="1140" w:bottom="740" w:left="1140" w:header="0" w:footer="546" w:gutter="0"/>
          <w:pgNumType w:start="14"/>
          <w:cols w:num="1" w:space="720"/>
        </w:sectPr>
      </w:pPr>
    </w:p>
    <w:p>
      <w:pPr>
        <w:pStyle w:val="BodyText"/>
        <w:spacing w:before="44"/>
        <w:ind w:left="696"/>
      </w:pPr>
      <w:r>
        <w:pict>
          <v:group id="_x0000_s1038" o:spid="_x0000_s1037" style="width:470pt;height:679.2pt;margin-top:77.05pt;margin-left:62.8pt;mso-height-relative:page;mso-position-horizontal-relative:page;mso-position-vertical-relative:page;mso-width-relative:page;position:absolute;z-index:-251649024" coordorigin="1256,1542" coordsize="9400,13584">
            <v:shape id="_x0000_s1039" o:spid="_x0000_s1038" style="width:9361;height:13574;left:1275;position:absolute;top:1729" coordorigin="1276,1729" coordsize="9361,13574" path="m1276,1547l10636,1547m1276,15121l10636,15121e" filled="f" stroked="t" strokecolor="black">
              <v:path arrowok="t"/>
            </v:shape>
            <v:shape id="_x0000_s1040" o:spid="_x0000_s1039" style="width:9380;height:13584;left:1266;position:absolute;top:1724" coordorigin="1266,1724" coordsize="9380,13584" path="m1266,1542l1266,15126m10646,1542l10646,15126e" filled="f" stroked="t" strokecolor="black">
              <v:path arrowok="t"/>
            </v:shape>
            <v:line id="_x0000_s1041" o:spid="_x0000_s1040" style="position:absolute" from="1831,1542" to="1831,15116" coordsize="21600,21600" stroked="t" strokecolor="black"/>
          </v:group>
        </w:pict>
      </w:r>
      <w:r>
        <w:t>噪声。</w:t>
      </w:r>
    </w:p>
    <w:p>
      <w:pPr>
        <w:pStyle w:val="BodyText"/>
        <w:spacing w:before="206" w:line="364" w:lineRule="auto"/>
        <w:ind w:left="696" w:right="131" w:firstLine="480"/>
        <w:jc w:val="both"/>
      </w:pPr>
      <w:r>
        <w:t>④混料：将粉碎好的原料通过传送带按比例投入搅拌机中进行混合调配，罐体密闭，混料完成后静置</w:t>
      </w:r>
      <w:r>
        <w:rPr>
          <w:rFonts w:ascii="Times New Roman" w:eastAsia="Times New Roman" w:hAnsi="Times New Roman"/>
        </w:rPr>
        <w:t>5-10</w:t>
      </w:r>
      <w:r>
        <w:t>分钟后再开锅取料，料体由传送带运至周转车内。该工序会产生设备噪声。</w:t>
      </w:r>
    </w:p>
    <w:p>
      <w:pPr>
        <w:pStyle w:val="BodyText"/>
        <w:spacing w:before="47"/>
        <w:ind w:left="1176"/>
      </w:pPr>
      <w:r>
        <w:t>⑤灌装：成品使用灌装机灌装，设备密闭，该工序会产生设备噪声。</w:t>
      </w:r>
    </w:p>
    <w:p>
      <w:pPr>
        <w:pStyle w:val="BodyText"/>
        <w:spacing w:before="160" w:line="362" w:lineRule="auto"/>
        <w:ind w:left="696" w:right="133" w:firstLine="480"/>
      </w:pPr>
      <w:r>
        <w:t>⑥包装：成品经包装机、封口机等设备包装后运至仓库待售。该工序会产生设备噪声。</w:t>
      </w:r>
    </w:p>
    <w:p>
      <w:pPr>
        <w:pStyle w:val="BodyText"/>
        <w:spacing w:before="5"/>
        <w:ind w:left="1176"/>
      </w:pPr>
      <w:r>
        <w:rPr>
          <w:rFonts w:ascii="Times New Roman" w:eastAsia="Times New Roman"/>
        </w:rPr>
        <w:t>3</w:t>
      </w:r>
      <w:r>
        <w:t>、半固态调味料</w:t>
      </w:r>
    </w:p>
    <w:p>
      <w:pPr>
        <w:pStyle w:val="BodyText"/>
        <w:spacing w:before="1"/>
        <w:rPr>
          <w:sz w:val="11"/>
        </w:rPr>
      </w:pPr>
      <w:r>
        <w:drawing>
          <wp:anchor distT="0" distB="0" distL="0" distR="0" simplePos="0" relativeHeight="251665408" behindDoc="0" locked="0" layoutInCell="1" allowOverlap="1">
            <wp:simplePos x="0" y="0"/>
            <wp:positionH relativeFrom="page">
              <wp:posOffset>1847850</wp:posOffset>
            </wp:positionH>
            <wp:positionV relativeFrom="paragraph">
              <wp:posOffset>114935</wp:posOffset>
            </wp:positionV>
            <wp:extent cx="4228465" cy="901065"/>
            <wp:effectExtent l="0" t="0" r="0" b="0"/>
            <wp:wrapTopAndBottom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4.pn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28374" cy="901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0"/>
        <w:ind w:left="1104" w:right="0" w:firstLine="0"/>
        <w:jc w:val="left"/>
        <w:rPr>
          <w:b/>
          <w:sz w:val="21"/>
        </w:rPr>
      </w:pPr>
      <w:r>
        <w:rPr>
          <w:b/>
          <w:sz w:val="21"/>
        </w:rPr>
        <w:t>注：</w:t>
      </w:r>
      <w:r>
        <w:rPr>
          <w:rFonts w:ascii="Times New Roman" w:eastAsia="Times New Roman"/>
          <w:b/>
          <w:sz w:val="21"/>
        </w:rPr>
        <w:t>G--</w:t>
      </w:r>
      <w:r>
        <w:rPr>
          <w:b/>
          <w:sz w:val="21"/>
        </w:rPr>
        <w:t>废气；</w:t>
      </w:r>
      <w:r>
        <w:rPr>
          <w:rFonts w:ascii="Times New Roman" w:eastAsia="Times New Roman"/>
          <w:b/>
          <w:sz w:val="21"/>
        </w:rPr>
        <w:t>N--</w:t>
      </w:r>
      <w:r>
        <w:rPr>
          <w:b/>
          <w:sz w:val="21"/>
        </w:rPr>
        <w:t>噪声；</w:t>
      </w:r>
      <w:r>
        <w:rPr>
          <w:rFonts w:ascii="Times New Roman" w:eastAsia="Times New Roman"/>
          <w:b/>
          <w:sz w:val="21"/>
        </w:rPr>
        <w:t>S--</w:t>
      </w:r>
      <w:r>
        <w:rPr>
          <w:b/>
          <w:sz w:val="21"/>
        </w:rPr>
        <w:t>固废</w:t>
      </w:r>
    </w:p>
    <w:p>
      <w:pPr>
        <w:spacing w:before="4"/>
        <w:ind w:left="3052" w:right="0" w:firstLine="0"/>
        <w:jc w:val="left"/>
        <w:rPr>
          <w:b/>
          <w:sz w:val="21"/>
        </w:rPr>
      </w:pPr>
      <w:r>
        <w:rPr>
          <w:b/>
          <w:sz w:val="21"/>
        </w:rPr>
        <w:t>图</w:t>
      </w:r>
      <w:r>
        <w:rPr>
          <w:rFonts w:ascii="Times New Roman" w:eastAsia="Times New Roman"/>
          <w:b/>
          <w:sz w:val="21"/>
        </w:rPr>
        <w:t xml:space="preserve">2-4 </w:t>
      </w:r>
      <w:r>
        <w:rPr>
          <w:b/>
          <w:sz w:val="21"/>
        </w:rPr>
        <w:t>半固态调味料加工工艺流程图及产污环节</w:t>
      </w:r>
    </w:p>
    <w:p>
      <w:pPr>
        <w:pStyle w:val="BodyText"/>
        <w:spacing w:before="4"/>
        <w:ind w:left="1132"/>
      </w:pPr>
      <w:bookmarkStart w:id="31" w:name="工艺流程简述："/>
      <w:bookmarkEnd w:id="31"/>
      <w:r>
        <w:t>工艺流程简述：</w:t>
      </w:r>
    </w:p>
    <w:p>
      <w:pPr>
        <w:pStyle w:val="BodyText"/>
        <w:spacing w:before="160" w:line="362" w:lineRule="auto"/>
        <w:ind w:left="696" w:right="176" w:firstLine="480"/>
      </w:pPr>
      <w:r>
        <w:t>①分拣：将葱、姜、蒜等原料先进行人工分拣，去除杂质，该工序会产生原料分拣杂质。</w:t>
      </w:r>
    </w:p>
    <w:p>
      <w:pPr>
        <w:pStyle w:val="BodyText"/>
        <w:spacing w:before="5" w:line="362" w:lineRule="auto"/>
        <w:ind w:left="696" w:right="176" w:firstLine="480"/>
      </w:pPr>
      <w:r>
        <w:t>②前处理：根据产品需要，使用切菜机将葱、姜、蒜等湿物料进行混合切碎， 该工序会产生设备噪声。</w:t>
      </w:r>
    </w:p>
    <w:p>
      <w:pPr>
        <w:pStyle w:val="BodyText"/>
        <w:spacing w:before="5" w:line="360" w:lineRule="auto"/>
        <w:ind w:left="696" w:right="176" w:firstLine="480"/>
      </w:pPr>
      <w:r>
        <w:t>③熬煮：将原料倒入煮酱锅内进行煮制，煮酱锅采用液化气加热，该工序会产</w:t>
      </w:r>
      <w:r>
        <w:rPr>
          <w:position w:val="2"/>
        </w:rPr>
        <w:t>生油烟、恶臭和设备运行噪声，使用液化气过程中会产生颗粒物、</w:t>
      </w:r>
      <w:r>
        <w:rPr>
          <w:rFonts w:ascii="Times New Roman" w:eastAsia="Times New Roman" w:hAnsi="Times New Roman"/>
          <w:position w:val="2"/>
        </w:rPr>
        <w:t>SO</w:t>
      </w:r>
      <w:r>
        <w:rPr>
          <w:rFonts w:ascii="Times New Roman" w:eastAsia="Times New Roman" w:hAnsi="Times New Roman"/>
          <w:position w:val="2"/>
          <w:vertAlign w:val="subscript"/>
        </w:rPr>
        <w:t>2</w:t>
      </w:r>
      <w:r>
        <w:rPr>
          <w:position w:val="2"/>
          <w:vertAlign w:val="baseline"/>
        </w:rPr>
        <w:t>、</w:t>
      </w:r>
      <w:r>
        <w:rPr>
          <w:rFonts w:ascii="Times New Roman" w:eastAsia="Times New Roman" w:hAnsi="Times New Roman"/>
          <w:position w:val="2"/>
          <w:vertAlign w:val="baseline"/>
        </w:rPr>
        <w:t>NOx</w:t>
      </w:r>
      <w:r>
        <w:rPr>
          <w:position w:val="2"/>
          <w:vertAlign w:val="baseline"/>
        </w:rPr>
        <w:t>。</w:t>
      </w:r>
    </w:p>
    <w:p>
      <w:pPr>
        <w:pStyle w:val="BodyText"/>
        <w:spacing w:before="7"/>
        <w:ind w:left="1176"/>
      </w:pPr>
      <w:r>
        <w:t>④冷却：将煮好的半固态调味料放入冷却罐中冷却。</w:t>
      </w:r>
    </w:p>
    <w:p>
      <w:pPr>
        <w:pStyle w:val="BodyText"/>
        <w:spacing w:before="158" w:line="364" w:lineRule="auto"/>
        <w:ind w:left="696" w:right="176" w:firstLine="480"/>
      </w:pPr>
      <w:r>
        <w:t>⑤灌装、包装：成品利用酱料包装机进行灌装、包装，设备密闭。灌装后的半固态调味料包装后运至成品库待售。该工序会产生设备噪声。</w:t>
      </w:r>
    </w:p>
    <w:p>
      <w:pPr>
        <w:pStyle w:val="BodyText"/>
        <w:spacing w:line="306" w:lineRule="exact"/>
        <w:ind w:left="1176"/>
      </w:pPr>
      <w:r>
        <w:rPr>
          <w:rFonts w:ascii="Times New Roman" w:eastAsia="Times New Roman"/>
        </w:rPr>
        <w:t>4</w:t>
      </w:r>
      <w:r>
        <w:t>、液态调味料</w:t>
      </w:r>
    </w:p>
    <w:p>
      <w:pPr>
        <w:pStyle w:val="BodyText"/>
        <w:spacing w:before="8"/>
        <w:rPr>
          <w:sz w:val="11"/>
        </w:rPr>
      </w:pPr>
      <w:r>
        <w:drawing>
          <wp:anchor distT="0" distB="0" distL="0" distR="0" simplePos="0" relativeHeight="251666432" behindDoc="0" locked="0" layoutInCell="1" allowOverlap="1">
            <wp:simplePos x="0" y="0"/>
            <wp:positionH relativeFrom="page">
              <wp:posOffset>2526665</wp:posOffset>
            </wp:positionH>
            <wp:positionV relativeFrom="paragraph">
              <wp:posOffset>119380</wp:posOffset>
            </wp:positionV>
            <wp:extent cx="2857500" cy="617220"/>
            <wp:effectExtent l="0" t="0" r="0" b="0"/>
            <wp:wrapTopAndBottom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5.pn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6172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81"/>
        <w:ind w:left="1104" w:right="0" w:firstLine="0"/>
        <w:jc w:val="left"/>
        <w:rPr>
          <w:b/>
          <w:sz w:val="21"/>
        </w:rPr>
      </w:pPr>
      <w:r>
        <w:rPr>
          <w:b/>
          <w:sz w:val="21"/>
        </w:rPr>
        <w:t>注：</w:t>
      </w:r>
      <w:r>
        <w:rPr>
          <w:rFonts w:ascii="Times New Roman" w:eastAsia="Times New Roman"/>
          <w:b/>
          <w:sz w:val="21"/>
        </w:rPr>
        <w:t>G--</w:t>
      </w:r>
      <w:r>
        <w:rPr>
          <w:b/>
          <w:sz w:val="21"/>
        </w:rPr>
        <w:t>废气；</w:t>
      </w:r>
      <w:r>
        <w:rPr>
          <w:rFonts w:ascii="Times New Roman" w:eastAsia="Times New Roman"/>
          <w:b/>
          <w:sz w:val="21"/>
        </w:rPr>
        <w:t>N--</w:t>
      </w:r>
      <w:r>
        <w:rPr>
          <w:b/>
          <w:sz w:val="21"/>
        </w:rPr>
        <w:t>噪声；</w:t>
      </w:r>
      <w:r>
        <w:rPr>
          <w:rFonts w:ascii="Times New Roman" w:eastAsia="Times New Roman"/>
          <w:b/>
          <w:sz w:val="21"/>
        </w:rPr>
        <w:t>S--</w:t>
      </w:r>
      <w:r>
        <w:rPr>
          <w:b/>
          <w:sz w:val="21"/>
        </w:rPr>
        <w:t>固废</w:t>
      </w:r>
    </w:p>
    <w:p>
      <w:pPr>
        <w:spacing w:before="4"/>
        <w:ind w:left="3153" w:right="0" w:firstLine="0"/>
        <w:jc w:val="left"/>
        <w:rPr>
          <w:b/>
          <w:sz w:val="21"/>
        </w:rPr>
      </w:pPr>
      <w:r>
        <w:rPr>
          <w:b/>
          <w:sz w:val="21"/>
        </w:rPr>
        <w:t>图</w:t>
      </w:r>
      <w:r>
        <w:rPr>
          <w:rFonts w:ascii="Times New Roman" w:eastAsia="Times New Roman"/>
          <w:b/>
          <w:sz w:val="21"/>
        </w:rPr>
        <w:t xml:space="preserve">2-5 </w:t>
      </w:r>
      <w:r>
        <w:rPr>
          <w:b/>
          <w:sz w:val="21"/>
        </w:rPr>
        <w:t>液态调味料加工工艺流程图及产污环节</w:t>
      </w:r>
    </w:p>
    <w:p>
      <w:pPr>
        <w:pStyle w:val="BodyText"/>
        <w:spacing w:before="4"/>
        <w:ind w:left="1132"/>
      </w:pPr>
      <w:r>
        <w:t>工艺流程简述：</w:t>
      </w:r>
    </w:p>
    <w:p>
      <w:pPr>
        <w:pStyle w:val="BodyText"/>
        <w:spacing w:before="160"/>
        <w:ind w:left="1176"/>
      </w:pPr>
      <w:r>
        <w:t>①熬煮：将原料蚝油、酱油等液态原料按照配比放入煮酱锅内进行煮制，煮酱</w:t>
      </w:r>
    </w:p>
    <w:p>
      <w:pPr>
        <w:spacing w:after="0"/>
        <w:sectPr>
          <w:footerReference w:type="default" r:id="rId24"/>
          <w:pgSz w:w="11910" w:h="16850"/>
          <w:pgMar w:top="1500" w:right="1140" w:bottom="820" w:left="1140" w:header="0" w:footer="546" w:gutter="0"/>
          <w:pgNumType w:start="15"/>
          <w:cols w:num="1" w:space="720"/>
        </w:sectPr>
      </w:pPr>
    </w:p>
    <w:p>
      <w:pPr>
        <w:pStyle w:val="BodyText"/>
        <w:spacing w:before="44" w:line="360" w:lineRule="auto"/>
        <w:ind w:left="696" w:right="176"/>
      </w:pPr>
      <w:r>
        <w:pict>
          <v:group id="_x0000_s1042" o:spid="_x0000_s1041" style="width:470pt;height:666.7pt;margin-top:77.05pt;margin-left:62.8pt;mso-height-relative:page;mso-position-horizontal-relative:page;mso-position-vertical-relative:page;mso-width-relative:page;position:absolute;z-index:-251645952" coordorigin="1256,1542" coordsize="9400,13334">
            <v:shape id="_x0000_s1043" o:spid="_x0000_s1042" style="width:9361;height:13324;left:1275;position:absolute;top:1979" coordorigin="1276,1979" coordsize="9361,13324" path="m1276,1547l10636,1547m1276,14871l10636,14871e" filled="f" stroked="t" strokecolor="black">
              <v:path arrowok="t"/>
            </v:shape>
            <v:shape id="_x0000_s1044" o:spid="_x0000_s1043" style="width:9380;height:13334;left:1266;position:absolute;top:1974" coordorigin="1266,1974" coordsize="9380,13334" path="m1266,1542l1266,14876m10646,1542l10646,14876e" filled="f" stroked="t" strokecolor="black">
              <v:path arrowok="t"/>
            </v:shape>
            <v:line id="_x0000_s1045" o:spid="_x0000_s1044" style="position:absolute" from="1831,1542" to="1831,14866" coordsize="21600,21600" stroked="t" strokecolor="black"/>
          </v:group>
        </w:pict>
      </w:r>
      <w:r>
        <w:t>锅采用液化气加热，该工序会产生油烟、恶臭和设备运行噪声，使用液化气过程中</w:t>
      </w:r>
      <w:r>
        <w:rPr>
          <w:position w:val="2"/>
        </w:rPr>
        <w:t>会产生颗粒物、</w:t>
      </w:r>
      <w:r>
        <w:rPr>
          <w:rFonts w:ascii="Times New Roman" w:eastAsia="Times New Roman"/>
          <w:position w:val="2"/>
        </w:rPr>
        <w:t>SO</w:t>
      </w:r>
      <w:r>
        <w:rPr>
          <w:rFonts w:ascii="Times New Roman" w:eastAsia="Times New Roman"/>
          <w:position w:val="2"/>
          <w:vertAlign w:val="subscript"/>
        </w:rPr>
        <w:t>2</w:t>
      </w:r>
      <w:r>
        <w:rPr>
          <w:position w:val="2"/>
          <w:vertAlign w:val="baseline"/>
        </w:rPr>
        <w:t>、</w:t>
      </w:r>
      <w:r>
        <w:rPr>
          <w:rFonts w:ascii="Times New Roman" w:eastAsia="Times New Roman"/>
          <w:position w:val="2"/>
          <w:vertAlign w:val="baseline"/>
        </w:rPr>
        <w:t>NOx</w:t>
      </w:r>
      <w:r>
        <w:rPr>
          <w:position w:val="2"/>
          <w:vertAlign w:val="baseline"/>
        </w:rPr>
        <w:t>。</w:t>
      </w:r>
    </w:p>
    <w:p>
      <w:pPr>
        <w:pStyle w:val="BodyText"/>
        <w:spacing w:before="6"/>
        <w:ind w:left="1176"/>
      </w:pPr>
      <w:r>
        <w:t>②冷却：将煮好的液态调味料放入冷却罐中冷却。</w:t>
      </w:r>
    </w:p>
    <w:p>
      <w:pPr>
        <w:pStyle w:val="BodyText"/>
        <w:spacing w:before="158" w:line="364" w:lineRule="auto"/>
        <w:ind w:left="696" w:right="176" w:firstLine="480"/>
      </w:pPr>
      <w:r>
        <w:t>③灌装、包装：成品利用酱料包装机进行灌装、包装，设备密闭。灌装后的液态调味料使用包装机包装后运至成品库待售。该工序会产生设备噪声。</w:t>
      </w:r>
    </w:p>
    <w:p>
      <w:pPr>
        <w:pStyle w:val="BodyText"/>
        <w:spacing w:before="1"/>
        <w:ind w:left="1176"/>
      </w:pPr>
      <w:r>
        <w:rPr>
          <w:rFonts w:ascii="Times New Roman" w:eastAsia="Times New Roman"/>
        </w:rPr>
        <w:t>5</w:t>
      </w:r>
      <w:r>
        <w:t>、调味油</w:t>
      </w:r>
    </w:p>
    <w:p>
      <w:pPr>
        <w:pStyle w:val="BodyText"/>
        <w:spacing w:before="1"/>
        <w:rPr>
          <w:sz w:val="10"/>
        </w:rPr>
      </w:pPr>
      <w:r>
        <w:drawing>
          <wp:anchor distT="0" distB="0" distL="0" distR="0" simplePos="0" relativeHeight="251668480" behindDoc="0" locked="0" layoutInCell="1" allowOverlap="1">
            <wp:simplePos x="0" y="0"/>
            <wp:positionH relativeFrom="page">
              <wp:posOffset>1751330</wp:posOffset>
            </wp:positionH>
            <wp:positionV relativeFrom="paragraph">
              <wp:posOffset>106680</wp:posOffset>
            </wp:positionV>
            <wp:extent cx="4401185" cy="891540"/>
            <wp:effectExtent l="0" t="0" r="0" b="0"/>
            <wp:wrapTopAndBottom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6.pn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01123" cy="891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44"/>
        <w:ind w:left="1104" w:right="0" w:firstLine="0"/>
        <w:jc w:val="left"/>
        <w:rPr>
          <w:b/>
          <w:sz w:val="21"/>
        </w:rPr>
      </w:pPr>
      <w:r>
        <w:rPr>
          <w:b/>
          <w:sz w:val="21"/>
        </w:rPr>
        <w:t>注：</w:t>
      </w:r>
      <w:r>
        <w:rPr>
          <w:rFonts w:ascii="Times New Roman" w:eastAsia="Times New Roman"/>
          <w:b/>
          <w:sz w:val="21"/>
        </w:rPr>
        <w:t>G--</w:t>
      </w:r>
      <w:r>
        <w:rPr>
          <w:b/>
          <w:sz w:val="21"/>
        </w:rPr>
        <w:t>废气；</w:t>
      </w:r>
      <w:r>
        <w:rPr>
          <w:rFonts w:ascii="Times New Roman" w:eastAsia="Times New Roman"/>
          <w:b/>
          <w:sz w:val="21"/>
        </w:rPr>
        <w:t>N--</w:t>
      </w:r>
      <w:r>
        <w:rPr>
          <w:b/>
          <w:sz w:val="21"/>
        </w:rPr>
        <w:t>噪声；</w:t>
      </w:r>
      <w:r>
        <w:rPr>
          <w:rFonts w:ascii="Times New Roman" w:eastAsia="Times New Roman"/>
          <w:b/>
          <w:sz w:val="21"/>
        </w:rPr>
        <w:t>S--</w:t>
      </w:r>
      <w:r>
        <w:rPr>
          <w:b/>
          <w:sz w:val="21"/>
        </w:rPr>
        <w:t>固废</w:t>
      </w:r>
    </w:p>
    <w:p>
      <w:pPr>
        <w:spacing w:before="5"/>
        <w:ind w:left="3352" w:right="0" w:firstLine="0"/>
        <w:jc w:val="left"/>
        <w:rPr>
          <w:b/>
          <w:sz w:val="21"/>
        </w:rPr>
      </w:pPr>
      <w:r>
        <w:rPr>
          <w:b/>
          <w:sz w:val="21"/>
        </w:rPr>
        <w:t>图</w:t>
      </w:r>
      <w:r>
        <w:rPr>
          <w:rFonts w:ascii="Times New Roman" w:eastAsia="Times New Roman"/>
          <w:b/>
          <w:sz w:val="21"/>
        </w:rPr>
        <w:t xml:space="preserve">2-6 </w:t>
      </w:r>
      <w:r>
        <w:rPr>
          <w:b/>
          <w:sz w:val="21"/>
        </w:rPr>
        <w:t>调味油加工工艺流程图及产污环节</w:t>
      </w:r>
    </w:p>
    <w:p>
      <w:pPr>
        <w:pStyle w:val="BodyText"/>
        <w:spacing w:before="3"/>
        <w:ind w:left="1132"/>
      </w:pPr>
      <w:r>
        <w:t>工艺流程简述：</w:t>
      </w:r>
    </w:p>
    <w:p>
      <w:pPr>
        <w:pStyle w:val="BodyText"/>
        <w:spacing w:before="158" w:line="364" w:lineRule="auto"/>
        <w:ind w:left="696" w:right="176" w:firstLine="480"/>
      </w:pPr>
      <w:r>
        <w:t>①分拣：将辣椒、花椒等原料先进行人工分拣去除杂质，该工序会产生原料分拣杂质。</w:t>
      </w:r>
    </w:p>
    <w:p>
      <w:pPr>
        <w:pStyle w:val="BodyText"/>
        <w:spacing w:before="49"/>
        <w:ind w:left="1176"/>
      </w:pPr>
      <w:r>
        <w:t>②调配：根据订单需要，按照一定的比例，将所需原辅材料进行称重配料。</w:t>
      </w:r>
    </w:p>
    <w:p>
      <w:pPr>
        <w:pStyle w:val="BodyText"/>
        <w:spacing w:before="206" w:line="362" w:lineRule="auto"/>
        <w:ind w:left="696" w:right="133" w:firstLine="480"/>
        <w:jc w:val="both"/>
      </w:pPr>
      <w:r>
        <w:t>③熬煮：产品需要由煮酱锅对原材料进行加热，根据产品类别及原材料种类的不同，加热时间不同。煮酱锅使用液化气加热。该工序会产生油烟、恶臭和设备运</w:t>
      </w:r>
      <w:r>
        <w:rPr>
          <w:position w:val="2"/>
        </w:rPr>
        <w:t>行噪声，使用液化气过程中会产生颗粒物、</w:t>
      </w:r>
      <w:r>
        <w:rPr>
          <w:rFonts w:ascii="Times New Roman" w:eastAsia="Times New Roman" w:hAnsi="Times New Roman"/>
          <w:position w:val="2"/>
        </w:rPr>
        <w:t>SO</w:t>
      </w:r>
      <w:r>
        <w:rPr>
          <w:rFonts w:ascii="Times New Roman" w:eastAsia="Times New Roman" w:hAnsi="Times New Roman"/>
          <w:position w:val="2"/>
          <w:vertAlign w:val="subscript"/>
        </w:rPr>
        <w:t>2</w:t>
      </w:r>
      <w:r>
        <w:rPr>
          <w:position w:val="2"/>
          <w:vertAlign w:val="baseline"/>
        </w:rPr>
        <w:t>、</w:t>
      </w:r>
      <w:r>
        <w:rPr>
          <w:rFonts w:ascii="Times New Roman" w:eastAsia="Times New Roman" w:hAnsi="Times New Roman"/>
          <w:position w:val="2"/>
          <w:vertAlign w:val="baseline"/>
        </w:rPr>
        <w:t>NOx</w:t>
      </w:r>
      <w:r>
        <w:rPr>
          <w:position w:val="2"/>
          <w:vertAlign w:val="baseline"/>
        </w:rPr>
        <w:t>。</w:t>
      </w:r>
    </w:p>
    <w:p>
      <w:pPr>
        <w:pStyle w:val="BodyText"/>
        <w:spacing w:before="52" w:line="362" w:lineRule="auto"/>
        <w:ind w:left="696" w:right="133" w:firstLine="480"/>
      </w:pPr>
      <w:r>
        <w:t>④过滤：根据订单要求，产品需要使用油料分离机进行过滤，筛选出里面的固体物料，仅保留液态物料。该过程会产生过滤杂质。</w:t>
      </w:r>
    </w:p>
    <w:p>
      <w:pPr>
        <w:pStyle w:val="BodyText"/>
        <w:spacing w:before="53"/>
        <w:ind w:left="1176"/>
      </w:pPr>
      <w:r>
        <w:t>⑤冷却：将不同油料按比例混合后即为成品，成品放入冷却罐中自然冷却。</w:t>
      </w:r>
    </w:p>
    <w:p>
      <w:pPr>
        <w:pStyle w:val="BodyText"/>
        <w:spacing w:before="206"/>
        <w:ind w:left="1176"/>
      </w:pPr>
      <w:r>
        <w:t>⑥包装：冷却后的成品利用包装机进行包装后入库待售。</w:t>
      </w:r>
    </w:p>
    <w:p>
      <w:pPr>
        <w:pStyle w:val="BodyText"/>
        <w:spacing w:before="209"/>
        <w:ind w:left="1176"/>
      </w:pPr>
      <w:r>
        <w:rPr>
          <w:rFonts w:ascii="Times New Roman" w:eastAsia="Times New Roman"/>
        </w:rPr>
        <w:t>6</w:t>
      </w:r>
      <w:r>
        <w:t>、分装食品</w:t>
      </w:r>
    </w:p>
    <w:p>
      <w:pPr>
        <w:pStyle w:val="BodyText"/>
        <w:spacing w:before="5"/>
        <w:rPr>
          <w:sz w:val="12"/>
        </w:rPr>
      </w:pPr>
      <w:r>
        <w:drawing>
          <wp:anchor distT="0" distB="0" distL="0" distR="0" simplePos="0" relativeHeight="251669504" behindDoc="0" locked="0" layoutInCell="1" allowOverlap="1">
            <wp:simplePos x="0" y="0"/>
            <wp:positionH relativeFrom="page">
              <wp:posOffset>3082925</wp:posOffset>
            </wp:positionH>
            <wp:positionV relativeFrom="paragraph">
              <wp:posOffset>125730</wp:posOffset>
            </wp:positionV>
            <wp:extent cx="1779905" cy="629285"/>
            <wp:effectExtent l="0" t="0" r="0" b="0"/>
            <wp:wrapTopAndBottom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7.pn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0032" cy="6294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4"/>
        <w:ind w:left="1104" w:right="0" w:firstLine="0"/>
        <w:jc w:val="left"/>
        <w:rPr>
          <w:b/>
          <w:sz w:val="21"/>
        </w:rPr>
      </w:pPr>
      <w:r>
        <w:rPr>
          <w:b/>
          <w:sz w:val="21"/>
        </w:rPr>
        <w:t>注：</w:t>
      </w:r>
      <w:r>
        <w:rPr>
          <w:rFonts w:ascii="Times New Roman" w:eastAsia="Times New Roman"/>
          <w:b/>
          <w:sz w:val="21"/>
        </w:rPr>
        <w:t>G--</w:t>
      </w:r>
      <w:r>
        <w:rPr>
          <w:b/>
          <w:sz w:val="21"/>
        </w:rPr>
        <w:t>废气；</w:t>
      </w:r>
      <w:r>
        <w:rPr>
          <w:rFonts w:ascii="Times New Roman" w:eastAsia="Times New Roman"/>
          <w:b/>
          <w:sz w:val="21"/>
        </w:rPr>
        <w:t>N--</w:t>
      </w:r>
      <w:r>
        <w:rPr>
          <w:b/>
          <w:sz w:val="21"/>
        </w:rPr>
        <w:t>噪声；</w:t>
      </w:r>
      <w:r>
        <w:rPr>
          <w:rFonts w:ascii="Times New Roman" w:eastAsia="Times New Roman"/>
          <w:b/>
          <w:sz w:val="21"/>
        </w:rPr>
        <w:t>S--</w:t>
      </w:r>
      <w:r>
        <w:rPr>
          <w:b/>
          <w:sz w:val="21"/>
        </w:rPr>
        <w:t>固废</w:t>
      </w:r>
    </w:p>
    <w:p>
      <w:pPr>
        <w:spacing w:before="5"/>
        <w:ind w:left="3252" w:right="0" w:firstLine="0"/>
        <w:jc w:val="left"/>
        <w:rPr>
          <w:b/>
          <w:sz w:val="21"/>
        </w:rPr>
      </w:pPr>
      <w:r>
        <w:rPr>
          <w:b/>
          <w:sz w:val="21"/>
        </w:rPr>
        <w:t>图</w:t>
      </w:r>
      <w:r>
        <w:rPr>
          <w:rFonts w:ascii="Times New Roman" w:eastAsia="Times New Roman"/>
          <w:b/>
          <w:sz w:val="21"/>
        </w:rPr>
        <w:t xml:space="preserve">2-7 </w:t>
      </w:r>
      <w:r>
        <w:rPr>
          <w:b/>
          <w:sz w:val="21"/>
        </w:rPr>
        <w:t>分装食品加工工艺流程图及产污环节</w:t>
      </w:r>
    </w:p>
    <w:p>
      <w:pPr>
        <w:pStyle w:val="BodyText"/>
        <w:spacing w:before="3"/>
        <w:ind w:left="1132"/>
      </w:pPr>
      <w:r>
        <w:t>工艺流程简述：</w:t>
      </w:r>
    </w:p>
    <w:p>
      <w:pPr>
        <w:pStyle w:val="BodyText"/>
        <w:spacing w:before="208"/>
        <w:ind w:left="1176"/>
      </w:pPr>
      <w:r>
        <w:t>购进的辣椒、糖等原材料经验收合格后按照不同规格进行人工配比后使用灌装</w:t>
      </w:r>
    </w:p>
    <w:p>
      <w:pPr>
        <w:spacing w:after="0"/>
        <w:sectPr>
          <w:footerReference w:type="default" r:id="rId27"/>
          <w:pgSz w:w="11910" w:h="16850"/>
          <w:pgMar w:top="1500" w:right="1140" w:bottom="820" w:left="1140" w:header="0" w:footer="546" w:gutter="0"/>
          <w:pgNumType w:start="16"/>
          <w:cols w:num="1" w:space="720"/>
        </w:sectPr>
      </w:pPr>
    </w:p>
    <w:tbl>
      <w:tblPr>
        <w:tblStyle w:val="TableNormal"/>
        <w:tblW w:w="0" w:type="auto"/>
        <w:tblInd w:w="1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5"/>
        <w:gridCol w:w="99"/>
        <w:gridCol w:w="653"/>
        <w:gridCol w:w="1999"/>
        <w:gridCol w:w="1200"/>
        <w:gridCol w:w="1896"/>
        <w:gridCol w:w="2863"/>
        <w:gridCol w:w="105"/>
      </w:tblGrid>
      <w:tr>
        <w:tblPrEx>
          <w:tblW w:w="0" w:type="auto"/>
          <w:tblInd w:w="136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89"/>
        </w:trPr>
        <w:tc>
          <w:tcPr>
            <w:tcW w:w="565" w:type="dxa"/>
            <w:vMerge w:val="restart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15" w:type="dxa"/>
            <w:gridSpan w:val="7"/>
            <w:tcBorders>
              <w:right w:val="single" w:sz="8" w:space="0" w:color="000000"/>
            </w:tcBorders>
          </w:tcPr>
          <w:p>
            <w:pPr>
              <w:pStyle w:val="TableParagraph"/>
              <w:spacing w:line="400" w:lineRule="auto"/>
              <w:ind w:left="448" w:right="3508" w:hanging="440"/>
              <w:rPr>
                <w:b/>
                <w:sz w:val="24"/>
              </w:rPr>
            </w:pPr>
            <w:r>
              <w:rPr>
                <w:sz w:val="24"/>
              </w:rPr>
              <w:t>机灌装，然后进行内外包装，最后成品入库待售。</w:t>
            </w:r>
            <w:bookmarkStart w:id="32" w:name="二、产排污环节"/>
            <w:bookmarkEnd w:id="32"/>
            <w:r>
              <w:rPr>
                <w:b/>
                <w:sz w:val="24"/>
              </w:rPr>
              <w:t>二、产排污环节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val="left" w:pos="1024"/>
              </w:tabs>
              <w:spacing w:before="0" w:after="0" w:line="262" w:lineRule="exact"/>
              <w:ind w:left="1023" w:right="0" w:hanging="578"/>
              <w:jc w:val="left"/>
              <w:rPr>
                <w:sz w:val="24"/>
              </w:rPr>
            </w:pPr>
            <w:bookmarkStart w:id="33" w:name="（1）废气"/>
            <w:bookmarkEnd w:id="33"/>
            <w:r>
              <w:rPr>
                <w:spacing w:val="-6"/>
                <w:sz w:val="24"/>
              </w:rPr>
              <w:t>废气</w:t>
            </w:r>
          </w:p>
          <w:p>
            <w:pPr>
              <w:pStyle w:val="TableParagraph"/>
              <w:spacing w:before="152" w:line="362" w:lineRule="auto"/>
              <w:ind w:left="9" w:right="-15" w:firstLine="480"/>
              <w:jc w:val="both"/>
              <w:rPr>
                <w:sz w:val="24"/>
              </w:rPr>
            </w:pPr>
            <w:r>
              <w:rPr>
                <w:sz w:val="24"/>
              </w:rPr>
              <w:t xml:space="preserve">拟建项目生产过程中产生的废气主要为干洗、粉碎、筛分工序产生的颗粒物， </w:t>
            </w:r>
            <w:r>
              <w:rPr>
                <w:position w:val="2"/>
                <w:sz w:val="24"/>
              </w:rPr>
              <w:t>熬煮过程产生的油烟，使用液化气过程中产生的颗粒物、</w:t>
            </w:r>
            <w:r>
              <w:rPr>
                <w:rFonts w:ascii="Times New Roman" w:eastAsia="Times New Roman"/>
                <w:position w:val="2"/>
                <w:sz w:val="24"/>
              </w:rPr>
              <w:t>SO</w:t>
            </w:r>
            <w:r>
              <w:rPr>
                <w:rFonts w:ascii="Times New Roman" w:eastAsia="Times New Roman"/>
                <w:position w:val="2"/>
                <w:sz w:val="24"/>
                <w:vertAlign w:val="subscript"/>
              </w:rPr>
              <w:t>2</w:t>
            </w:r>
            <w:r>
              <w:rPr>
                <w:position w:val="2"/>
                <w:sz w:val="24"/>
                <w:vertAlign w:val="baseline"/>
              </w:rPr>
              <w:t>、</w:t>
            </w:r>
            <w:r>
              <w:rPr>
                <w:rFonts w:ascii="Times New Roman" w:eastAsia="Times New Roman"/>
                <w:position w:val="2"/>
                <w:sz w:val="24"/>
                <w:vertAlign w:val="baseline"/>
              </w:rPr>
              <w:t>NOx</w:t>
            </w:r>
            <w:r>
              <w:rPr>
                <w:position w:val="2"/>
                <w:sz w:val="24"/>
                <w:vertAlign w:val="baseline"/>
              </w:rPr>
              <w:t>，生产过程中产</w:t>
            </w:r>
            <w:r>
              <w:rPr>
                <w:sz w:val="24"/>
                <w:vertAlign w:val="baseline"/>
              </w:rPr>
              <w:t>生的食物芳香恶臭以及污水处理过程中产生的恶臭。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val="left" w:pos="1024"/>
              </w:tabs>
              <w:spacing w:before="4" w:after="0" w:line="240" w:lineRule="auto"/>
              <w:ind w:left="1023" w:right="0" w:hanging="578"/>
              <w:jc w:val="left"/>
              <w:rPr>
                <w:sz w:val="24"/>
              </w:rPr>
            </w:pPr>
            <w:bookmarkStart w:id="34" w:name="（2）废水"/>
            <w:bookmarkEnd w:id="34"/>
            <w:r>
              <w:rPr>
                <w:spacing w:val="-6"/>
                <w:sz w:val="24"/>
              </w:rPr>
              <w:t>废水</w:t>
            </w:r>
          </w:p>
          <w:p>
            <w:pPr>
              <w:pStyle w:val="TableParagraph"/>
              <w:spacing w:before="161"/>
              <w:ind w:left="489"/>
              <w:rPr>
                <w:sz w:val="24"/>
              </w:rPr>
            </w:pPr>
            <w:r>
              <w:rPr>
                <w:sz w:val="24"/>
              </w:rPr>
              <w:t>拟建项目营运过程中主要产生清洗废水和生活污水。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val="left" w:pos="1024"/>
              </w:tabs>
              <w:spacing w:before="158" w:after="0" w:line="240" w:lineRule="auto"/>
              <w:ind w:left="1023" w:right="0" w:hanging="578"/>
              <w:jc w:val="left"/>
              <w:rPr>
                <w:sz w:val="24"/>
              </w:rPr>
            </w:pPr>
            <w:bookmarkStart w:id="35" w:name="（3）噪声"/>
            <w:bookmarkEnd w:id="35"/>
            <w:r>
              <w:rPr>
                <w:spacing w:val="-6"/>
                <w:sz w:val="24"/>
              </w:rPr>
              <w:t>噪声</w:t>
            </w:r>
          </w:p>
          <w:p>
            <w:pPr>
              <w:pStyle w:val="TableParagraph"/>
              <w:spacing w:before="158"/>
              <w:ind w:left="489" w:right="-15"/>
              <w:rPr>
                <w:sz w:val="24"/>
              </w:rPr>
            </w:pPr>
            <w:r>
              <w:rPr>
                <w:spacing w:val="18"/>
                <w:sz w:val="24"/>
              </w:rPr>
              <w:t>拟建项目噪声主要是粉碎机等设备和风机运转产生的噪声，噪声源强约为</w:t>
            </w:r>
          </w:p>
          <w:p>
            <w:pPr>
              <w:pStyle w:val="TableParagraph"/>
              <w:spacing w:before="160"/>
              <w:ind w:left="9"/>
              <w:rPr>
                <w:sz w:val="24"/>
              </w:rPr>
            </w:pPr>
            <w:r>
              <w:rPr>
                <w:rFonts w:ascii="Times New Roman" w:eastAsia="Times New Roman"/>
                <w:sz w:val="24"/>
              </w:rPr>
              <w:t>65~85dB(A)</w:t>
            </w:r>
            <w:r>
              <w:rPr>
                <w:sz w:val="24"/>
              </w:rPr>
              <w:t>左右。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val="left" w:pos="1024"/>
              </w:tabs>
              <w:spacing w:before="161" w:after="0" w:line="240" w:lineRule="auto"/>
              <w:ind w:left="1023" w:right="0" w:hanging="578"/>
              <w:jc w:val="left"/>
              <w:rPr>
                <w:sz w:val="24"/>
              </w:rPr>
            </w:pPr>
            <w:bookmarkStart w:id="36" w:name="（4）固废"/>
            <w:bookmarkEnd w:id="36"/>
            <w:r>
              <w:rPr>
                <w:spacing w:val="-6"/>
                <w:sz w:val="24"/>
              </w:rPr>
              <w:t>固废</w:t>
            </w:r>
          </w:p>
          <w:p>
            <w:pPr>
              <w:pStyle w:val="TableParagraph"/>
              <w:spacing w:before="158" w:line="364" w:lineRule="auto"/>
              <w:ind w:left="9" w:right="-15" w:firstLine="480"/>
              <w:jc w:val="both"/>
              <w:rPr>
                <w:sz w:val="24"/>
              </w:rPr>
            </w:pPr>
            <w:r>
              <w:rPr>
                <w:sz w:val="24"/>
              </w:rPr>
              <w:t>拟建项目在运营过程中产生的固体废物主要是废包装材料、杂质、布袋除尘器收集的粉尘、油烟净化器收集的废食用油、污水处理过程中产生的废污泥、格栅杂质、废油、气浮渣和生活垃圾。</w:t>
            </w:r>
          </w:p>
          <w:p>
            <w:pPr>
              <w:pStyle w:val="TableParagraph"/>
              <w:spacing w:line="307" w:lineRule="exact"/>
              <w:ind w:left="489"/>
              <w:rPr>
                <w:sz w:val="24"/>
              </w:rPr>
            </w:pPr>
            <w:bookmarkStart w:id="37" w:name="主要污染源及污染因子识别详见下表。"/>
            <w:bookmarkEnd w:id="37"/>
            <w:r>
              <w:rPr>
                <w:sz w:val="24"/>
              </w:rPr>
              <w:t>主要污染源及污染因子识别详见下表。</w:t>
            </w:r>
          </w:p>
          <w:p>
            <w:pPr>
              <w:pStyle w:val="TableParagraph"/>
              <w:spacing w:before="159" w:line="258" w:lineRule="exact"/>
              <w:ind w:left="409" w:right="38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表</w:t>
            </w:r>
            <w:r>
              <w:rPr>
                <w:rFonts w:ascii="Times New Roman" w:eastAsia="Times New Roman"/>
                <w:b/>
                <w:sz w:val="21"/>
              </w:rPr>
              <w:t xml:space="preserve">2-5 </w:t>
            </w:r>
            <w:r>
              <w:rPr>
                <w:b/>
                <w:sz w:val="21"/>
              </w:rPr>
              <w:t>运营期主要污染工序</w:t>
            </w:r>
          </w:p>
        </w:tc>
      </w:tr>
      <w:tr>
        <w:tblPrEx>
          <w:tblW w:w="0" w:type="auto"/>
          <w:tblInd w:w="13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/>
        </w:trPr>
        <w:tc>
          <w:tcPr>
            <w:tcW w:w="565" w:type="dxa"/>
            <w:vMerge/>
            <w:tcBorders>
              <w:top w:val="nil"/>
              <w:lef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53" w:type="dxa"/>
          </w:tcPr>
          <w:p>
            <w:pPr>
              <w:pStyle w:val="TableParagraph"/>
              <w:spacing w:before="55"/>
              <w:ind w:right="84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类别</w:t>
            </w:r>
          </w:p>
        </w:tc>
        <w:tc>
          <w:tcPr>
            <w:tcW w:w="1999" w:type="dxa"/>
          </w:tcPr>
          <w:p>
            <w:pPr>
              <w:pStyle w:val="TableParagraph"/>
              <w:spacing w:before="55"/>
              <w:ind w:left="197" w:right="179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编号</w:t>
            </w:r>
          </w:p>
        </w:tc>
        <w:tc>
          <w:tcPr>
            <w:tcW w:w="1200" w:type="dxa"/>
          </w:tcPr>
          <w:p>
            <w:pPr>
              <w:pStyle w:val="TableParagraph"/>
              <w:spacing w:before="55"/>
              <w:ind w:left="58" w:right="4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产污环节</w:t>
            </w:r>
          </w:p>
        </w:tc>
        <w:tc>
          <w:tcPr>
            <w:tcW w:w="1896" w:type="dxa"/>
          </w:tcPr>
          <w:p>
            <w:pPr>
              <w:pStyle w:val="TableParagraph"/>
              <w:spacing w:before="55"/>
              <w:ind w:left="51" w:right="3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主要污染因子</w:t>
            </w:r>
          </w:p>
        </w:tc>
        <w:tc>
          <w:tcPr>
            <w:tcW w:w="2863" w:type="dxa"/>
          </w:tcPr>
          <w:p>
            <w:pPr>
              <w:pStyle w:val="TableParagraph"/>
              <w:spacing w:before="55"/>
              <w:ind w:left="153" w:right="135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排放去向</w:t>
            </w:r>
          </w:p>
        </w:tc>
        <w:tc>
          <w:tcPr>
            <w:tcW w:w="105" w:type="dxa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blPrEx>
          <w:tblW w:w="0" w:type="auto"/>
          <w:tblInd w:w="13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/>
        </w:trPr>
        <w:tc>
          <w:tcPr>
            <w:tcW w:w="565" w:type="dxa"/>
            <w:vMerge/>
            <w:tcBorders>
              <w:top w:val="nil"/>
              <w:lef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3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8"/>
              <w:rPr>
                <w:sz w:val="15"/>
              </w:rPr>
            </w:pPr>
          </w:p>
          <w:p>
            <w:pPr>
              <w:pStyle w:val="TableParagraph"/>
              <w:ind w:left="119"/>
              <w:rPr>
                <w:sz w:val="21"/>
              </w:rPr>
            </w:pPr>
            <w:r>
              <w:rPr>
                <w:sz w:val="21"/>
              </w:rPr>
              <w:t>废气</w:t>
            </w:r>
          </w:p>
        </w:tc>
        <w:tc>
          <w:tcPr>
            <w:tcW w:w="1999" w:type="dxa"/>
          </w:tcPr>
          <w:p>
            <w:pPr>
              <w:pStyle w:val="TableParagraph"/>
              <w:spacing w:before="67"/>
              <w:ind w:left="196" w:right="179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105"/>
                <w:position w:val="2"/>
                <w:sz w:val="21"/>
              </w:rPr>
              <w:t>G</w:t>
            </w:r>
            <w:r>
              <w:rPr>
                <w:rFonts w:ascii="Times New Roman"/>
                <w:w w:val="105"/>
                <w:position w:val="2"/>
                <w:sz w:val="21"/>
                <w:vertAlign w:val="subscript"/>
              </w:rPr>
              <w:t>1-1</w:t>
            </w:r>
          </w:p>
        </w:tc>
        <w:tc>
          <w:tcPr>
            <w:tcW w:w="1200" w:type="dxa"/>
          </w:tcPr>
          <w:p>
            <w:pPr>
              <w:pStyle w:val="TableParagraph"/>
              <w:spacing w:before="56"/>
              <w:ind w:left="58" w:right="40"/>
              <w:jc w:val="center"/>
              <w:rPr>
                <w:sz w:val="21"/>
              </w:rPr>
            </w:pPr>
            <w:r>
              <w:rPr>
                <w:sz w:val="21"/>
              </w:rPr>
              <w:t>干洗</w:t>
            </w:r>
          </w:p>
        </w:tc>
        <w:tc>
          <w:tcPr>
            <w:tcW w:w="1896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ind w:left="637"/>
              <w:rPr>
                <w:sz w:val="21"/>
              </w:rPr>
            </w:pPr>
            <w:r>
              <w:rPr>
                <w:sz w:val="21"/>
              </w:rPr>
              <w:t>颗粒物</w:t>
            </w:r>
          </w:p>
        </w:tc>
        <w:tc>
          <w:tcPr>
            <w:tcW w:w="2863" w:type="dxa"/>
            <w:vMerge w:val="restart"/>
          </w:tcPr>
          <w:p>
            <w:pPr>
              <w:pStyle w:val="TableParagraph"/>
              <w:spacing w:before="4"/>
              <w:rPr>
                <w:sz w:val="25"/>
              </w:rPr>
            </w:pPr>
          </w:p>
          <w:p>
            <w:pPr>
              <w:pStyle w:val="TableParagraph"/>
              <w:spacing w:line="244" w:lineRule="auto"/>
              <w:ind w:left="100" w:right="81" w:firstLine="74"/>
              <w:rPr>
                <w:sz w:val="21"/>
              </w:rPr>
            </w:pPr>
            <w:r>
              <w:rPr>
                <w:sz w:val="21"/>
              </w:rPr>
              <w:t>经布袋除尘器处理后通过一根</w:t>
            </w:r>
            <w:r>
              <w:rPr>
                <w:rFonts w:ascii="Times New Roman" w:eastAsia="Times New Roman"/>
                <w:sz w:val="21"/>
              </w:rPr>
              <w:t>15m</w:t>
            </w:r>
            <w:r>
              <w:rPr>
                <w:sz w:val="21"/>
              </w:rPr>
              <w:t>高的排气筒</w:t>
            </w:r>
            <w:r>
              <w:rPr>
                <w:rFonts w:ascii="Times New Roman" w:eastAsia="Times New Roman"/>
                <w:sz w:val="21"/>
              </w:rPr>
              <w:t>DA001</w:t>
            </w:r>
            <w:r>
              <w:rPr>
                <w:sz w:val="21"/>
              </w:rPr>
              <w:t>排放</w:t>
            </w:r>
          </w:p>
        </w:tc>
        <w:tc>
          <w:tcPr>
            <w:tcW w:w="105" w:type="dxa"/>
            <w:vMerge w:val="restart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blPrEx>
          <w:tblW w:w="0" w:type="auto"/>
          <w:tblInd w:w="13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565" w:type="dxa"/>
            <w:vMerge/>
            <w:tcBorders>
              <w:top w:val="nil"/>
              <w:lef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</w:tcPr>
          <w:p>
            <w:pPr>
              <w:pStyle w:val="TableParagraph"/>
              <w:spacing w:before="51"/>
              <w:ind w:left="196" w:right="179"/>
              <w:jc w:val="center"/>
              <w:rPr>
                <w:rFonts w:ascii="Times New Roman" w:eastAsia="Times New Roman"/>
                <w:sz w:val="13"/>
              </w:rPr>
            </w:pPr>
            <w:r>
              <w:rPr>
                <w:rFonts w:ascii="Times New Roman" w:eastAsia="Times New Roman"/>
                <w:position w:val="2"/>
                <w:sz w:val="21"/>
              </w:rPr>
              <w:t>G</w:t>
            </w:r>
            <w:r>
              <w:rPr>
                <w:rFonts w:ascii="Times New Roman" w:eastAsia="Times New Roman"/>
                <w:sz w:val="13"/>
              </w:rPr>
              <w:t>1-2</w:t>
            </w:r>
            <w:r>
              <w:rPr>
                <w:position w:val="2"/>
                <w:sz w:val="21"/>
              </w:rPr>
              <w:t>、</w:t>
            </w:r>
            <w:r>
              <w:rPr>
                <w:rFonts w:ascii="Times New Roman" w:eastAsia="Times New Roman"/>
                <w:position w:val="2"/>
                <w:sz w:val="21"/>
              </w:rPr>
              <w:t>G</w:t>
            </w:r>
            <w:r>
              <w:rPr>
                <w:rFonts w:ascii="Times New Roman" w:eastAsia="Times New Roman"/>
                <w:sz w:val="13"/>
              </w:rPr>
              <w:t>2-1</w:t>
            </w:r>
          </w:p>
        </w:tc>
        <w:tc>
          <w:tcPr>
            <w:tcW w:w="1200" w:type="dxa"/>
          </w:tcPr>
          <w:p>
            <w:pPr>
              <w:pStyle w:val="TableParagraph"/>
              <w:spacing w:before="54"/>
              <w:ind w:left="58" w:right="40"/>
              <w:jc w:val="center"/>
              <w:rPr>
                <w:sz w:val="21"/>
              </w:rPr>
            </w:pPr>
            <w:r>
              <w:rPr>
                <w:sz w:val="21"/>
              </w:rPr>
              <w:t>粉碎</w:t>
            </w:r>
          </w:p>
        </w:tc>
        <w:tc>
          <w:tcPr>
            <w:tcW w:w="18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6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" w:type="dxa"/>
            <w:vMerge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13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/>
        </w:trPr>
        <w:tc>
          <w:tcPr>
            <w:tcW w:w="565" w:type="dxa"/>
            <w:vMerge/>
            <w:tcBorders>
              <w:top w:val="nil"/>
              <w:lef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</w:tcPr>
          <w:p>
            <w:pPr>
              <w:pStyle w:val="TableParagraph"/>
              <w:spacing w:before="66"/>
              <w:ind w:left="196" w:right="179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105"/>
                <w:position w:val="2"/>
                <w:sz w:val="21"/>
              </w:rPr>
              <w:t>G</w:t>
            </w:r>
            <w:r>
              <w:rPr>
                <w:rFonts w:ascii="Times New Roman"/>
                <w:w w:val="105"/>
                <w:position w:val="2"/>
                <w:sz w:val="21"/>
                <w:vertAlign w:val="subscript"/>
              </w:rPr>
              <w:t>1-3</w:t>
            </w:r>
          </w:p>
        </w:tc>
        <w:tc>
          <w:tcPr>
            <w:tcW w:w="1200" w:type="dxa"/>
          </w:tcPr>
          <w:p>
            <w:pPr>
              <w:pStyle w:val="TableParagraph"/>
              <w:spacing w:before="55"/>
              <w:ind w:left="58" w:right="40"/>
              <w:jc w:val="center"/>
              <w:rPr>
                <w:sz w:val="21"/>
              </w:rPr>
            </w:pPr>
            <w:r>
              <w:rPr>
                <w:sz w:val="21"/>
              </w:rPr>
              <w:t>筛分</w:t>
            </w:r>
          </w:p>
        </w:tc>
        <w:tc>
          <w:tcPr>
            <w:tcW w:w="18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6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" w:type="dxa"/>
            <w:vMerge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13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/>
        </w:trPr>
        <w:tc>
          <w:tcPr>
            <w:tcW w:w="565" w:type="dxa"/>
            <w:vMerge/>
            <w:tcBorders>
              <w:top w:val="nil"/>
              <w:lef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vMerge w:val="restart"/>
          </w:tcPr>
          <w:p>
            <w:pPr>
              <w:pStyle w:val="TableParagraph"/>
              <w:spacing w:before="5"/>
              <w:rPr>
                <w:sz w:val="24"/>
              </w:rPr>
            </w:pPr>
          </w:p>
          <w:p>
            <w:pPr>
              <w:pStyle w:val="TableParagraph"/>
              <w:ind w:left="294"/>
              <w:rPr>
                <w:rFonts w:ascii="Times New Roman" w:eastAsia="Times New Roman"/>
                <w:sz w:val="13"/>
              </w:rPr>
            </w:pPr>
            <w:r>
              <w:rPr>
                <w:rFonts w:ascii="Times New Roman" w:eastAsia="Times New Roman"/>
                <w:position w:val="2"/>
                <w:sz w:val="21"/>
              </w:rPr>
              <w:t>G</w:t>
            </w:r>
            <w:r>
              <w:rPr>
                <w:rFonts w:ascii="Times New Roman" w:eastAsia="Times New Roman"/>
                <w:sz w:val="13"/>
              </w:rPr>
              <w:t>3-1</w:t>
            </w:r>
            <w:r>
              <w:rPr>
                <w:position w:val="2"/>
                <w:sz w:val="21"/>
              </w:rPr>
              <w:t>、</w:t>
            </w:r>
            <w:r>
              <w:rPr>
                <w:rFonts w:ascii="Times New Roman" w:eastAsia="Times New Roman"/>
                <w:position w:val="2"/>
                <w:sz w:val="21"/>
              </w:rPr>
              <w:t>G</w:t>
            </w:r>
            <w:r>
              <w:rPr>
                <w:rFonts w:ascii="Times New Roman" w:eastAsia="Times New Roman"/>
                <w:sz w:val="13"/>
              </w:rPr>
              <w:t>4-1</w:t>
            </w:r>
            <w:r>
              <w:rPr>
                <w:position w:val="2"/>
                <w:sz w:val="21"/>
              </w:rPr>
              <w:t>、</w:t>
            </w:r>
            <w:r>
              <w:rPr>
                <w:rFonts w:ascii="Times New Roman" w:eastAsia="Times New Roman"/>
                <w:position w:val="2"/>
                <w:sz w:val="21"/>
              </w:rPr>
              <w:t>G</w:t>
            </w:r>
            <w:r>
              <w:rPr>
                <w:rFonts w:ascii="Times New Roman" w:eastAsia="Times New Roman"/>
                <w:sz w:val="13"/>
              </w:rPr>
              <w:t>5-1</w:t>
            </w:r>
          </w:p>
        </w:tc>
        <w:tc>
          <w:tcPr>
            <w:tcW w:w="1200" w:type="dxa"/>
          </w:tcPr>
          <w:p>
            <w:pPr>
              <w:pStyle w:val="TableParagraph"/>
              <w:spacing w:before="54"/>
              <w:ind w:left="58" w:right="40"/>
              <w:jc w:val="center"/>
              <w:rPr>
                <w:sz w:val="21"/>
              </w:rPr>
            </w:pPr>
            <w:r>
              <w:rPr>
                <w:sz w:val="21"/>
              </w:rPr>
              <w:t>熬煮</w:t>
            </w:r>
          </w:p>
        </w:tc>
        <w:tc>
          <w:tcPr>
            <w:tcW w:w="1896" w:type="dxa"/>
          </w:tcPr>
          <w:p>
            <w:pPr>
              <w:pStyle w:val="TableParagraph"/>
              <w:spacing w:before="54"/>
              <w:ind w:left="54" w:right="38"/>
              <w:jc w:val="center"/>
              <w:rPr>
                <w:sz w:val="21"/>
              </w:rPr>
            </w:pPr>
            <w:r>
              <w:rPr>
                <w:sz w:val="21"/>
              </w:rPr>
              <w:t>油烟、臭气浓度</w:t>
            </w:r>
          </w:p>
        </w:tc>
        <w:tc>
          <w:tcPr>
            <w:tcW w:w="2863" w:type="dxa"/>
            <w:vMerge w:val="restart"/>
          </w:tcPr>
          <w:p>
            <w:pPr>
              <w:pStyle w:val="TableParagraph"/>
              <w:spacing w:before="179" w:line="244" w:lineRule="auto"/>
              <w:ind w:left="100" w:right="81" w:firstLine="74"/>
              <w:rPr>
                <w:sz w:val="21"/>
              </w:rPr>
            </w:pPr>
            <w:r>
              <w:rPr>
                <w:sz w:val="21"/>
              </w:rPr>
              <w:t>经油烟净化器处理后通过一根</w:t>
            </w:r>
            <w:r>
              <w:rPr>
                <w:rFonts w:ascii="Times New Roman" w:eastAsia="Times New Roman"/>
                <w:sz w:val="21"/>
              </w:rPr>
              <w:t>15m</w:t>
            </w:r>
            <w:r>
              <w:rPr>
                <w:sz w:val="21"/>
              </w:rPr>
              <w:t>高的排气筒</w:t>
            </w:r>
            <w:r>
              <w:rPr>
                <w:rFonts w:ascii="Times New Roman" w:eastAsia="Times New Roman"/>
                <w:sz w:val="21"/>
              </w:rPr>
              <w:t>DA002</w:t>
            </w:r>
            <w:r>
              <w:rPr>
                <w:sz w:val="21"/>
              </w:rPr>
              <w:t>排放</w:t>
            </w:r>
          </w:p>
        </w:tc>
        <w:tc>
          <w:tcPr>
            <w:tcW w:w="105" w:type="dxa"/>
            <w:vMerge w:val="restart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blPrEx>
          <w:tblW w:w="0" w:type="auto"/>
          <w:tblInd w:w="13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3"/>
        </w:trPr>
        <w:tc>
          <w:tcPr>
            <w:tcW w:w="565" w:type="dxa"/>
            <w:vMerge/>
            <w:tcBorders>
              <w:top w:val="nil"/>
              <w:lef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</w:tcPr>
          <w:p>
            <w:pPr>
              <w:pStyle w:val="TableParagraph"/>
              <w:spacing w:before="113"/>
              <w:ind w:left="58" w:right="42"/>
              <w:jc w:val="center"/>
              <w:rPr>
                <w:sz w:val="21"/>
              </w:rPr>
            </w:pPr>
            <w:r>
              <w:rPr>
                <w:sz w:val="21"/>
              </w:rPr>
              <w:t>液化气燃烧</w:t>
            </w:r>
          </w:p>
        </w:tc>
        <w:tc>
          <w:tcPr>
            <w:tcW w:w="1896" w:type="dxa"/>
          </w:tcPr>
          <w:p>
            <w:pPr>
              <w:pStyle w:val="TableParagraph"/>
              <w:spacing w:line="264" w:lineRule="exact"/>
              <w:ind w:left="54" w:right="38"/>
              <w:jc w:val="center"/>
              <w:rPr>
                <w:sz w:val="21"/>
              </w:rPr>
            </w:pPr>
            <w:r>
              <w:rPr>
                <w:position w:val="2"/>
                <w:sz w:val="21"/>
              </w:rPr>
              <w:t>颗粒物、</w:t>
            </w:r>
            <w:r>
              <w:rPr>
                <w:rFonts w:ascii="Times New Roman" w:eastAsia="Times New Roman"/>
                <w:position w:val="2"/>
                <w:sz w:val="21"/>
              </w:rPr>
              <w:t>SO</w:t>
            </w:r>
            <w:r>
              <w:rPr>
                <w:rFonts w:ascii="Times New Roman" w:eastAsia="Times New Roman"/>
                <w:position w:val="2"/>
                <w:sz w:val="21"/>
                <w:vertAlign w:val="subscript"/>
              </w:rPr>
              <w:t>2</w:t>
            </w:r>
            <w:r>
              <w:rPr>
                <w:position w:val="2"/>
                <w:sz w:val="21"/>
                <w:vertAlign w:val="baseline"/>
              </w:rPr>
              <w:t>、</w:t>
            </w:r>
          </w:p>
          <w:p>
            <w:pPr>
              <w:pStyle w:val="TableParagraph"/>
              <w:spacing w:line="230" w:lineRule="exact"/>
              <w:ind w:left="55" w:right="38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NOx</w:t>
            </w:r>
          </w:p>
        </w:tc>
        <w:tc>
          <w:tcPr>
            <w:tcW w:w="286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" w:type="dxa"/>
            <w:vMerge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13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/>
        </w:trPr>
        <w:tc>
          <w:tcPr>
            <w:tcW w:w="565" w:type="dxa"/>
            <w:vMerge/>
            <w:tcBorders>
              <w:top w:val="nil"/>
              <w:lef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</w:tcPr>
          <w:p>
            <w:pPr>
              <w:pStyle w:val="TableParagraph"/>
              <w:spacing w:before="143"/>
              <w:ind w:left="18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9"/>
                <w:sz w:val="21"/>
              </w:rPr>
              <w:t>-</w:t>
            </w:r>
          </w:p>
        </w:tc>
        <w:tc>
          <w:tcPr>
            <w:tcW w:w="1200" w:type="dxa"/>
          </w:tcPr>
          <w:p>
            <w:pPr>
              <w:pStyle w:val="TableParagraph"/>
              <w:spacing w:before="129"/>
              <w:ind w:left="58" w:right="42"/>
              <w:jc w:val="center"/>
              <w:rPr>
                <w:sz w:val="21"/>
              </w:rPr>
            </w:pPr>
            <w:r>
              <w:rPr>
                <w:sz w:val="21"/>
              </w:rPr>
              <w:t>生产过程</w:t>
            </w:r>
          </w:p>
        </w:tc>
        <w:tc>
          <w:tcPr>
            <w:tcW w:w="1896" w:type="dxa"/>
          </w:tcPr>
          <w:p>
            <w:pPr>
              <w:pStyle w:val="TableParagraph"/>
              <w:spacing w:line="261" w:lineRule="exact"/>
              <w:ind w:left="217"/>
              <w:rPr>
                <w:sz w:val="21"/>
              </w:rPr>
            </w:pPr>
            <w:r>
              <w:rPr>
                <w:sz w:val="21"/>
              </w:rPr>
              <w:t>臭气浓度、颗粒</w:t>
            </w:r>
          </w:p>
          <w:p>
            <w:pPr>
              <w:pStyle w:val="TableParagraph"/>
              <w:spacing w:before="1" w:line="262" w:lineRule="exact"/>
              <w:ind w:left="263"/>
              <w:rPr>
                <w:rFonts w:ascii="Times New Roman" w:eastAsia="Times New Roman"/>
                <w:sz w:val="21"/>
              </w:rPr>
            </w:pPr>
            <w:r>
              <w:rPr>
                <w:position w:val="2"/>
                <w:sz w:val="21"/>
              </w:rPr>
              <w:t>物、</w:t>
            </w:r>
            <w:r>
              <w:rPr>
                <w:rFonts w:ascii="Times New Roman" w:eastAsia="Times New Roman"/>
                <w:position w:val="2"/>
                <w:sz w:val="21"/>
              </w:rPr>
              <w:t>SO</w:t>
            </w:r>
            <w:r>
              <w:rPr>
                <w:rFonts w:ascii="Times New Roman" w:eastAsia="Times New Roman"/>
                <w:position w:val="2"/>
                <w:sz w:val="21"/>
                <w:vertAlign w:val="subscript"/>
              </w:rPr>
              <w:t>2</w:t>
            </w:r>
            <w:r>
              <w:rPr>
                <w:position w:val="2"/>
                <w:sz w:val="21"/>
                <w:vertAlign w:val="baseline"/>
              </w:rPr>
              <w:t>、</w:t>
            </w:r>
            <w:r>
              <w:rPr>
                <w:rFonts w:ascii="Times New Roman" w:eastAsia="Times New Roman"/>
                <w:position w:val="2"/>
                <w:sz w:val="21"/>
                <w:vertAlign w:val="baseline"/>
              </w:rPr>
              <w:t>NOx</w:t>
            </w:r>
          </w:p>
        </w:tc>
        <w:tc>
          <w:tcPr>
            <w:tcW w:w="2863" w:type="dxa"/>
          </w:tcPr>
          <w:p>
            <w:pPr>
              <w:pStyle w:val="TableParagraph"/>
              <w:spacing w:before="129"/>
              <w:ind w:left="153" w:right="135"/>
              <w:jc w:val="center"/>
              <w:rPr>
                <w:sz w:val="21"/>
              </w:rPr>
            </w:pPr>
            <w:r>
              <w:rPr>
                <w:sz w:val="21"/>
              </w:rPr>
              <w:t>无组织排放</w:t>
            </w:r>
          </w:p>
        </w:tc>
        <w:tc>
          <w:tcPr>
            <w:tcW w:w="105" w:type="dxa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blPrEx>
          <w:tblW w:w="0" w:type="auto"/>
          <w:tblInd w:w="13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/>
        </w:trPr>
        <w:tc>
          <w:tcPr>
            <w:tcW w:w="565" w:type="dxa"/>
            <w:vMerge/>
            <w:tcBorders>
              <w:top w:val="nil"/>
              <w:lef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</w:tcPr>
          <w:p>
            <w:pPr>
              <w:pStyle w:val="TableParagraph"/>
              <w:spacing w:before="142"/>
              <w:ind w:left="18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9"/>
                <w:sz w:val="21"/>
              </w:rPr>
              <w:t>-</w:t>
            </w:r>
          </w:p>
        </w:tc>
        <w:tc>
          <w:tcPr>
            <w:tcW w:w="1200" w:type="dxa"/>
          </w:tcPr>
          <w:p>
            <w:pPr>
              <w:pStyle w:val="TableParagraph"/>
              <w:spacing w:before="126"/>
              <w:ind w:left="58" w:right="42"/>
              <w:jc w:val="center"/>
              <w:rPr>
                <w:sz w:val="21"/>
              </w:rPr>
            </w:pPr>
            <w:r>
              <w:rPr>
                <w:sz w:val="21"/>
              </w:rPr>
              <w:t>污水处理</w:t>
            </w:r>
          </w:p>
        </w:tc>
        <w:tc>
          <w:tcPr>
            <w:tcW w:w="1896" w:type="dxa"/>
          </w:tcPr>
          <w:p>
            <w:pPr>
              <w:pStyle w:val="TableParagraph"/>
              <w:spacing w:line="261" w:lineRule="exact"/>
              <w:ind w:left="54" w:right="38"/>
              <w:jc w:val="center"/>
              <w:rPr>
                <w:sz w:val="21"/>
              </w:rPr>
            </w:pPr>
            <w:r>
              <w:rPr>
                <w:sz w:val="21"/>
              </w:rPr>
              <w:t>臭气浓度、氨、硫</w:t>
            </w:r>
          </w:p>
          <w:p>
            <w:pPr>
              <w:pStyle w:val="TableParagraph"/>
              <w:spacing w:before="4" w:line="260" w:lineRule="exact"/>
              <w:ind w:left="56" w:right="38"/>
              <w:jc w:val="center"/>
              <w:rPr>
                <w:sz w:val="21"/>
              </w:rPr>
            </w:pPr>
            <w:r>
              <w:rPr>
                <w:sz w:val="21"/>
              </w:rPr>
              <w:t>化氢</w:t>
            </w:r>
          </w:p>
        </w:tc>
        <w:tc>
          <w:tcPr>
            <w:tcW w:w="2863" w:type="dxa"/>
          </w:tcPr>
          <w:p>
            <w:pPr>
              <w:pStyle w:val="TableParagraph"/>
              <w:spacing w:before="126"/>
              <w:ind w:left="153" w:right="135"/>
              <w:jc w:val="center"/>
              <w:rPr>
                <w:sz w:val="21"/>
              </w:rPr>
            </w:pPr>
            <w:r>
              <w:rPr>
                <w:sz w:val="21"/>
              </w:rPr>
              <w:t>无组织排放</w:t>
            </w:r>
          </w:p>
        </w:tc>
        <w:tc>
          <w:tcPr>
            <w:tcW w:w="105" w:type="dxa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blPrEx>
          <w:tblW w:w="0" w:type="auto"/>
          <w:tblInd w:w="13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7"/>
        </w:trPr>
        <w:tc>
          <w:tcPr>
            <w:tcW w:w="565" w:type="dxa"/>
            <w:vMerge/>
            <w:tcBorders>
              <w:top w:val="nil"/>
              <w:lef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3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2"/>
              <w:rPr>
                <w:sz w:val="22"/>
              </w:rPr>
            </w:pPr>
          </w:p>
          <w:p>
            <w:pPr>
              <w:pStyle w:val="TableParagraph"/>
              <w:ind w:left="119"/>
              <w:rPr>
                <w:sz w:val="21"/>
              </w:rPr>
            </w:pPr>
            <w:r>
              <w:rPr>
                <w:sz w:val="21"/>
              </w:rPr>
              <w:t>废水</w:t>
            </w:r>
          </w:p>
        </w:tc>
        <w:tc>
          <w:tcPr>
            <w:tcW w:w="1999" w:type="dxa"/>
          </w:tcPr>
          <w:p>
            <w:pPr>
              <w:pStyle w:val="TableParagraph"/>
              <w:spacing w:before="9"/>
              <w:rPr>
                <w:sz w:val="21"/>
              </w:rPr>
            </w:pPr>
          </w:p>
          <w:p>
            <w:pPr>
              <w:pStyle w:val="TableParagraph"/>
              <w:ind w:left="18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9"/>
                <w:sz w:val="21"/>
              </w:rPr>
              <w:t>-</w:t>
            </w:r>
          </w:p>
        </w:tc>
        <w:tc>
          <w:tcPr>
            <w:tcW w:w="1200" w:type="dxa"/>
          </w:tcPr>
          <w:p>
            <w:pPr>
              <w:pStyle w:val="TableParagraph"/>
              <w:spacing w:before="8"/>
              <w:rPr>
                <w:sz w:val="20"/>
              </w:rPr>
            </w:pPr>
          </w:p>
          <w:p>
            <w:pPr>
              <w:pStyle w:val="TableParagraph"/>
              <w:ind w:left="58" w:right="42"/>
              <w:jc w:val="center"/>
              <w:rPr>
                <w:sz w:val="21"/>
              </w:rPr>
            </w:pPr>
            <w:r>
              <w:rPr>
                <w:sz w:val="21"/>
              </w:rPr>
              <w:t>清洗废水</w:t>
            </w:r>
          </w:p>
        </w:tc>
        <w:tc>
          <w:tcPr>
            <w:tcW w:w="1896" w:type="dxa"/>
          </w:tcPr>
          <w:p>
            <w:pPr>
              <w:pStyle w:val="TableParagraph"/>
              <w:spacing w:line="260" w:lineRule="exact"/>
              <w:ind w:left="160" w:hanging="82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>pH</w:t>
            </w:r>
            <w:r>
              <w:rPr>
                <w:sz w:val="21"/>
              </w:rPr>
              <w:t>、</w:t>
            </w:r>
            <w:r>
              <w:rPr>
                <w:rFonts w:ascii="Times New Roman" w:eastAsia="Times New Roman"/>
                <w:sz w:val="21"/>
              </w:rPr>
              <w:t>COD</w:t>
            </w:r>
            <w:r>
              <w:rPr>
                <w:sz w:val="21"/>
              </w:rPr>
              <w:t>、氨氮、</w:t>
            </w:r>
          </w:p>
          <w:p>
            <w:pPr>
              <w:pStyle w:val="TableParagraph"/>
              <w:spacing w:before="28" w:line="254" w:lineRule="exact"/>
              <w:ind w:left="112" w:right="94" w:firstLine="48"/>
              <w:rPr>
                <w:sz w:val="21"/>
              </w:rPr>
            </w:pPr>
            <w:r>
              <w:rPr>
                <w:rFonts w:ascii="Times New Roman" w:eastAsia="Times New Roman"/>
                <w:position w:val="2"/>
                <w:sz w:val="21"/>
              </w:rPr>
              <w:t>BOD</w:t>
            </w:r>
            <w:r>
              <w:rPr>
                <w:rFonts w:ascii="Times New Roman" w:eastAsia="Times New Roman"/>
                <w:position w:val="2"/>
                <w:sz w:val="21"/>
                <w:vertAlign w:val="subscript"/>
              </w:rPr>
              <w:t>5</w:t>
            </w:r>
            <w:r>
              <w:rPr>
                <w:position w:val="2"/>
                <w:sz w:val="21"/>
                <w:vertAlign w:val="baseline"/>
              </w:rPr>
              <w:t>、</w:t>
            </w:r>
            <w:r>
              <w:rPr>
                <w:rFonts w:ascii="Times New Roman" w:eastAsia="Times New Roman"/>
                <w:position w:val="2"/>
                <w:sz w:val="21"/>
                <w:vertAlign w:val="baseline"/>
              </w:rPr>
              <w:t>SS</w:t>
            </w:r>
            <w:r>
              <w:rPr>
                <w:position w:val="2"/>
                <w:sz w:val="21"/>
                <w:vertAlign w:val="baseline"/>
              </w:rPr>
              <w:t>、动植</w:t>
            </w:r>
            <w:r>
              <w:rPr>
                <w:sz w:val="21"/>
                <w:vertAlign w:val="baseline"/>
              </w:rPr>
              <w:t>物油、色度、总磷</w:t>
            </w:r>
          </w:p>
        </w:tc>
        <w:tc>
          <w:tcPr>
            <w:tcW w:w="2863" w:type="dxa"/>
          </w:tcPr>
          <w:p>
            <w:pPr>
              <w:pStyle w:val="TableParagraph"/>
              <w:spacing w:before="128" w:line="242" w:lineRule="auto"/>
              <w:ind w:left="385" w:right="158" w:hanging="212"/>
              <w:rPr>
                <w:sz w:val="21"/>
              </w:rPr>
            </w:pPr>
            <w:r>
              <w:rPr>
                <w:sz w:val="21"/>
              </w:rPr>
              <w:t>经污水处理设备处理后用于道路洒水抑尘，不外排</w:t>
            </w:r>
          </w:p>
        </w:tc>
        <w:tc>
          <w:tcPr>
            <w:tcW w:w="105" w:type="dxa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blPrEx>
          <w:tblW w:w="0" w:type="auto"/>
          <w:tblInd w:w="13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/>
        </w:trPr>
        <w:tc>
          <w:tcPr>
            <w:tcW w:w="565" w:type="dxa"/>
            <w:vMerge/>
            <w:tcBorders>
              <w:top w:val="nil"/>
              <w:lef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</w:tcPr>
          <w:p>
            <w:pPr>
              <w:pStyle w:val="TableParagraph"/>
              <w:spacing w:before="142"/>
              <w:ind w:left="18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9"/>
                <w:sz w:val="21"/>
              </w:rPr>
              <w:t>-</w:t>
            </w:r>
          </w:p>
        </w:tc>
        <w:tc>
          <w:tcPr>
            <w:tcW w:w="1200" w:type="dxa"/>
          </w:tcPr>
          <w:p>
            <w:pPr>
              <w:pStyle w:val="TableParagraph"/>
              <w:spacing w:before="126"/>
              <w:ind w:left="58" w:right="42"/>
              <w:jc w:val="center"/>
              <w:rPr>
                <w:sz w:val="21"/>
              </w:rPr>
            </w:pPr>
            <w:r>
              <w:rPr>
                <w:sz w:val="21"/>
              </w:rPr>
              <w:t>生活污水</w:t>
            </w:r>
          </w:p>
        </w:tc>
        <w:tc>
          <w:tcPr>
            <w:tcW w:w="1896" w:type="dxa"/>
          </w:tcPr>
          <w:p>
            <w:pPr>
              <w:pStyle w:val="TableParagraph"/>
              <w:spacing w:line="261" w:lineRule="exact"/>
              <w:ind w:left="56" w:right="38"/>
              <w:jc w:val="center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>pH</w:t>
            </w:r>
            <w:r>
              <w:rPr>
                <w:sz w:val="21"/>
              </w:rPr>
              <w:t>、</w:t>
            </w:r>
            <w:r>
              <w:rPr>
                <w:rFonts w:ascii="Times New Roman" w:eastAsia="Times New Roman"/>
                <w:sz w:val="21"/>
              </w:rPr>
              <w:t>COD</w:t>
            </w:r>
            <w:r>
              <w:rPr>
                <w:sz w:val="21"/>
              </w:rPr>
              <w:t>、氨氮、</w:t>
            </w:r>
          </w:p>
          <w:p>
            <w:pPr>
              <w:pStyle w:val="TableParagraph"/>
              <w:spacing w:line="263" w:lineRule="exact"/>
              <w:ind w:left="52" w:right="38"/>
              <w:jc w:val="center"/>
              <w:rPr>
                <w:rFonts w:ascii="Times New Roman" w:eastAsia="Times New Roman"/>
                <w:sz w:val="21"/>
              </w:rPr>
            </w:pPr>
            <w:r>
              <w:rPr>
                <w:rFonts w:ascii="Times New Roman" w:eastAsia="Times New Roman"/>
                <w:position w:val="2"/>
                <w:sz w:val="21"/>
              </w:rPr>
              <w:t>BOD</w:t>
            </w:r>
            <w:r>
              <w:rPr>
                <w:rFonts w:ascii="Times New Roman" w:eastAsia="Times New Roman"/>
                <w:position w:val="2"/>
                <w:sz w:val="21"/>
                <w:vertAlign w:val="subscript"/>
              </w:rPr>
              <w:t>5</w:t>
            </w:r>
            <w:r>
              <w:rPr>
                <w:position w:val="2"/>
                <w:sz w:val="21"/>
                <w:vertAlign w:val="baseline"/>
              </w:rPr>
              <w:t>、</w:t>
            </w:r>
            <w:r>
              <w:rPr>
                <w:rFonts w:ascii="Times New Roman" w:eastAsia="Times New Roman"/>
                <w:position w:val="2"/>
                <w:sz w:val="21"/>
                <w:vertAlign w:val="baseline"/>
              </w:rPr>
              <w:t>SS</w:t>
            </w:r>
          </w:p>
        </w:tc>
        <w:tc>
          <w:tcPr>
            <w:tcW w:w="2863" w:type="dxa"/>
          </w:tcPr>
          <w:p>
            <w:pPr>
              <w:pStyle w:val="TableParagraph"/>
              <w:spacing w:line="261" w:lineRule="exact"/>
              <w:ind w:left="153" w:right="140"/>
              <w:jc w:val="center"/>
              <w:rPr>
                <w:sz w:val="21"/>
              </w:rPr>
            </w:pPr>
            <w:r>
              <w:rPr>
                <w:sz w:val="21"/>
              </w:rPr>
              <w:t>经化粪池沉淀后由环卫部门</w:t>
            </w:r>
          </w:p>
          <w:p>
            <w:pPr>
              <w:pStyle w:val="TableParagraph"/>
              <w:spacing w:before="2" w:line="261" w:lineRule="exact"/>
              <w:ind w:left="153" w:right="140"/>
              <w:jc w:val="center"/>
              <w:rPr>
                <w:sz w:val="21"/>
              </w:rPr>
            </w:pPr>
            <w:r>
              <w:rPr>
                <w:sz w:val="21"/>
              </w:rPr>
              <w:t>定期清掏，不外排</w:t>
            </w:r>
          </w:p>
        </w:tc>
        <w:tc>
          <w:tcPr>
            <w:tcW w:w="105" w:type="dxa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blPrEx>
          <w:tblW w:w="0" w:type="auto"/>
          <w:tblInd w:w="13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5"/>
        </w:trPr>
        <w:tc>
          <w:tcPr>
            <w:tcW w:w="565" w:type="dxa"/>
            <w:vMerge/>
            <w:tcBorders>
              <w:top w:val="nil"/>
              <w:lef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3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right="103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噪声</w:t>
            </w:r>
          </w:p>
        </w:tc>
        <w:tc>
          <w:tcPr>
            <w:tcW w:w="1999" w:type="dxa"/>
          </w:tcPr>
          <w:p>
            <w:pPr>
              <w:pStyle w:val="TableParagraph"/>
              <w:spacing w:line="258" w:lineRule="exact"/>
              <w:ind w:left="197" w:right="179"/>
              <w:jc w:val="center"/>
              <w:rPr>
                <w:rFonts w:ascii="Times New Roman" w:eastAsia="Times New Roman"/>
                <w:sz w:val="13"/>
              </w:rPr>
            </w:pPr>
            <w:r>
              <w:rPr>
                <w:rFonts w:ascii="Times New Roman" w:eastAsia="Times New Roman"/>
                <w:spacing w:val="-2"/>
                <w:position w:val="2"/>
                <w:sz w:val="21"/>
              </w:rPr>
              <w:t>N</w:t>
            </w:r>
            <w:r>
              <w:rPr>
                <w:rFonts w:ascii="Times New Roman" w:eastAsia="Times New Roman"/>
                <w:spacing w:val="-2"/>
                <w:sz w:val="13"/>
              </w:rPr>
              <w:t>1-1</w:t>
            </w:r>
            <w:r>
              <w:rPr>
                <w:rFonts w:ascii="Times New Roman" w:eastAsia="Times New Roman"/>
                <w:spacing w:val="-2"/>
                <w:position w:val="2"/>
                <w:sz w:val="21"/>
              </w:rPr>
              <w:t>-N</w:t>
            </w:r>
            <w:r>
              <w:rPr>
                <w:rFonts w:ascii="Times New Roman" w:eastAsia="Times New Roman"/>
                <w:spacing w:val="-2"/>
                <w:sz w:val="13"/>
              </w:rPr>
              <w:t>1-8</w:t>
            </w:r>
            <w:r>
              <w:rPr>
                <w:spacing w:val="-1"/>
                <w:position w:val="2"/>
                <w:sz w:val="21"/>
              </w:rPr>
              <w:t>、</w:t>
            </w:r>
            <w:r>
              <w:rPr>
                <w:rFonts w:ascii="Times New Roman" w:eastAsia="Times New Roman"/>
                <w:spacing w:val="-1"/>
                <w:position w:val="2"/>
                <w:sz w:val="21"/>
              </w:rPr>
              <w:t>N</w:t>
            </w:r>
            <w:r>
              <w:rPr>
                <w:rFonts w:ascii="Times New Roman" w:eastAsia="Times New Roman"/>
                <w:spacing w:val="-1"/>
                <w:sz w:val="13"/>
              </w:rPr>
              <w:t>2-1</w:t>
            </w:r>
            <w:r>
              <w:rPr>
                <w:rFonts w:ascii="Times New Roman" w:eastAsia="Times New Roman"/>
                <w:spacing w:val="-1"/>
                <w:position w:val="2"/>
                <w:sz w:val="21"/>
              </w:rPr>
              <w:t>-N</w:t>
            </w:r>
            <w:r>
              <w:rPr>
                <w:rFonts w:ascii="Times New Roman" w:eastAsia="Times New Roman"/>
                <w:spacing w:val="-1"/>
                <w:sz w:val="13"/>
              </w:rPr>
              <w:t>2-</w:t>
            </w:r>
          </w:p>
          <w:p>
            <w:pPr>
              <w:pStyle w:val="TableParagraph"/>
              <w:spacing w:before="4"/>
              <w:ind w:left="197" w:right="179"/>
              <w:jc w:val="center"/>
              <w:rPr>
                <w:rFonts w:ascii="Times New Roman" w:eastAsia="Times New Roman"/>
                <w:sz w:val="21"/>
              </w:rPr>
            </w:pPr>
            <w:r>
              <w:rPr>
                <w:rFonts w:ascii="Times New Roman" w:eastAsia="Times New Roman"/>
                <w:spacing w:val="-2"/>
                <w:sz w:val="13"/>
              </w:rPr>
              <w:t>6</w:t>
            </w:r>
            <w:r>
              <w:rPr>
                <w:spacing w:val="-2"/>
                <w:position w:val="2"/>
                <w:sz w:val="21"/>
              </w:rPr>
              <w:t>、</w:t>
            </w:r>
            <w:r>
              <w:rPr>
                <w:rFonts w:ascii="Times New Roman" w:eastAsia="Times New Roman"/>
                <w:spacing w:val="-2"/>
                <w:position w:val="2"/>
                <w:sz w:val="21"/>
              </w:rPr>
              <w:t>N</w:t>
            </w:r>
            <w:r>
              <w:rPr>
                <w:rFonts w:ascii="Times New Roman" w:eastAsia="Times New Roman"/>
                <w:spacing w:val="-2"/>
                <w:sz w:val="13"/>
              </w:rPr>
              <w:t>3-1</w:t>
            </w:r>
            <w:r>
              <w:rPr>
                <w:rFonts w:ascii="Times New Roman" w:eastAsia="Times New Roman"/>
                <w:spacing w:val="-2"/>
                <w:position w:val="2"/>
                <w:sz w:val="21"/>
              </w:rPr>
              <w:t>-N</w:t>
            </w:r>
            <w:r>
              <w:rPr>
                <w:rFonts w:ascii="Times New Roman" w:eastAsia="Times New Roman"/>
                <w:spacing w:val="-2"/>
                <w:sz w:val="13"/>
              </w:rPr>
              <w:t>3-4</w:t>
            </w:r>
            <w:r>
              <w:rPr>
                <w:spacing w:val="-1"/>
                <w:position w:val="2"/>
                <w:sz w:val="21"/>
              </w:rPr>
              <w:t>、</w:t>
            </w:r>
            <w:r>
              <w:rPr>
                <w:rFonts w:ascii="Times New Roman" w:eastAsia="Times New Roman"/>
                <w:spacing w:val="-1"/>
                <w:position w:val="2"/>
                <w:sz w:val="21"/>
              </w:rPr>
              <w:t>N</w:t>
            </w:r>
            <w:r>
              <w:rPr>
                <w:rFonts w:ascii="Times New Roman" w:eastAsia="Times New Roman"/>
                <w:spacing w:val="-1"/>
                <w:sz w:val="13"/>
              </w:rPr>
              <w:t>4-1</w:t>
            </w:r>
            <w:r>
              <w:rPr>
                <w:rFonts w:ascii="Times New Roman" w:eastAsia="Times New Roman"/>
                <w:spacing w:val="-1"/>
                <w:position w:val="2"/>
                <w:sz w:val="21"/>
              </w:rPr>
              <w:t>-</w:t>
            </w:r>
          </w:p>
          <w:p>
            <w:pPr>
              <w:pStyle w:val="TableParagraph"/>
              <w:spacing w:before="2" w:line="261" w:lineRule="exact"/>
              <w:ind w:left="196" w:right="179"/>
              <w:jc w:val="center"/>
              <w:rPr>
                <w:rFonts w:ascii="Times New Roman" w:eastAsia="Times New Roman"/>
                <w:sz w:val="13"/>
              </w:rPr>
            </w:pPr>
            <w:r>
              <w:rPr>
                <w:rFonts w:ascii="Times New Roman" w:eastAsia="Times New Roman"/>
                <w:position w:val="2"/>
                <w:sz w:val="21"/>
              </w:rPr>
              <w:t>N</w:t>
            </w:r>
            <w:r>
              <w:rPr>
                <w:rFonts w:ascii="Times New Roman" w:eastAsia="Times New Roman"/>
                <w:sz w:val="13"/>
              </w:rPr>
              <w:t>4-3</w:t>
            </w:r>
            <w:r>
              <w:rPr>
                <w:position w:val="2"/>
                <w:sz w:val="21"/>
              </w:rPr>
              <w:t>、</w:t>
            </w:r>
            <w:r>
              <w:rPr>
                <w:rFonts w:ascii="Times New Roman" w:eastAsia="Times New Roman"/>
                <w:position w:val="2"/>
                <w:sz w:val="21"/>
              </w:rPr>
              <w:t>N</w:t>
            </w:r>
            <w:r>
              <w:rPr>
                <w:rFonts w:ascii="Times New Roman" w:eastAsia="Times New Roman"/>
                <w:sz w:val="13"/>
              </w:rPr>
              <w:t>5-1</w:t>
            </w:r>
            <w:r>
              <w:rPr>
                <w:rFonts w:ascii="Times New Roman" w:eastAsia="Times New Roman"/>
                <w:position w:val="2"/>
                <w:sz w:val="21"/>
              </w:rPr>
              <w:t>-N</w:t>
            </w:r>
            <w:r>
              <w:rPr>
                <w:rFonts w:ascii="Times New Roman" w:eastAsia="Times New Roman"/>
                <w:sz w:val="13"/>
              </w:rPr>
              <w:t>5-4</w:t>
            </w:r>
          </w:p>
        </w:tc>
        <w:tc>
          <w:tcPr>
            <w:tcW w:w="1200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58" w:right="42"/>
              <w:jc w:val="center"/>
              <w:rPr>
                <w:sz w:val="21"/>
              </w:rPr>
            </w:pPr>
            <w:r>
              <w:rPr>
                <w:sz w:val="21"/>
              </w:rPr>
              <w:t>设备运行</w:t>
            </w:r>
          </w:p>
        </w:tc>
        <w:tc>
          <w:tcPr>
            <w:tcW w:w="1896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56" w:right="38"/>
              <w:jc w:val="center"/>
              <w:rPr>
                <w:sz w:val="21"/>
              </w:rPr>
            </w:pPr>
            <w:r>
              <w:rPr>
                <w:sz w:val="21"/>
              </w:rPr>
              <w:t>噪声</w:t>
            </w:r>
          </w:p>
        </w:tc>
        <w:tc>
          <w:tcPr>
            <w:tcW w:w="2863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153" w:right="137"/>
              <w:jc w:val="center"/>
              <w:rPr>
                <w:sz w:val="21"/>
              </w:rPr>
            </w:pPr>
            <w:r>
              <w:rPr>
                <w:sz w:val="21"/>
              </w:rPr>
              <w:t>噪声</w:t>
            </w:r>
          </w:p>
        </w:tc>
        <w:tc>
          <w:tcPr>
            <w:tcW w:w="105" w:type="dxa"/>
            <w:tcBorders>
              <w:top w:val="nil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spacing w:after="0"/>
        <w:rPr>
          <w:rFonts w:ascii="Times New Roman"/>
          <w:sz w:val="20"/>
        </w:rPr>
        <w:sectPr>
          <w:footerReference w:type="default" r:id="rId28"/>
          <w:pgSz w:w="11910" w:h="16850"/>
          <w:pgMar w:top="1540" w:right="1140" w:bottom="740" w:left="1140" w:header="0" w:footer="546" w:gutter="0"/>
          <w:pgNumType w:start="17"/>
          <w:cols w:num="1" w:space="720"/>
        </w:sectPr>
      </w:pPr>
    </w:p>
    <w:tbl>
      <w:tblPr>
        <w:tblStyle w:val="TableNormal"/>
        <w:tblW w:w="0" w:type="auto"/>
        <w:tblInd w:w="1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5"/>
        <w:gridCol w:w="99"/>
        <w:gridCol w:w="653"/>
        <w:gridCol w:w="1999"/>
        <w:gridCol w:w="1200"/>
        <w:gridCol w:w="1896"/>
        <w:gridCol w:w="2863"/>
        <w:gridCol w:w="105"/>
      </w:tblGrid>
      <w:tr>
        <w:tblPrEx>
          <w:tblW w:w="0" w:type="auto"/>
          <w:tblInd w:w="136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/>
        </w:trPr>
        <w:tc>
          <w:tcPr>
            <w:tcW w:w="565" w:type="dxa"/>
            <w:vMerge w:val="restart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" w:type="dxa"/>
            <w:vMerge w:val="restart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53" w:type="dxa"/>
            <w:vMerge w:val="restart"/>
            <w:tcBorders>
              <w:top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4"/>
              <w:rPr>
                <w:sz w:val="28"/>
              </w:rPr>
            </w:pPr>
          </w:p>
          <w:p>
            <w:pPr>
              <w:pStyle w:val="TableParagraph"/>
              <w:spacing w:line="242" w:lineRule="auto"/>
              <w:ind w:left="119" w:right="103"/>
              <w:rPr>
                <w:sz w:val="21"/>
              </w:rPr>
            </w:pPr>
            <w:r>
              <w:rPr>
                <w:sz w:val="21"/>
              </w:rPr>
              <w:t>固体废物</w:t>
            </w:r>
          </w:p>
        </w:tc>
        <w:tc>
          <w:tcPr>
            <w:tcW w:w="1999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51"/>
              <w:ind w:left="196" w:right="179"/>
              <w:jc w:val="center"/>
              <w:rPr>
                <w:rFonts w:ascii="Times New Roman" w:eastAsia="Times New Roman"/>
                <w:sz w:val="13"/>
              </w:rPr>
            </w:pPr>
            <w:r>
              <w:rPr>
                <w:rFonts w:ascii="Times New Roman" w:eastAsia="Times New Roman"/>
                <w:position w:val="2"/>
                <w:sz w:val="21"/>
              </w:rPr>
              <w:t>S</w:t>
            </w:r>
            <w:r>
              <w:rPr>
                <w:rFonts w:ascii="Times New Roman" w:eastAsia="Times New Roman"/>
                <w:sz w:val="13"/>
              </w:rPr>
              <w:t>1-1</w:t>
            </w:r>
            <w:r>
              <w:rPr>
                <w:position w:val="2"/>
                <w:sz w:val="21"/>
              </w:rPr>
              <w:t>、</w:t>
            </w:r>
            <w:r>
              <w:rPr>
                <w:rFonts w:ascii="Times New Roman" w:eastAsia="Times New Roman"/>
                <w:position w:val="2"/>
                <w:sz w:val="21"/>
              </w:rPr>
              <w:t>S</w:t>
            </w:r>
            <w:r>
              <w:rPr>
                <w:rFonts w:ascii="Times New Roman" w:eastAsia="Times New Roman"/>
                <w:sz w:val="13"/>
              </w:rPr>
              <w:t>2-1</w:t>
            </w:r>
          </w:p>
        </w:tc>
        <w:tc>
          <w:tcPr>
            <w:tcW w:w="1200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54"/>
              <w:ind w:left="58" w:right="40"/>
              <w:jc w:val="center"/>
              <w:rPr>
                <w:sz w:val="21"/>
              </w:rPr>
            </w:pPr>
            <w:r>
              <w:rPr>
                <w:sz w:val="21"/>
              </w:rPr>
              <w:t>去杂</w:t>
            </w:r>
          </w:p>
        </w:tc>
        <w:tc>
          <w:tcPr>
            <w:tcW w:w="1896" w:type="dxa"/>
            <w:vMerge w:val="restart"/>
            <w:tcBorders>
              <w:top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52"/>
              <w:ind w:left="56" w:right="38"/>
              <w:jc w:val="center"/>
              <w:rPr>
                <w:sz w:val="21"/>
              </w:rPr>
            </w:pPr>
            <w:r>
              <w:rPr>
                <w:sz w:val="21"/>
              </w:rPr>
              <w:t>杂质</w:t>
            </w:r>
          </w:p>
        </w:tc>
        <w:tc>
          <w:tcPr>
            <w:tcW w:w="2863" w:type="dxa"/>
            <w:vMerge w:val="restart"/>
            <w:tcBorders>
              <w:top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52"/>
              <w:ind w:left="911"/>
              <w:rPr>
                <w:sz w:val="21"/>
              </w:rPr>
            </w:pPr>
            <w:r>
              <w:rPr>
                <w:sz w:val="21"/>
              </w:rPr>
              <w:t>收集后外售</w:t>
            </w:r>
          </w:p>
        </w:tc>
        <w:tc>
          <w:tcPr>
            <w:tcW w:w="105" w:type="dxa"/>
            <w:vMerge w:val="restart"/>
            <w:tcBorders>
              <w:bottom w:val="nil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blPrEx>
          <w:tblW w:w="0" w:type="auto"/>
          <w:tblInd w:w="13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565" w:type="dxa"/>
            <w:vMerge/>
            <w:tcBorders>
              <w:top w:val="nil"/>
              <w:lef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</w:tcPr>
          <w:p>
            <w:pPr>
              <w:pStyle w:val="TableParagraph"/>
              <w:spacing w:before="66"/>
              <w:ind w:left="196" w:right="179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105"/>
                <w:position w:val="2"/>
                <w:sz w:val="21"/>
              </w:rPr>
              <w:t>S</w:t>
            </w:r>
            <w:r>
              <w:rPr>
                <w:rFonts w:ascii="Times New Roman"/>
                <w:w w:val="105"/>
                <w:position w:val="2"/>
                <w:sz w:val="21"/>
                <w:vertAlign w:val="subscript"/>
              </w:rPr>
              <w:t>1-2</w:t>
            </w:r>
          </w:p>
        </w:tc>
        <w:tc>
          <w:tcPr>
            <w:tcW w:w="1200" w:type="dxa"/>
          </w:tcPr>
          <w:p>
            <w:pPr>
              <w:pStyle w:val="TableParagraph"/>
              <w:spacing w:before="56"/>
              <w:ind w:left="58" w:right="40"/>
              <w:jc w:val="center"/>
              <w:rPr>
                <w:sz w:val="21"/>
              </w:rPr>
            </w:pPr>
            <w:r>
              <w:rPr>
                <w:sz w:val="21"/>
              </w:rPr>
              <w:t>干洗</w:t>
            </w:r>
          </w:p>
        </w:tc>
        <w:tc>
          <w:tcPr>
            <w:tcW w:w="18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6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" w:type="dxa"/>
            <w:vMerge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13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/>
        </w:trPr>
        <w:tc>
          <w:tcPr>
            <w:tcW w:w="565" w:type="dxa"/>
            <w:vMerge/>
            <w:tcBorders>
              <w:top w:val="nil"/>
              <w:lef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</w:tcPr>
          <w:p>
            <w:pPr>
              <w:pStyle w:val="TableParagraph"/>
              <w:spacing w:before="51"/>
              <w:ind w:left="196" w:right="179"/>
              <w:jc w:val="center"/>
              <w:rPr>
                <w:rFonts w:ascii="Times New Roman" w:eastAsia="Times New Roman"/>
                <w:sz w:val="13"/>
              </w:rPr>
            </w:pPr>
            <w:r>
              <w:rPr>
                <w:rFonts w:ascii="Times New Roman" w:eastAsia="Times New Roman"/>
                <w:position w:val="2"/>
                <w:sz w:val="21"/>
              </w:rPr>
              <w:t>S</w:t>
            </w:r>
            <w:r>
              <w:rPr>
                <w:rFonts w:ascii="Times New Roman" w:eastAsia="Times New Roman"/>
                <w:sz w:val="13"/>
              </w:rPr>
              <w:t>3-1</w:t>
            </w:r>
            <w:r>
              <w:rPr>
                <w:position w:val="2"/>
                <w:sz w:val="21"/>
              </w:rPr>
              <w:t>、</w:t>
            </w:r>
            <w:r>
              <w:rPr>
                <w:rFonts w:ascii="Times New Roman" w:eastAsia="Times New Roman"/>
                <w:position w:val="2"/>
                <w:sz w:val="21"/>
              </w:rPr>
              <w:t>S</w:t>
            </w:r>
            <w:r>
              <w:rPr>
                <w:rFonts w:ascii="Times New Roman" w:eastAsia="Times New Roman"/>
                <w:sz w:val="13"/>
              </w:rPr>
              <w:t>5-1</w:t>
            </w:r>
          </w:p>
        </w:tc>
        <w:tc>
          <w:tcPr>
            <w:tcW w:w="1200" w:type="dxa"/>
          </w:tcPr>
          <w:p>
            <w:pPr>
              <w:pStyle w:val="TableParagraph"/>
              <w:spacing w:before="54"/>
              <w:ind w:left="58" w:right="40"/>
              <w:jc w:val="center"/>
              <w:rPr>
                <w:sz w:val="21"/>
              </w:rPr>
            </w:pPr>
            <w:r>
              <w:rPr>
                <w:sz w:val="21"/>
              </w:rPr>
              <w:t>分拣</w:t>
            </w:r>
          </w:p>
        </w:tc>
        <w:tc>
          <w:tcPr>
            <w:tcW w:w="18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6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" w:type="dxa"/>
            <w:vMerge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13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/>
        </w:trPr>
        <w:tc>
          <w:tcPr>
            <w:tcW w:w="565" w:type="dxa"/>
            <w:vMerge/>
            <w:tcBorders>
              <w:top w:val="nil"/>
              <w:lef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</w:tcPr>
          <w:p>
            <w:pPr>
              <w:pStyle w:val="TableParagraph"/>
              <w:spacing w:before="66"/>
              <w:ind w:left="196" w:right="179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105"/>
                <w:position w:val="2"/>
                <w:sz w:val="21"/>
              </w:rPr>
              <w:t>S</w:t>
            </w:r>
            <w:r>
              <w:rPr>
                <w:rFonts w:ascii="Times New Roman"/>
                <w:w w:val="105"/>
                <w:position w:val="2"/>
                <w:sz w:val="21"/>
                <w:vertAlign w:val="subscript"/>
              </w:rPr>
              <w:t>5-2</w:t>
            </w:r>
          </w:p>
        </w:tc>
        <w:tc>
          <w:tcPr>
            <w:tcW w:w="1200" w:type="dxa"/>
          </w:tcPr>
          <w:p>
            <w:pPr>
              <w:pStyle w:val="TableParagraph"/>
              <w:spacing w:before="55"/>
              <w:ind w:left="58" w:right="40"/>
              <w:jc w:val="center"/>
              <w:rPr>
                <w:sz w:val="21"/>
              </w:rPr>
            </w:pPr>
            <w:r>
              <w:rPr>
                <w:sz w:val="21"/>
              </w:rPr>
              <w:t>过滤</w:t>
            </w:r>
          </w:p>
        </w:tc>
        <w:tc>
          <w:tcPr>
            <w:tcW w:w="18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6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" w:type="dxa"/>
            <w:vMerge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13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/>
        </w:trPr>
        <w:tc>
          <w:tcPr>
            <w:tcW w:w="565" w:type="dxa"/>
            <w:vMerge/>
            <w:tcBorders>
              <w:top w:val="nil"/>
              <w:lef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</w:tcPr>
          <w:p>
            <w:pPr>
              <w:pStyle w:val="TableParagraph"/>
              <w:spacing w:before="68"/>
              <w:ind w:left="18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9"/>
                <w:sz w:val="21"/>
              </w:rPr>
              <w:t>-</w:t>
            </w:r>
          </w:p>
        </w:tc>
        <w:tc>
          <w:tcPr>
            <w:tcW w:w="1200" w:type="dxa"/>
          </w:tcPr>
          <w:p>
            <w:pPr>
              <w:pStyle w:val="TableParagraph"/>
              <w:spacing w:before="54"/>
              <w:ind w:left="58" w:right="42"/>
              <w:jc w:val="center"/>
              <w:rPr>
                <w:sz w:val="21"/>
              </w:rPr>
            </w:pPr>
            <w:r>
              <w:rPr>
                <w:sz w:val="21"/>
              </w:rPr>
              <w:t>职工生活</w:t>
            </w:r>
          </w:p>
        </w:tc>
        <w:tc>
          <w:tcPr>
            <w:tcW w:w="1896" w:type="dxa"/>
          </w:tcPr>
          <w:p>
            <w:pPr>
              <w:pStyle w:val="TableParagraph"/>
              <w:spacing w:before="54"/>
              <w:ind w:left="54" w:right="38"/>
              <w:jc w:val="center"/>
              <w:rPr>
                <w:sz w:val="21"/>
              </w:rPr>
            </w:pPr>
            <w:r>
              <w:rPr>
                <w:sz w:val="21"/>
              </w:rPr>
              <w:t>生活垃圾</w:t>
            </w:r>
          </w:p>
        </w:tc>
        <w:tc>
          <w:tcPr>
            <w:tcW w:w="2863" w:type="dxa"/>
          </w:tcPr>
          <w:p>
            <w:pPr>
              <w:pStyle w:val="TableParagraph"/>
              <w:spacing w:before="54"/>
              <w:ind w:left="153" w:right="135"/>
              <w:jc w:val="center"/>
              <w:rPr>
                <w:sz w:val="21"/>
              </w:rPr>
            </w:pPr>
            <w:r>
              <w:rPr>
                <w:sz w:val="21"/>
              </w:rPr>
              <w:t>由环卫部门定期清运</w:t>
            </w:r>
          </w:p>
        </w:tc>
        <w:tc>
          <w:tcPr>
            <w:tcW w:w="105" w:type="dxa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blPrEx>
          <w:tblW w:w="0" w:type="auto"/>
          <w:tblInd w:w="13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/>
        </w:trPr>
        <w:tc>
          <w:tcPr>
            <w:tcW w:w="565" w:type="dxa"/>
            <w:vMerge/>
            <w:tcBorders>
              <w:top w:val="nil"/>
              <w:lef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</w:tcPr>
          <w:p>
            <w:pPr>
              <w:pStyle w:val="TableParagraph"/>
              <w:spacing w:before="69"/>
              <w:ind w:left="18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9"/>
                <w:sz w:val="21"/>
              </w:rPr>
              <w:t>-</w:t>
            </w:r>
          </w:p>
        </w:tc>
        <w:tc>
          <w:tcPr>
            <w:tcW w:w="1200" w:type="dxa"/>
          </w:tcPr>
          <w:p>
            <w:pPr>
              <w:pStyle w:val="TableParagraph"/>
              <w:spacing w:before="55"/>
              <w:ind w:left="58" w:right="42"/>
              <w:jc w:val="center"/>
              <w:rPr>
                <w:sz w:val="21"/>
              </w:rPr>
            </w:pPr>
            <w:r>
              <w:rPr>
                <w:sz w:val="21"/>
              </w:rPr>
              <w:t>布袋除尘器</w:t>
            </w:r>
          </w:p>
        </w:tc>
        <w:tc>
          <w:tcPr>
            <w:tcW w:w="1896" w:type="dxa"/>
          </w:tcPr>
          <w:p>
            <w:pPr>
              <w:pStyle w:val="TableParagraph"/>
              <w:spacing w:before="55"/>
              <w:ind w:left="56" w:right="38"/>
              <w:jc w:val="center"/>
              <w:rPr>
                <w:sz w:val="21"/>
              </w:rPr>
            </w:pPr>
            <w:r>
              <w:rPr>
                <w:sz w:val="21"/>
              </w:rPr>
              <w:t>粉尘</w:t>
            </w:r>
          </w:p>
        </w:tc>
        <w:tc>
          <w:tcPr>
            <w:tcW w:w="2863" w:type="dxa"/>
          </w:tcPr>
          <w:p>
            <w:pPr>
              <w:pStyle w:val="TableParagraph"/>
              <w:spacing w:before="55"/>
              <w:ind w:left="153" w:right="135"/>
              <w:jc w:val="center"/>
              <w:rPr>
                <w:sz w:val="21"/>
              </w:rPr>
            </w:pPr>
            <w:r>
              <w:rPr>
                <w:sz w:val="21"/>
              </w:rPr>
              <w:t>收集后外售</w:t>
            </w:r>
          </w:p>
        </w:tc>
        <w:tc>
          <w:tcPr>
            <w:tcW w:w="105" w:type="dxa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blPrEx>
          <w:tblW w:w="0" w:type="auto"/>
          <w:tblInd w:w="13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565" w:type="dxa"/>
            <w:vMerge/>
            <w:tcBorders>
              <w:top w:val="nil"/>
              <w:lef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</w:tcPr>
          <w:p>
            <w:pPr>
              <w:pStyle w:val="TableParagraph"/>
              <w:spacing w:before="70"/>
              <w:ind w:left="18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9"/>
                <w:sz w:val="21"/>
              </w:rPr>
              <w:t>-</w:t>
            </w:r>
          </w:p>
        </w:tc>
        <w:tc>
          <w:tcPr>
            <w:tcW w:w="1200" w:type="dxa"/>
          </w:tcPr>
          <w:p>
            <w:pPr>
              <w:pStyle w:val="TableParagraph"/>
              <w:spacing w:before="56"/>
              <w:ind w:left="58" w:right="42"/>
              <w:jc w:val="center"/>
              <w:rPr>
                <w:sz w:val="21"/>
              </w:rPr>
            </w:pPr>
            <w:r>
              <w:rPr>
                <w:sz w:val="21"/>
              </w:rPr>
              <w:t>油烟净化器</w:t>
            </w:r>
          </w:p>
        </w:tc>
        <w:tc>
          <w:tcPr>
            <w:tcW w:w="1896" w:type="dxa"/>
          </w:tcPr>
          <w:p>
            <w:pPr>
              <w:pStyle w:val="TableParagraph"/>
              <w:spacing w:before="56"/>
              <w:ind w:left="54" w:right="38"/>
              <w:jc w:val="center"/>
              <w:rPr>
                <w:sz w:val="21"/>
              </w:rPr>
            </w:pPr>
            <w:r>
              <w:rPr>
                <w:sz w:val="21"/>
              </w:rPr>
              <w:t>废食用油</w:t>
            </w:r>
          </w:p>
        </w:tc>
        <w:tc>
          <w:tcPr>
            <w:tcW w:w="2863" w:type="dxa"/>
          </w:tcPr>
          <w:p>
            <w:pPr>
              <w:pStyle w:val="TableParagraph"/>
              <w:spacing w:before="56"/>
              <w:ind w:left="153" w:right="135"/>
              <w:jc w:val="center"/>
              <w:rPr>
                <w:sz w:val="21"/>
              </w:rPr>
            </w:pPr>
            <w:r>
              <w:rPr>
                <w:sz w:val="21"/>
              </w:rPr>
              <w:t>由环卫部门定期清运</w:t>
            </w:r>
          </w:p>
        </w:tc>
        <w:tc>
          <w:tcPr>
            <w:tcW w:w="105" w:type="dxa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blPrEx>
          <w:tblW w:w="0" w:type="auto"/>
          <w:tblInd w:w="13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/>
        </w:trPr>
        <w:tc>
          <w:tcPr>
            <w:tcW w:w="565" w:type="dxa"/>
            <w:vMerge/>
            <w:tcBorders>
              <w:top w:val="nil"/>
              <w:lef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</w:tcPr>
          <w:p>
            <w:pPr>
              <w:pStyle w:val="TableParagraph"/>
              <w:spacing w:before="68"/>
              <w:ind w:left="18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9"/>
                <w:sz w:val="21"/>
              </w:rPr>
              <w:t>-</w:t>
            </w:r>
          </w:p>
        </w:tc>
        <w:tc>
          <w:tcPr>
            <w:tcW w:w="1200" w:type="dxa"/>
          </w:tcPr>
          <w:p>
            <w:pPr>
              <w:pStyle w:val="TableParagraph"/>
              <w:spacing w:before="54"/>
              <w:ind w:left="58" w:right="42"/>
              <w:jc w:val="center"/>
              <w:rPr>
                <w:sz w:val="21"/>
              </w:rPr>
            </w:pPr>
            <w:r>
              <w:rPr>
                <w:sz w:val="21"/>
              </w:rPr>
              <w:t>原料拆包</w:t>
            </w:r>
          </w:p>
        </w:tc>
        <w:tc>
          <w:tcPr>
            <w:tcW w:w="1896" w:type="dxa"/>
          </w:tcPr>
          <w:p>
            <w:pPr>
              <w:pStyle w:val="TableParagraph"/>
              <w:spacing w:before="54"/>
              <w:ind w:left="54" w:right="38"/>
              <w:jc w:val="center"/>
              <w:rPr>
                <w:sz w:val="21"/>
              </w:rPr>
            </w:pPr>
            <w:r>
              <w:rPr>
                <w:sz w:val="21"/>
              </w:rPr>
              <w:t>废包装材料</w:t>
            </w:r>
          </w:p>
        </w:tc>
        <w:tc>
          <w:tcPr>
            <w:tcW w:w="2863" w:type="dxa"/>
          </w:tcPr>
          <w:p>
            <w:pPr>
              <w:pStyle w:val="TableParagraph"/>
              <w:spacing w:before="54"/>
              <w:ind w:left="153" w:right="135"/>
              <w:jc w:val="center"/>
              <w:rPr>
                <w:sz w:val="21"/>
              </w:rPr>
            </w:pPr>
            <w:r>
              <w:rPr>
                <w:sz w:val="21"/>
              </w:rPr>
              <w:t>收集后外售</w:t>
            </w:r>
          </w:p>
        </w:tc>
        <w:tc>
          <w:tcPr>
            <w:tcW w:w="105" w:type="dxa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blPrEx>
          <w:tblW w:w="0" w:type="auto"/>
          <w:tblInd w:w="13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/>
        </w:trPr>
        <w:tc>
          <w:tcPr>
            <w:tcW w:w="565" w:type="dxa"/>
            <w:vMerge/>
            <w:tcBorders>
              <w:top w:val="nil"/>
              <w:lef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</w:tcPr>
          <w:p>
            <w:pPr>
              <w:pStyle w:val="TableParagraph"/>
              <w:spacing w:before="69"/>
              <w:ind w:left="18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9"/>
                <w:sz w:val="21"/>
              </w:rPr>
              <w:t>-</w:t>
            </w:r>
          </w:p>
        </w:tc>
        <w:tc>
          <w:tcPr>
            <w:tcW w:w="1200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52"/>
              <w:ind w:left="184"/>
              <w:rPr>
                <w:sz w:val="21"/>
              </w:rPr>
            </w:pPr>
            <w:r>
              <w:rPr>
                <w:sz w:val="21"/>
              </w:rPr>
              <w:t>污水处理</w:t>
            </w:r>
          </w:p>
        </w:tc>
        <w:tc>
          <w:tcPr>
            <w:tcW w:w="1896" w:type="dxa"/>
          </w:tcPr>
          <w:p>
            <w:pPr>
              <w:pStyle w:val="TableParagraph"/>
              <w:spacing w:before="55"/>
              <w:ind w:left="56" w:right="38"/>
              <w:jc w:val="center"/>
              <w:rPr>
                <w:sz w:val="21"/>
              </w:rPr>
            </w:pPr>
            <w:r>
              <w:rPr>
                <w:sz w:val="21"/>
              </w:rPr>
              <w:t>废污泥</w:t>
            </w:r>
          </w:p>
        </w:tc>
        <w:tc>
          <w:tcPr>
            <w:tcW w:w="2863" w:type="dxa"/>
          </w:tcPr>
          <w:p>
            <w:pPr>
              <w:pStyle w:val="TableParagraph"/>
              <w:spacing w:before="55"/>
              <w:ind w:left="153" w:right="135"/>
              <w:jc w:val="center"/>
              <w:rPr>
                <w:sz w:val="21"/>
              </w:rPr>
            </w:pPr>
            <w:r>
              <w:rPr>
                <w:sz w:val="21"/>
              </w:rPr>
              <w:t>由环卫部门定期清运</w:t>
            </w:r>
          </w:p>
        </w:tc>
        <w:tc>
          <w:tcPr>
            <w:tcW w:w="105" w:type="dxa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blPrEx>
          <w:tblW w:w="0" w:type="auto"/>
          <w:tblInd w:w="13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565" w:type="dxa"/>
            <w:vMerge/>
            <w:tcBorders>
              <w:top w:val="nil"/>
              <w:lef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</w:tcPr>
          <w:p>
            <w:pPr>
              <w:pStyle w:val="TableParagraph"/>
              <w:spacing w:before="68"/>
              <w:ind w:left="18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9"/>
                <w:sz w:val="21"/>
              </w:rPr>
              <w:t>-</w:t>
            </w:r>
          </w:p>
        </w:tc>
        <w:tc>
          <w:tcPr>
            <w:tcW w:w="12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96" w:type="dxa"/>
          </w:tcPr>
          <w:p>
            <w:pPr>
              <w:pStyle w:val="TableParagraph"/>
              <w:spacing w:before="54"/>
              <w:ind w:left="54" w:right="38"/>
              <w:jc w:val="center"/>
              <w:rPr>
                <w:sz w:val="21"/>
              </w:rPr>
            </w:pPr>
            <w:r>
              <w:rPr>
                <w:sz w:val="21"/>
              </w:rPr>
              <w:t>格栅杂质</w:t>
            </w:r>
          </w:p>
        </w:tc>
        <w:tc>
          <w:tcPr>
            <w:tcW w:w="2863" w:type="dxa"/>
          </w:tcPr>
          <w:p>
            <w:pPr>
              <w:pStyle w:val="TableParagraph"/>
              <w:spacing w:before="54"/>
              <w:ind w:left="153" w:right="135"/>
              <w:jc w:val="center"/>
              <w:rPr>
                <w:sz w:val="21"/>
              </w:rPr>
            </w:pPr>
            <w:r>
              <w:rPr>
                <w:sz w:val="21"/>
              </w:rPr>
              <w:t>由环卫部门定期清运</w:t>
            </w:r>
          </w:p>
        </w:tc>
        <w:tc>
          <w:tcPr>
            <w:tcW w:w="105" w:type="dxa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blPrEx>
          <w:tblW w:w="0" w:type="auto"/>
          <w:tblInd w:w="13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/>
        </w:trPr>
        <w:tc>
          <w:tcPr>
            <w:tcW w:w="565" w:type="dxa"/>
            <w:vMerge/>
            <w:tcBorders>
              <w:top w:val="nil"/>
              <w:lef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</w:tcPr>
          <w:p>
            <w:pPr>
              <w:pStyle w:val="TableParagraph"/>
              <w:spacing w:before="69"/>
              <w:ind w:left="18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9"/>
                <w:sz w:val="21"/>
              </w:rPr>
              <w:t>-</w:t>
            </w:r>
          </w:p>
        </w:tc>
        <w:tc>
          <w:tcPr>
            <w:tcW w:w="12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96" w:type="dxa"/>
          </w:tcPr>
          <w:p>
            <w:pPr>
              <w:pStyle w:val="TableParagraph"/>
              <w:spacing w:before="55"/>
              <w:ind w:left="56" w:right="38"/>
              <w:jc w:val="center"/>
              <w:rPr>
                <w:sz w:val="21"/>
              </w:rPr>
            </w:pPr>
            <w:r>
              <w:rPr>
                <w:sz w:val="21"/>
              </w:rPr>
              <w:t>废油</w:t>
            </w:r>
          </w:p>
        </w:tc>
        <w:tc>
          <w:tcPr>
            <w:tcW w:w="2863" w:type="dxa"/>
          </w:tcPr>
          <w:p>
            <w:pPr>
              <w:pStyle w:val="TableParagraph"/>
              <w:spacing w:before="55"/>
              <w:ind w:left="153" w:right="135"/>
              <w:jc w:val="center"/>
              <w:rPr>
                <w:sz w:val="21"/>
              </w:rPr>
            </w:pPr>
            <w:r>
              <w:rPr>
                <w:sz w:val="21"/>
              </w:rPr>
              <w:t>由环卫部门定期清运</w:t>
            </w:r>
          </w:p>
        </w:tc>
        <w:tc>
          <w:tcPr>
            <w:tcW w:w="105" w:type="dxa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blPrEx>
          <w:tblW w:w="0" w:type="auto"/>
          <w:tblInd w:w="13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565" w:type="dxa"/>
            <w:vMerge/>
            <w:tcBorders>
              <w:top w:val="nil"/>
              <w:lef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</w:tcPr>
          <w:p>
            <w:pPr>
              <w:pStyle w:val="TableParagraph"/>
              <w:spacing w:before="70"/>
              <w:ind w:left="18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9"/>
                <w:sz w:val="21"/>
              </w:rPr>
              <w:t>-</w:t>
            </w:r>
          </w:p>
        </w:tc>
        <w:tc>
          <w:tcPr>
            <w:tcW w:w="12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96" w:type="dxa"/>
          </w:tcPr>
          <w:p>
            <w:pPr>
              <w:pStyle w:val="TableParagraph"/>
              <w:spacing w:before="56"/>
              <w:ind w:left="56" w:right="38"/>
              <w:jc w:val="center"/>
              <w:rPr>
                <w:sz w:val="21"/>
              </w:rPr>
            </w:pPr>
            <w:r>
              <w:rPr>
                <w:sz w:val="21"/>
              </w:rPr>
              <w:t>气浮渣</w:t>
            </w:r>
          </w:p>
        </w:tc>
        <w:tc>
          <w:tcPr>
            <w:tcW w:w="2863" w:type="dxa"/>
          </w:tcPr>
          <w:p>
            <w:pPr>
              <w:pStyle w:val="TableParagraph"/>
              <w:spacing w:before="56"/>
              <w:ind w:left="153" w:right="135"/>
              <w:jc w:val="center"/>
              <w:rPr>
                <w:sz w:val="21"/>
              </w:rPr>
            </w:pPr>
            <w:r>
              <w:rPr>
                <w:sz w:val="21"/>
              </w:rPr>
              <w:t>由环卫部门定期清运</w:t>
            </w:r>
          </w:p>
        </w:tc>
        <w:tc>
          <w:tcPr>
            <w:tcW w:w="105" w:type="dxa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blPrEx>
          <w:tblW w:w="0" w:type="auto"/>
          <w:tblInd w:w="13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7"/>
        </w:trPr>
        <w:tc>
          <w:tcPr>
            <w:tcW w:w="565" w:type="dxa"/>
            <w:vMerge/>
            <w:tcBorders>
              <w:top w:val="nil"/>
              <w:lef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15" w:type="dxa"/>
            <w:gridSpan w:val="7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blPrEx>
          <w:tblW w:w="0" w:type="auto"/>
          <w:tblInd w:w="13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31"/>
        </w:trPr>
        <w:tc>
          <w:tcPr>
            <w:tcW w:w="56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3"/>
              <w:rPr>
                <w:sz w:val="20"/>
              </w:rPr>
            </w:pPr>
          </w:p>
          <w:p>
            <w:pPr>
              <w:pStyle w:val="TableParagraph"/>
              <w:spacing w:line="242" w:lineRule="auto"/>
              <w:ind w:left="43" w:right="2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与项目有关的原有环境污染问题</w:t>
            </w:r>
          </w:p>
        </w:tc>
        <w:tc>
          <w:tcPr>
            <w:tcW w:w="8815" w:type="dxa"/>
            <w:gridSpan w:val="7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362" w:lineRule="auto"/>
              <w:ind w:left="52" w:right="30" w:firstLine="480"/>
              <w:rPr>
                <w:sz w:val="24"/>
              </w:rPr>
            </w:pPr>
            <w:r>
              <w:rPr>
                <w:sz w:val="24"/>
              </w:rPr>
              <w:t>拟建项目为新建项目，厂房利用前为闲置状态，不存在与拟建项目有关的原有污染情况。</w:t>
            </w:r>
          </w:p>
        </w:tc>
      </w:tr>
    </w:tbl>
    <w:p>
      <w:pPr>
        <w:spacing w:after="0" w:line="362" w:lineRule="auto"/>
        <w:rPr>
          <w:sz w:val="24"/>
        </w:rPr>
        <w:sectPr>
          <w:footerReference w:type="default" r:id="rId29"/>
          <w:pgSz w:w="11910" w:h="16850"/>
          <w:pgMar w:top="1540" w:right="1140" w:bottom="740" w:left="1140" w:header="0" w:footer="546" w:gutter="0"/>
          <w:pgNumType w:start="18"/>
          <w:cols w:num="1" w:space="720"/>
        </w:sectPr>
      </w:pPr>
    </w:p>
    <w:p>
      <w:pPr>
        <w:pStyle w:val="Heading1"/>
        <w:spacing w:before="34"/>
        <w:ind w:right="1504"/>
      </w:pPr>
      <w:r>
        <w:pict>
          <v:shape id="_x0000_s1046" o:spid="_x0000_s1045" type="#_x0000_t202" style="width:426.9pt;height:141.25pt;margin-top:274.5pt;margin-left:98.5pt;mso-height-relative:page;mso-position-horizontal-relative:page;mso-position-vertical-relative:page;mso-width-relative:page;position:absolute;z-index:251671552" coordsize="21600,21600" filled="f" stroked="f">
            <v:stroke joinstyle="miter"/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1497"/>
                    <w:gridCol w:w="2207"/>
                    <w:gridCol w:w="1226"/>
                    <w:gridCol w:w="1339"/>
                    <w:gridCol w:w="1129"/>
                    <w:gridCol w:w="1125"/>
                  </w:tblGrid>
                  <w:tr>
                    <w:tblPrEx>
                      <w:tblW w:w="0" w:type="auto"/>
                      <w:tblInd w:w="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575"/>
                    </w:trPr>
                    <w:tc>
                      <w:tcPr>
                        <w:tcW w:w="1497" w:type="dxa"/>
                      </w:tcPr>
                      <w:p>
                        <w:pPr>
                          <w:pStyle w:val="TableParagraph"/>
                          <w:spacing w:before="151"/>
                          <w:ind w:left="78" w:right="58"/>
                          <w:jc w:val="center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污染物</w:t>
                        </w:r>
                      </w:p>
                    </w:tc>
                    <w:tc>
                      <w:tcPr>
                        <w:tcW w:w="2207" w:type="dxa"/>
                      </w:tcPr>
                      <w:p>
                        <w:pPr>
                          <w:pStyle w:val="TableParagraph"/>
                          <w:spacing w:before="151"/>
                          <w:ind w:left="136" w:right="117"/>
                          <w:jc w:val="center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评价指标</w:t>
                        </w:r>
                      </w:p>
                    </w:tc>
                    <w:tc>
                      <w:tcPr>
                        <w:tcW w:w="1226" w:type="dxa"/>
                      </w:tcPr>
                      <w:p>
                        <w:pPr>
                          <w:pStyle w:val="TableParagraph"/>
                          <w:spacing w:before="16"/>
                          <w:ind w:left="212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现状浓度</w:t>
                        </w:r>
                      </w:p>
                      <w:p>
                        <w:pPr>
                          <w:pStyle w:val="TableParagraph"/>
                          <w:spacing w:before="2" w:line="267" w:lineRule="exact"/>
                          <w:ind w:left="157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（</w:t>
                        </w:r>
                        <w:r>
                          <w:rPr>
                            <w:rFonts w:ascii="Times New Roman" w:eastAsia="Times New Roman" w:hAnsi="Times New Roman"/>
                            <w:b/>
                            <w:sz w:val="21"/>
                          </w:rPr>
                          <w:t>µg/m</w:t>
                        </w:r>
                        <w:r>
                          <w:rPr>
                            <w:b/>
                            <w:sz w:val="21"/>
                          </w:rPr>
                          <w:t>³）</w:t>
                        </w:r>
                      </w:p>
                    </w:tc>
                    <w:tc>
                      <w:tcPr>
                        <w:tcW w:w="1339" w:type="dxa"/>
                      </w:tcPr>
                      <w:p>
                        <w:pPr>
                          <w:pStyle w:val="TableParagraph"/>
                          <w:spacing w:before="16"/>
                          <w:ind w:left="159" w:right="140"/>
                          <w:jc w:val="center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标准值</w:t>
                        </w:r>
                      </w:p>
                      <w:p>
                        <w:pPr>
                          <w:pStyle w:val="TableParagraph"/>
                          <w:spacing w:before="2" w:line="267" w:lineRule="exact"/>
                          <w:ind w:left="159" w:right="143"/>
                          <w:jc w:val="center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（</w:t>
                        </w:r>
                        <w:r>
                          <w:rPr>
                            <w:rFonts w:ascii="Times New Roman" w:eastAsia="Times New Roman" w:hAnsi="Times New Roman"/>
                            <w:b/>
                            <w:sz w:val="21"/>
                          </w:rPr>
                          <w:t>µg/m</w:t>
                        </w:r>
                        <w:r>
                          <w:rPr>
                            <w:b/>
                            <w:sz w:val="21"/>
                          </w:rPr>
                          <w:t>³）</w:t>
                        </w:r>
                      </w:p>
                    </w:tc>
                    <w:tc>
                      <w:tcPr>
                        <w:tcW w:w="1129" w:type="dxa"/>
                      </w:tcPr>
                      <w:p>
                        <w:pPr>
                          <w:pStyle w:val="TableParagraph"/>
                          <w:spacing w:before="151"/>
                          <w:ind w:left="99" w:right="79"/>
                          <w:jc w:val="center"/>
                          <w:rPr>
                            <w:rFonts w:ascii="Times New Roman" w:eastAsia="Times New Roman"/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占标率</w:t>
                        </w:r>
                        <w:r>
                          <w:rPr>
                            <w:rFonts w:ascii="Times New Roman" w:eastAsia="Times New Roman"/>
                            <w:b/>
                            <w:sz w:val="21"/>
                          </w:rPr>
                          <w:t>/%</w:t>
                        </w:r>
                      </w:p>
                    </w:tc>
                    <w:tc>
                      <w:tcPr>
                        <w:tcW w:w="1125" w:type="dxa"/>
                      </w:tcPr>
                      <w:p>
                        <w:pPr>
                          <w:pStyle w:val="TableParagraph"/>
                          <w:spacing w:before="151"/>
                          <w:ind w:left="124" w:right="107"/>
                          <w:jc w:val="center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达标情况</w:t>
                        </w:r>
                      </w:p>
                    </w:tc>
                  </w:tr>
                  <w:tr>
                    <w:tblPrEx>
                      <w:tblW w:w="0" w:type="auto"/>
                      <w:tblInd w:w="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70"/>
                    </w:trPr>
                    <w:tc>
                      <w:tcPr>
                        <w:tcW w:w="1497" w:type="dxa"/>
                      </w:tcPr>
                      <w:p>
                        <w:pPr>
                          <w:pStyle w:val="TableParagraph"/>
                          <w:spacing w:before="61"/>
                          <w:ind w:left="78" w:right="57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position w:val="2"/>
                            <w:sz w:val="21"/>
                          </w:rPr>
                          <w:t>PM</w:t>
                        </w:r>
                        <w:r>
                          <w:rPr>
                            <w:rFonts w:ascii="Times New Roman"/>
                            <w:position w:val="2"/>
                            <w:sz w:val="21"/>
                            <w:vertAlign w:val="subscript"/>
                          </w:rPr>
                          <w:t>10</w:t>
                        </w:r>
                      </w:p>
                    </w:tc>
                    <w:tc>
                      <w:tcPr>
                        <w:tcW w:w="2207" w:type="dxa"/>
                      </w:tcPr>
                      <w:p>
                        <w:pPr>
                          <w:pStyle w:val="TableParagraph"/>
                          <w:spacing w:before="48"/>
                          <w:ind w:left="136" w:right="129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年平均质量浓度</w:t>
                        </w:r>
                      </w:p>
                    </w:tc>
                    <w:tc>
                      <w:tcPr>
                        <w:tcW w:w="1226" w:type="dxa"/>
                      </w:tcPr>
                      <w:p>
                        <w:pPr>
                          <w:pStyle w:val="TableParagraph"/>
                          <w:spacing w:before="58"/>
                          <w:ind w:left="344" w:right="336"/>
                          <w:jc w:val="center"/>
                          <w:rPr>
                            <w:rFonts w:ascii="Times New Roman"/>
                            <w:sz w:val="22"/>
                          </w:rPr>
                        </w:pPr>
                        <w:r>
                          <w:rPr>
                            <w:rFonts w:ascii="Times New Roman"/>
                            <w:sz w:val="22"/>
                          </w:rPr>
                          <w:t>69.8</w:t>
                        </w:r>
                      </w:p>
                    </w:tc>
                    <w:tc>
                      <w:tcPr>
                        <w:tcW w:w="1339" w:type="dxa"/>
                      </w:tcPr>
                      <w:p>
                        <w:pPr>
                          <w:pStyle w:val="TableParagraph"/>
                          <w:spacing w:before="64"/>
                          <w:ind w:left="563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sz w:val="21"/>
                          </w:rPr>
                          <w:t>70</w:t>
                        </w:r>
                      </w:p>
                    </w:tc>
                    <w:tc>
                      <w:tcPr>
                        <w:tcW w:w="1129" w:type="dxa"/>
                      </w:tcPr>
                      <w:p>
                        <w:pPr>
                          <w:pStyle w:val="TableParagraph"/>
                          <w:spacing w:before="58"/>
                          <w:ind w:left="90" w:right="79"/>
                          <w:jc w:val="center"/>
                          <w:rPr>
                            <w:rFonts w:ascii="Times New Roman"/>
                            <w:sz w:val="22"/>
                          </w:rPr>
                        </w:pPr>
                        <w:r>
                          <w:rPr>
                            <w:rFonts w:ascii="Times New Roman"/>
                            <w:sz w:val="22"/>
                          </w:rPr>
                          <w:t>99.6</w:t>
                        </w:r>
                      </w:p>
                    </w:tc>
                    <w:tc>
                      <w:tcPr>
                        <w:tcW w:w="1125" w:type="dxa"/>
                      </w:tcPr>
                      <w:p>
                        <w:pPr>
                          <w:pStyle w:val="TableParagraph"/>
                          <w:spacing w:before="48"/>
                          <w:ind w:left="124" w:right="104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达标</w:t>
                        </w:r>
                      </w:p>
                    </w:tc>
                  </w:tr>
                  <w:tr>
                    <w:tblPrEx>
                      <w:tblW w:w="0" w:type="auto"/>
                      <w:tblInd w:w="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70"/>
                    </w:trPr>
                    <w:tc>
                      <w:tcPr>
                        <w:tcW w:w="1497" w:type="dxa"/>
                      </w:tcPr>
                      <w:p>
                        <w:pPr>
                          <w:pStyle w:val="TableParagraph"/>
                          <w:spacing w:before="60"/>
                          <w:ind w:left="78" w:right="57"/>
                          <w:jc w:val="center"/>
                          <w:rPr>
                            <w:rFonts w:ascii="Times New Roman"/>
                            <w:sz w:val="13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position w:val="2"/>
                            <w:sz w:val="21"/>
                          </w:rPr>
                          <w:t>PM</w:t>
                        </w:r>
                        <w:r>
                          <w:rPr>
                            <w:rFonts w:ascii="Times New Roman"/>
                            <w:w w:val="105"/>
                            <w:sz w:val="13"/>
                          </w:rPr>
                          <w:t>2.5</w:t>
                        </w:r>
                      </w:p>
                    </w:tc>
                    <w:tc>
                      <w:tcPr>
                        <w:tcW w:w="2207" w:type="dxa"/>
                      </w:tcPr>
                      <w:p>
                        <w:pPr>
                          <w:pStyle w:val="TableParagraph"/>
                          <w:spacing w:before="50"/>
                          <w:ind w:left="136" w:right="129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年平均质量浓度</w:t>
                        </w:r>
                      </w:p>
                    </w:tc>
                    <w:tc>
                      <w:tcPr>
                        <w:tcW w:w="1226" w:type="dxa"/>
                      </w:tcPr>
                      <w:p>
                        <w:pPr>
                          <w:pStyle w:val="TableParagraph"/>
                          <w:spacing w:before="57"/>
                          <w:ind w:left="344" w:right="336"/>
                          <w:jc w:val="center"/>
                          <w:rPr>
                            <w:rFonts w:ascii="Times New Roman"/>
                            <w:sz w:val="22"/>
                          </w:rPr>
                        </w:pPr>
                        <w:r>
                          <w:rPr>
                            <w:rFonts w:ascii="Times New Roman"/>
                            <w:sz w:val="22"/>
                          </w:rPr>
                          <w:t>37.1</w:t>
                        </w:r>
                      </w:p>
                    </w:tc>
                    <w:tc>
                      <w:tcPr>
                        <w:tcW w:w="1339" w:type="dxa"/>
                      </w:tcPr>
                      <w:p>
                        <w:pPr>
                          <w:pStyle w:val="TableParagraph"/>
                          <w:spacing w:before="64"/>
                          <w:ind w:left="563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sz w:val="21"/>
                          </w:rPr>
                          <w:t>35</w:t>
                        </w:r>
                      </w:p>
                    </w:tc>
                    <w:tc>
                      <w:tcPr>
                        <w:tcW w:w="1129" w:type="dxa"/>
                      </w:tcPr>
                      <w:p>
                        <w:pPr>
                          <w:pStyle w:val="TableParagraph"/>
                          <w:spacing w:before="57"/>
                          <w:ind w:left="90" w:right="79"/>
                          <w:jc w:val="center"/>
                          <w:rPr>
                            <w:rFonts w:ascii="Times New Roman"/>
                            <w:sz w:val="22"/>
                          </w:rPr>
                        </w:pPr>
                        <w:r>
                          <w:rPr>
                            <w:rFonts w:ascii="Times New Roman"/>
                            <w:sz w:val="22"/>
                          </w:rPr>
                          <w:t>106.0</w:t>
                        </w:r>
                      </w:p>
                    </w:tc>
                    <w:tc>
                      <w:tcPr>
                        <w:tcW w:w="1125" w:type="dxa"/>
                      </w:tcPr>
                      <w:p>
                        <w:pPr>
                          <w:pStyle w:val="TableParagraph"/>
                          <w:spacing w:before="50"/>
                          <w:ind w:left="124" w:right="104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超标</w:t>
                        </w:r>
                      </w:p>
                    </w:tc>
                  </w:tr>
                  <w:tr>
                    <w:tblPrEx>
                      <w:tblW w:w="0" w:type="auto"/>
                      <w:tblInd w:w="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70"/>
                    </w:trPr>
                    <w:tc>
                      <w:tcPr>
                        <w:tcW w:w="1497" w:type="dxa"/>
                      </w:tcPr>
                      <w:p>
                        <w:pPr>
                          <w:pStyle w:val="TableParagraph"/>
                          <w:spacing w:before="60"/>
                          <w:ind w:left="78" w:right="57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position w:val="2"/>
                            <w:sz w:val="21"/>
                          </w:rPr>
                          <w:t>SO</w:t>
                        </w:r>
                        <w:r>
                          <w:rPr>
                            <w:rFonts w:ascii="Times New Roman"/>
                            <w:position w:val="2"/>
                            <w:sz w:val="21"/>
                            <w:vertAlign w:val="subscript"/>
                          </w:rPr>
                          <w:t>2</w:t>
                        </w:r>
                      </w:p>
                    </w:tc>
                    <w:tc>
                      <w:tcPr>
                        <w:tcW w:w="2207" w:type="dxa"/>
                      </w:tcPr>
                      <w:p>
                        <w:pPr>
                          <w:pStyle w:val="TableParagraph"/>
                          <w:spacing w:before="49"/>
                          <w:ind w:left="136" w:right="129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年平均质量浓度</w:t>
                        </w:r>
                      </w:p>
                    </w:tc>
                    <w:tc>
                      <w:tcPr>
                        <w:tcW w:w="1226" w:type="dxa"/>
                      </w:tcPr>
                      <w:p>
                        <w:pPr>
                          <w:pStyle w:val="TableParagraph"/>
                          <w:spacing w:before="58"/>
                          <w:ind w:left="344" w:right="336"/>
                          <w:jc w:val="center"/>
                          <w:rPr>
                            <w:rFonts w:ascii="Times New Roman"/>
                            <w:sz w:val="22"/>
                          </w:rPr>
                        </w:pPr>
                        <w:r>
                          <w:rPr>
                            <w:rFonts w:ascii="Times New Roman"/>
                            <w:sz w:val="22"/>
                          </w:rPr>
                          <w:t>14.9</w:t>
                        </w:r>
                      </w:p>
                    </w:tc>
                    <w:tc>
                      <w:tcPr>
                        <w:tcW w:w="1339" w:type="dxa"/>
                      </w:tcPr>
                      <w:p>
                        <w:pPr>
                          <w:pStyle w:val="TableParagraph"/>
                          <w:spacing w:before="63"/>
                          <w:ind w:left="563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sz w:val="21"/>
                          </w:rPr>
                          <w:t>60</w:t>
                        </w:r>
                      </w:p>
                    </w:tc>
                    <w:tc>
                      <w:tcPr>
                        <w:tcW w:w="1129" w:type="dxa"/>
                      </w:tcPr>
                      <w:p>
                        <w:pPr>
                          <w:pStyle w:val="TableParagraph"/>
                          <w:spacing w:before="58"/>
                          <w:ind w:left="90" w:right="79"/>
                          <w:jc w:val="center"/>
                          <w:rPr>
                            <w:rFonts w:ascii="Times New Roman"/>
                            <w:sz w:val="22"/>
                          </w:rPr>
                        </w:pPr>
                        <w:r>
                          <w:rPr>
                            <w:rFonts w:ascii="Times New Roman"/>
                            <w:sz w:val="22"/>
                          </w:rPr>
                          <w:t>24.9</w:t>
                        </w:r>
                      </w:p>
                    </w:tc>
                    <w:tc>
                      <w:tcPr>
                        <w:tcW w:w="1125" w:type="dxa"/>
                      </w:tcPr>
                      <w:p>
                        <w:pPr>
                          <w:pStyle w:val="TableParagraph"/>
                          <w:spacing w:before="49"/>
                          <w:ind w:left="124" w:right="104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达标</w:t>
                        </w:r>
                      </w:p>
                    </w:tc>
                  </w:tr>
                  <w:tr>
                    <w:tblPrEx>
                      <w:tblW w:w="0" w:type="auto"/>
                      <w:tblInd w:w="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70"/>
                    </w:trPr>
                    <w:tc>
                      <w:tcPr>
                        <w:tcW w:w="1497" w:type="dxa"/>
                      </w:tcPr>
                      <w:p>
                        <w:pPr>
                          <w:pStyle w:val="TableParagraph"/>
                          <w:spacing w:before="61"/>
                          <w:ind w:left="78" w:right="59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position w:val="2"/>
                            <w:sz w:val="21"/>
                          </w:rPr>
                          <w:t>NO</w:t>
                        </w:r>
                        <w:r>
                          <w:rPr>
                            <w:rFonts w:ascii="Times New Roman"/>
                            <w:position w:val="2"/>
                            <w:sz w:val="21"/>
                            <w:vertAlign w:val="subscript"/>
                          </w:rPr>
                          <w:t>2</w:t>
                        </w:r>
                      </w:p>
                    </w:tc>
                    <w:tc>
                      <w:tcPr>
                        <w:tcW w:w="2207" w:type="dxa"/>
                      </w:tcPr>
                      <w:p>
                        <w:pPr>
                          <w:pStyle w:val="TableParagraph"/>
                          <w:spacing w:before="48"/>
                          <w:ind w:left="136" w:right="129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年平均质量浓度</w:t>
                        </w:r>
                      </w:p>
                    </w:tc>
                    <w:tc>
                      <w:tcPr>
                        <w:tcW w:w="1226" w:type="dxa"/>
                      </w:tcPr>
                      <w:p>
                        <w:pPr>
                          <w:pStyle w:val="TableParagraph"/>
                          <w:spacing w:before="58"/>
                          <w:ind w:left="344" w:right="336"/>
                          <w:jc w:val="center"/>
                          <w:rPr>
                            <w:rFonts w:ascii="Times New Roman"/>
                            <w:sz w:val="22"/>
                          </w:rPr>
                        </w:pPr>
                        <w:r>
                          <w:rPr>
                            <w:rFonts w:ascii="Times New Roman"/>
                            <w:sz w:val="22"/>
                          </w:rPr>
                          <w:t>25.4</w:t>
                        </w:r>
                      </w:p>
                    </w:tc>
                    <w:tc>
                      <w:tcPr>
                        <w:tcW w:w="1339" w:type="dxa"/>
                      </w:tcPr>
                      <w:p>
                        <w:pPr>
                          <w:pStyle w:val="TableParagraph"/>
                          <w:spacing w:before="64"/>
                          <w:ind w:left="563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sz w:val="21"/>
                          </w:rPr>
                          <w:t>40</w:t>
                        </w:r>
                      </w:p>
                    </w:tc>
                    <w:tc>
                      <w:tcPr>
                        <w:tcW w:w="1129" w:type="dxa"/>
                      </w:tcPr>
                      <w:p>
                        <w:pPr>
                          <w:pStyle w:val="TableParagraph"/>
                          <w:spacing w:before="58"/>
                          <w:ind w:left="90" w:right="79"/>
                          <w:jc w:val="center"/>
                          <w:rPr>
                            <w:rFonts w:ascii="Times New Roman"/>
                            <w:sz w:val="22"/>
                          </w:rPr>
                        </w:pPr>
                        <w:r>
                          <w:rPr>
                            <w:rFonts w:ascii="Times New Roman"/>
                            <w:sz w:val="22"/>
                          </w:rPr>
                          <w:t>63.5</w:t>
                        </w:r>
                      </w:p>
                    </w:tc>
                    <w:tc>
                      <w:tcPr>
                        <w:tcW w:w="1125" w:type="dxa"/>
                      </w:tcPr>
                      <w:p>
                        <w:pPr>
                          <w:pStyle w:val="TableParagraph"/>
                          <w:spacing w:before="48"/>
                          <w:ind w:left="124" w:right="104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达标</w:t>
                        </w:r>
                      </w:p>
                    </w:tc>
                  </w:tr>
                  <w:tr>
                    <w:tblPrEx>
                      <w:tblW w:w="0" w:type="auto"/>
                      <w:tblInd w:w="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45"/>
                    </w:trPr>
                    <w:tc>
                      <w:tcPr>
                        <w:tcW w:w="1497" w:type="dxa"/>
                      </w:tcPr>
                      <w:p>
                        <w:pPr>
                          <w:pStyle w:val="TableParagraph"/>
                          <w:spacing w:before="38"/>
                          <w:ind w:left="78" w:right="6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rFonts w:ascii="Times New Roman" w:eastAsia="Times New Roman" w:hAnsi="Times New Roman"/>
                            <w:sz w:val="21"/>
                          </w:rPr>
                          <w:t>CO</w:t>
                        </w:r>
                        <w:r>
                          <w:rPr>
                            <w:sz w:val="21"/>
                          </w:rPr>
                          <w:t>（</w:t>
                        </w:r>
                        <w:r>
                          <w:rPr>
                            <w:rFonts w:ascii="Times New Roman" w:eastAsia="Times New Roman" w:hAnsi="Times New Roman"/>
                            <w:sz w:val="21"/>
                          </w:rPr>
                          <w:t>mg/m</w:t>
                        </w:r>
                        <w:r>
                          <w:rPr>
                            <w:sz w:val="21"/>
                          </w:rPr>
                          <w:t>³）</w:t>
                        </w:r>
                      </w:p>
                    </w:tc>
                    <w:tc>
                      <w:tcPr>
                        <w:tcW w:w="2207" w:type="dxa"/>
                      </w:tcPr>
                      <w:p>
                        <w:pPr>
                          <w:pStyle w:val="TableParagraph"/>
                          <w:spacing w:before="38"/>
                          <w:ind w:left="136" w:right="13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百分位数日平均浓度</w:t>
                        </w:r>
                      </w:p>
                    </w:tc>
                    <w:tc>
                      <w:tcPr>
                        <w:tcW w:w="1226" w:type="dxa"/>
                      </w:tcPr>
                      <w:p>
                        <w:pPr>
                          <w:pStyle w:val="TableParagraph"/>
                          <w:spacing w:before="45"/>
                          <w:ind w:left="344" w:right="336"/>
                          <w:jc w:val="center"/>
                          <w:rPr>
                            <w:rFonts w:ascii="Times New Roman"/>
                            <w:sz w:val="22"/>
                          </w:rPr>
                        </w:pPr>
                        <w:r>
                          <w:rPr>
                            <w:rFonts w:ascii="Times New Roman"/>
                            <w:sz w:val="22"/>
                          </w:rPr>
                          <w:t>0.8</w:t>
                        </w:r>
                      </w:p>
                    </w:tc>
                    <w:tc>
                      <w:tcPr>
                        <w:tcW w:w="1339" w:type="dxa"/>
                      </w:tcPr>
                      <w:p>
                        <w:pPr>
                          <w:pStyle w:val="TableParagraph"/>
                          <w:spacing w:before="52"/>
                          <w:ind w:left="8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w w:val="99"/>
                            <w:sz w:val="21"/>
                          </w:rPr>
                          <w:t>4</w:t>
                        </w:r>
                      </w:p>
                    </w:tc>
                    <w:tc>
                      <w:tcPr>
                        <w:tcW w:w="1129" w:type="dxa"/>
                      </w:tcPr>
                      <w:p>
                        <w:pPr>
                          <w:pStyle w:val="TableParagraph"/>
                          <w:spacing w:before="45"/>
                          <w:ind w:left="90" w:right="79"/>
                          <w:jc w:val="center"/>
                          <w:rPr>
                            <w:rFonts w:ascii="Times New Roman"/>
                            <w:sz w:val="22"/>
                          </w:rPr>
                        </w:pPr>
                        <w:r>
                          <w:rPr>
                            <w:rFonts w:ascii="Times New Roman"/>
                            <w:sz w:val="22"/>
                          </w:rPr>
                          <w:t>20.5</w:t>
                        </w:r>
                      </w:p>
                    </w:tc>
                    <w:tc>
                      <w:tcPr>
                        <w:tcW w:w="1125" w:type="dxa"/>
                      </w:tcPr>
                      <w:p>
                        <w:pPr>
                          <w:pStyle w:val="TableParagraph"/>
                          <w:spacing w:before="38"/>
                          <w:ind w:left="124" w:right="104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达标</w:t>
                        </w:r>
                      </w:p>
                    </w:tc>
                  </w:tr>
                  <w:tr>
                    <w:tblPrEx>
                      <w:tblW w:w="0" w:type="auto"/>
                      <w:tblInd w:w="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45"/>
                    </w:trPr>
                    <w:tc>
                      <w:tcPr>
                        <w:tcW w:w="1497" w:type="dxa"/>
                      </w:tcPr>
                      <w:p>
                        <w:pPr>
                          <w:pStyle w:val="TableParagraph"/>
                          <w:spacing w:before="49"/>
                          <w:ind w:left="78" w:right="59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position w:val="2"/>
                            <w:sz w:val="21"/>
                          </w:rPr>
                          <w:t>O</w:t>
                        </w:r>
                        <w:r>
                          <w:rPr>
                            <w:rFonts w:ascii="Times New Roman"/>
                            <w:position w:val="2"/>
                            <w:sz w:val="21"/>
                            <w:vertAlign w:val="subscript"/>
                          </w:rPr>
                          <w:t>3</w:t>
                        </w:r>
                      </w:p>
                    </w:tc>
                    <w:tc>
                      <w:tcPr>
                        <w:tcW w:w="2207" w:type="dxa"/>
                      </w:tcPr>
                      <w:p>
                        <w:pPr>
                          <w:pStyle w:val="TableParagraph"/>
                          <w:spacing w:before="38"/>
                          <w:ind w:left="136" w:right="13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rFonts w:ascii="Times New Roman" w:eastAsia="Times New Roman"/>
                            <w:sz w:val="21"/>
                          </w:rPr>
                          <w:t>8h</w:t>
                        </w:r>
                        <w:r>
                          <w:rPr>
                            <w:sz w:val="21"/>
                          </w:rPr>
                          <w:t>平均质量浓度</w:t>
                        </w:r>
                      </w:p>
                    </w:tc>
                    <w:tc>
                      <w:tcPr>
                        <w:tcW w:w="1226" w:type="dxa"/>
                      </w:tcPr>
                      <w:p>
                        <w:pPr>
                          <w:pStyle w:val="TableParagraph"/>
                          <w:spacing w:before="45"/>
                          <w:ind w:left="344" w:right="336"/>
                          <w:jc w:val="center"/>
                          <w:rPr>
                            <w:rFonts w:ascii="Times New Roman"/>
                            <w:sz w:val="22"/>
                          </w:rPr>
                        </w:pPr>
                        <w:r>
                          <w:rPr>
                            <w:rFonts w:ascii="Times New Roman"/>
                            <w:sz w:val="22"/>
                          </w:rPr>
                          <w:t>132.4</w:t>
                        </w:r>
                      </w:p>
                    </w:tc>
                    <w:tc>
                      <w:tcPr>
                        <w:tcW w:w="1339" w:type="dxa"/>
                      </w:tcPr>
                      <w:p>
                        <w:pPr>
                          <w:pStyle w:val="TableParagraph"/>
                          <w:spacing w:before="52"/>
                          <w:ind w:left="510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sz w:val="21"/>
                          </w:rPr>
                          <w:t>160</w:t>
                        </w:r>
                      </w:p>
                    </w:tc>
                    <w:tc>
                      <w:tcPr>
                        <w:tcW w:w="1129" w:type="dxa"/>
                      </w:tcPr>
                      <w:p>
                        <w:pPr>
                          <w:pStyle w:val="TableParagraph"/>
                          <w:spacing w:before="45"/>
                          <w:ind w:left="90" w:right="79"/>
                          <w:jc w:val="center"/>
                          <w:rPr>
                            <w:rFonts w:ascii="Times New Roman"/>
                            <w:sz w:val="22"/>
                          </w:rPr>
                        </w:pPr>
                        <w:r>
                          <w:rPr>
                            <w:rFonts w:ascii="Times New Roman"/>
                            <w:sz w:val="22"/>
                          </w:rPr>
                          <w:t>82.8</w:t>
                        </w:r>
                      </w:p>
                    </w:tc>
                    <w:tc>
                      <w:tcPr>
                        <w:tcW w:w="1125" w:type="dxa"/>
                      </w:tcPr>
                      <w:p>
                        <w:pPr>
                          <w:pStyle w:val="TableParagraph"/>
                          <w:spacing w:before="38"/>
                          <w:ind w:left="124" w:right="104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达标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</v:shape>
        </w:pict>
      </w:r>
      <w:r>
        <w:pict>
          <v:shape id="_x0000_s1047" o:spid="_x0000_s1046" type="#_x0000_t202" style="width:426.85pt;height:70.5pt;margin-top:662.8pt;margin-left:98.5pt;mso-height-relative:page;mso-position-horizontal-relative:page;mso-position-vertical-relative:page;mso-width-relative:page;position:absolute;z-index:251672576" coordsize="21600,21600" filled="f" stroked="f">
            <v:stroke joinstyle="miter"/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2128"/>
                    <w:gridCol w:w="2128"/>
                    <w:gridCol w:w="2130"/>
                    <w:gridCol w:w="2136"/>
                  </w:tblGrid>
                  <w:tr>
                    <w:tblPrEx>
                      <w:tblW w:w="0" w:type="auto"/>
                      <w:tblInd w:w="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40"/>
                    </w:trPr>
                    <w:tc>
                      <w:tcPr>
                        <w:tcW w:w="2128" w:type="dxa"/>
                      </w:tcPr>
                      <w:p>
                        <w:pPr>
                          <w:pStyle w:val="TableParagraph"/>
                          <w:spacing w:before="33"/>
                          <w:ind w:left="691" w:right="685"/>
                          <w:jc w:val="center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时间</w:t>
                        </w:r>
                      </w:p>
                    </w:tc>
                    <w:tc>
                      <w:tcPr>
                        <w:tcW w:w="2128" w:type="dxa"/>
                      </w:tcPr>
                      <w:p>
                        <w:pPr>
                          <w:pStyle w:val="TableParagraph"/>
                          <w:spacing w:before="50"/>
                          <w:ind w:left="689" w:right="685"/>
                          <w:jc w:val="center"/>
                          <w:rPr>
                            <w:rFonts w:ascii="Times New Roman"/>
                            <w:b/>
                            <w:sz w:val="21"/>
                          </w:rPr>
                        </w:pPr>
                        <w:r>
                          <w:rPr>
                            <w:rFonts w:ascii="Times New Roman"/>
                            <w:b/>
                            <w:sz w:val="21"/>
                          </w:rPr>
                          <w:t>COD</w:t>
                        </w:r>
                      </w:p>
                    </w:tc>
                    <w:tc>
                      <w:tcPr>
                        <w:tcW w:w="2130" w:type="dxa"/>
                      </w:tcPr>
                      <w:p>
                        <w:pPr>
                          <w:pStyle w:val="TableParagraph"/>
                          <w:spacing w:before="33"/>
                          <w:ind w:left="853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氨氮</w:t>
                        </w:r>
                      </w:p>
                    </w:tc>
                    <w:tc>
                      <w:tcPr>
                        <w:tcW w:w="2136" w:type="dxa"/>
                      </w:tcPr>
                      <w:p>
                        <w:pPr>
                          <w:pStyle w:val="TableParagraph"/>
                          <w:spacing w:before="33"/>
                          <w:ind w:left="836" w:right="828"/>
                          <w:jc w:val="center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标准</w:t>
                        </w:r>
                      </w:p>
                    </w:tc>
                  </w:tr>
                  <w:tr>
                    <w:tblPrEx>
                      <w:tblW w:w="0" w:type="auto"/>
                      <w:tblInd w:w="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40"/>
                    </w:trPr>
                    <w:tc>
                      <w:tcPr>
                        <w:tcW w:w="2128" w:type="dxa"/>
                      </w:tcPr>
                      <w:p>
                        <w:pPr>
                          <w:pStyle w:val="TableParagraph"/>
                          <w:spacing w:before="48"/>
                          <w:ind w:left="692" w:right="685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sz w:val="21"/>
                          </w:rPr>
                          <w:t>2023-02</w:t>
                        </w:r>
                      </w:p>
                    </w:tc>
                    <w:tc>
                      <w:tcPr>
                        <w:tcW w:w="2128" w:type="dxa"/>
                      </w:tcPr>
                      <w:p>
                        <w:pPr>
                          <w:pStyle w:val="TableParagraph"/>
                          <w:spacing w:before="48"/>
                          <w:ind w:left="692" w:right="684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sz w:val="21"/>
                          </w:rPr>
                          <w:t>19</w:t>
                        </w:r>
                      </w:p>
                    </w:tc>
                    <w:tc>
                      <w:tcPr>
                        <w:tcW w:w="2130" w:type="dxa"/>
                      </w:tcPr>
                      <w:p>
                        <w:pPr>
                          <w:pStyle w:val="TableParagraph"/>
                          <w:spacing w:before="48"/>
                          <w:ind w:left="879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sz w:val="21"/>
                          </w:rPr>
                          <w:t>1.59</w:t>
                        </w:r>
                      </w:p>
                    </w:tc>
                    <w:tc>
                      <w:tcPr>
                        <w:tcW w:w="2136" w:type="dxa"/>
                        <w:vMerge w:val="restart"/>
                      </w:tcPr>
                      <w:p>
                        <w:pPr>
                          <w:pStyle w:val="TableParagraph"/>
                          <w:spacing w:before="4"/>
                          <w:rPr>
                            <w:rFonts w:ascii="黑体"/>
                            <w:sz w:val="19"/>
                          </w:rPr>
                        </w:pPr>
                      </w:p>
                      <w:p>
                        <w:pPr>
                          <w:pStyle w:val="TableParagraph"/>
                          <w:ind w:left="636"/>
                          <w:rPr>
                            <w:rFonts w:ascii="Times New Roman" w:eastAsia="Times New Roman"/>
                            <w:sz w:val="21"/>
                          </w:rPr>
                        </w:pPr>
                        <w:r>
                          <w:rPr>
                            <w:rFonts w:ascii="Times New Roman" w:eastAsia="Times New Roman"/>
                            <w:sz w:val="21"/>
                          </w:rPr>
                          <w:t>COD</w:t>
                        </w:r>
                        <w:r>
                          <w:rPr>
                            <w:sz w:val="21"/>
                          </w:rPr>
                          <w:t>：</w:t>
                        </w:r>
                        <w:r>
                          <w:rPr>
                            <w:rFonts w:ascii="Times New Roman" w:eastAsia="Times New Roman"/>
                            <w:sz w:val="21"/>
                          </w:rPr>
                          <w:t>40</w:t>
                        </w:r>
                      </w:p>
                      <w:p>
                        <w:pPr>
                          <w:pStyle w:val="TableParagraph"/>
                          <w:spacing w:before="2"/>
                          <w:ind w:left="619"/>
                          <w:rPr>
                            <w:rFonts w:ascii="Times New Roman" w:eastAsia="Times New Roman"/>
                            <w:sz w:val="21"/>
                          </w:rPr>
                        </w:pPr>
                        <w:r>
                          <w:rPr>
                            <w:w w:val="95"/>
                            <w:sz w:val="21"/>
                          </w:rPr>
                          <w:t>氨氮：</w:t>
                        </w:r>
                        <w:r>
                          <w:rPr>
                            <w:rFonts w:ascii="Times New Roman" w:eastAsia="Times New Roman"/>
                            <w:w w:val="95"/>
                            <w:sz w:val="21"/>
                          </w:rPr>
                          <w:t>2.0</w:t>
                        </w:r>
                      </w:p>
                    </w:tc>
                  </w:tr>
                  <w:tr>
                    <w:tblPrEx>
                      <w:tblW w:w="0" w:type="auto"/>
                      <w:tblInd w:w="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40"/>
                    </w:trPr>
                    <w:tc>
                      <w:tcPr>
                        <w:tcW w:w="2128" w:type="dxa"/>
                      </w:tcPr>
                      <w:p>
                        <w:pPr>
                          <w:pStyle w:val="TableParagraph"/>
                          <w:spacing w:before="48"/>
                          <w:ind w:left="692" w:right="685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sz w:val="21"/>
                          </w:rPr>
                          <w:t>2023-03</w:t>
                        </w:r>
                      </w:p>
                    </w:tc>
                    <w:tc>
                      <w:tcPr>
                        <w:tcW w:w="2128" w:type="dxa"/>
                      </w:tcPr>
                      <w:p>
                        <w:pPr>
                          <w:pStyle w:val="TableParagraph"/>
                          <w:spacing w:before="48"/>
                          <w:ind w:left="692" w:right="684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sz w:val="21"/>
                          </w:rPr>
                          <w:t>28</w:t>
                        </w:r>
                      </w:p>
                    </w:tc>
                    <w:tc>
                      <w:tcPr>
                        <w:tcW w:w="2130" w:type="dxa"/>
                      </w:tcPr>
                      <w:p>
                        <w:pPr>
                          <w:pStyle w:val="TableParagraph"/>
                          <w:spacing w:before="48"/>
                          <w:ind w:left="827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sz w:val="21"/>
                          </w:rPr>
                          <w:t>0.519</w:t>
                        </w:r>
                      </w:p>
                    </w:tc>
                    <w:tc>
                      <w:tcPr>
                        <w:tcW w:w="2136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tblInd w:w="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40"/>
                    </w:trPr>
                    <w:tc>
                      <w:tcPr>
                        <w:tcW w:w="2128" w:type="dxa"/>
                      </w:tcPr>
                      <w:p>
                        <w:pPr>
                          <w:pStyle w:val="TableParagraph"/>
                          <w:spacing w:before="49"/>
                          <w:ind w:left="692" w:right="685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sz w:val="21"/>
                          </w:rPr>
                          <w:t>2023-04</w:t>
                        </w:r>
                      </w:p>
                    </w:tc>
                    <w:tc>
                      <w:tcPr>
                        <w:tcW w:w="2128" w:type="dxa"/>
                      </w:tcPr>
                      <w:p>
                        <w:pPr>
                          <w:pStyle w:val="TableParagraph"/>
                          <w:spacing w:before="49"/>
                          <w:ind w:left="692" w:right="684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sz w:val="21"/>
                          </w:rPr>
                          <w:t>38</w:t>
                        </w:r>
                      </w:p>
                    </w:tc>
                    <w:tc>
                      <w:tcPr>
                        <w:tcW w:w="2130" w:type="dxa"/>
                      </w:tcPr>
                      <w:p>
                        <w:pPr>
                          <w:pStyle w:val="TableParagraph"/>
                          <w:spacing w:before="49"/>
                          <w:ind w:left="827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sz w:val="21"/>
                          </w:rPr>
                          <w:t>0.648</w:t>
                        </w:r>
                      </w:p>
                    </w:tc>
                    <w:tc>
                      <w:tcPr>
                        <w:tcW w:w="2136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</v:shape>
        </w:pict>
      </w:r>
      <w:r>
        <w:t>三、区域环境质量现状、环境保护目标及评价标准</w:t>
      </w:r>
    </w:p>
    <w:tbl>
      <w:tblPr>
        <w:tblStyle w:val="TableNormal"/>
        <w:tblW w:w="0" w:type="auto"/>
        <w:tblInd w:w="17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7"/>
        <w:gridCol w:w="8726"/>
      </w:tblGrid>
      <w:tr>
        <w:tblPrEx>
          <w:tblW w:w="0" w:type="auto"/>
          <w:tblInd w:w="179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/>
        </w:trPr>
        <w:tc>
          <w:tcPr>
            <w:tcW w:w="567" w:type="dxa"/>
            <w:tcBorders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726" w:type="dxa"/>
            <w:tcBorders>
              <w:left w:val="single" w:sz="4" w:space="0" w:color="000000"/>
              <w:bottom w:val="nil"/>
            </w:tcBorders>
          </w:tcPr>
          <w:p>
            <w:pPr>
              <w:pStyle w:val="TableParagraph"/>
              <w:spacing w:before="1"/>
              <w:ind w:left="454"/>
              <w:rPr>
                <w:b/>
                <w:sz w:val="24"/>
              </w:rPr>
            </w:pPr>
            <w:bookmarkStart w:id="38" w:name="1、环境空气"/>
            <w:bookmarkEnd w:id="38"/>
            <w:r>
              <w:rPr>
                <w:rFonts w:ascii="Times New Roman" w:eastAsia="Times New Roman"/>
                <w:b/>
                <w:sz w:val="24"/>
              </w:rPr>
              <w:t>1</w:t>
            </w:r>
            <w:r>
              <w:rPr>
                <w:b/>
                <w:sz w:val="24"/>
              </w:rPr>
              <w:t>、环境空气</w:t>
            </w:r>
          </w:p>
        </w:tc>
      </w:tr>
      <w:tr>
        <w:tblPrEx>
          <w:tblW w:w="0" w:type="auto"/>
          <w:tblInd w:w="179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/>
        </w:trPr>
        <w:tc>
          <w:tcPr>
            <w:tcW w:w="567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726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before="73"/>
              <w:ind w:right="32"/>
              <w:jc w:val="right"/>
              <w:rPr>
                <w:sz w:val="24"/>
              </w:rPr>
            </w:pPr>
            <w:r>
              <w:rPr>
                <w:sz w:val="24"/>
              </w:rPr>
              <w:t>按《环境影响评价技术导则 大气环境》（</w:t>
            </w:r>
            <w:r>
              <w:rPr>
                <w:rFonts w:ascii="Times New Roman" w:eastAsia="Times New Roman"/>
                <w:sz w:val="24"/>
              </w:rPr>
              <w:t>HJ2.2-2018</w:t>
            </w:r>
            <w:r>
              <w:rPr>
                <w:sz w:val="24"/>
              </w:rPr>
              <w:t>）要求，环境空气质量</w:t>
            </w:r>
          </w:p>
        </w:tc>
      </w:tr>
      <w:tr>
        <w:tblPrEx>
          <w:tblW w:w="0" w:type="auto"/>
          <w:tblInd w:w="179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/>
        </w:trPr>
        <w:tc>
          <w:tcPr>
            <w:tcW w:w="567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726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before="75"/>
              <w:ind w:left="53"/>
              <w:rPr>
                <w:sz w:val="24"/>
              </w:rPr>
            </w:pPr>
            <w:r>
              <w:rPr>
                <w:sz w:val="24"/>
              </w:rPr>
              <w:t>达标按年均浓度和相应百分分数</w:t>
            </w:r>
            <w:r>
              <w:rPr>
                <w:rFonts w:ascii="Times New Roman" w:eastAsia="Times New Roman"/>
                <w:sz w:val="24"/>
              </w:rPr>
              <w:t>24h</w:t>
            </w:r>
            <w:r>
              <w:rPr>
                <w:sz w:val="24"/>
              </w:rPr>
              <w:t>平均或</w:t>
            </w:r>
            <w:r>
              <w:rPr>
                <w:rFonts w:ascii="Times New Roman" w:eastAsia="Times New Roman"/>
                <w:sz w:val="24"/>
              </w:rPr>
              <w:t>8h</w:t>
            </w:r>
            <w:r>
              <w:rPr>
                <w:sz w:val="24"/>
              </w:rPr>
              <w:t>平均质量浓度满足</w:t>
            </w:r>
            <w:r>
              <w:rPr>
                <w:rFonts w:ascii="Times New Roman" w:eastAsia="Times New Roman"/>
                <w:sz w:val="24"/>
              </w:rPr>
              <w:t>GB3095</w:t>
            </w:r>
            <w:r>
              <w:rPr>
                <w:sz w:val="24"/>
              </w:rPr>
              <w:t>中浓度限值</w:t>
            </w:r>
          </w:p>
        </w:tc>
      </w:tr>
      <w:tr>
        <w:tblPrEx>
          <w:tblW w:w="0" w:type="auto"/>
          <w:tblInd w:w="179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/>
        </w:trPr>
        <w:tc>
          <w:tcPr>
            <w:tcW w:w="567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726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before="71"/>
              <w:ind w:left="53"/>
              <w:rPr>
                <w:sz w:val="24"/>
              </w:rPr>
            </w:pPr>
            <w:r>
              <w:rPr>
                <w:sz w:val="24"/>
              </w:rPr>
              <w:t>要求的即为达标。</w:t>
            </w:r>
          </w:p>
        </w:tc>
      </w:tr>
      <w:tr>
        <w:tblPrEx>
          <w:tblW w:w="0" w:type="auto"/>
          <w:tblInd w:w="179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/>
        </w:trPr>
        <w:tc>
          <w:tcPr>
            <w:tcW w:w="567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726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before="83"/>
              <w:ind w:right="32"/>
              <w:jc w:val="right"/>
              <w:rPr>
                <w:sz w:val="24"/>
              </w:rPr>
            </w:pPr>
            <w:r>
              <w:rPr>
                <w:sz w:val="24"/>
              </w:rPr>
              <w:t>根据德州市生态环境保护委员会办公室“工作简报”（德简</w:t>
            </w:r>
            <w:r>
              <w:rPr>
                <w:rFonts w:ascii="Times New Roman" w:eastAsia="Times New Roman" w:hAnsi="Times New Roman"/>
                <w:sz w:val="24"/>
              </w:rPr>
              <w:t>021</w:t>
            </w:r>
            <w:r>
              <w:rPr>
                <w:sz w:val="24"/>
              </w:rPr>
              <w:t>号）公开数</w:t>
            </w:r>
          </w:p>
        </w:tc>
      </w:tr>
      <w:tr>
        <w:tblPrEx>
          <w:tblW w:w="0" w:type="auto"/>
          <w:tblInd w:w="179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/>
        </w:trPr>
        <w:tc>
          <w:tcPr>
            <w:tcW w:w="567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726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before="76"/>
              <w:ind w:left="53"/>
              <w:rPr>
                <w:sz w:val="24"/>
              </w:rPr>
            </w:pPr>
            <w:r>
              <w:rPr>
                <w:sz w:val="24"/>
              </w:rPr>
              <w:t>据，选取</w:t>
            </w:r>
            <w:r>
              <w:rPr>
                <w:rFonts w:ascii="Times New Roman" w:eastAsia="Times New Roman"/>
                <w:sz w:val="24"/>
              </w:rPr>
              <w:t>2022</w:t>
            </w:r>
            <w:r>
              <w:rPr>
                <w:sz w:val="24"/>
              </w:rPr>
              <w:t>年</w:t>
            </w:r>
            <w:r>
              <w:rPr>
                <w:rFonts w:ascii="Times New Roman" w:eastAsia="Times New Roman"/>
                <w:sz w:val="24"/>
              </w:rPr>
              <w:t>1</w:t>
            </w:r>
            <w:r>
              <w:rPr>
                <w:sz w:val="24"/>
              </w:rPr>
              <w:t>月</w:t>
            </w:r>
            <w:r>
              <w:rPr>
                <w:rFonts w:ascii="Times New Roman" w:eastAsia="Times New Roman"/>
                <w:sz w:val="24"/>
              </w:rPr>
              <w:t>1</w:t>
            </w:r>
            <w:r>
              <w:rPr>
                <w:sz w:val="24"/>
              </w:rPr>
              <w:t>日～</w:t>
            </w:r>
            <w:r>
              <w:rPr>
                <w:rFonts w:ascii="Times New Roman" w:eastAsia="Times New Roman"/>
                <w:sz w:val="24"/>
              </w:rPr>
              <w:t>2022</w:t>
            </w:r>
            <w:r>
              <w:rPr>
                <w:sz w:val="24"/>
              </w:rPr>
              <w:t>年</w:t>
            </w:r>
            <w:r>
              <w:rPr>
                <w:rFonts w:ascii="Times New Roman" w:eastAsia="Times New Roman"/>
                <w:sz w:val="24"/>
              </w:rPr>
              <w:t>12</w:t>
            </w:r>
            <w:r>
              <w:rPr>
                <w:sz w:val="24"/>
              </w:rPr>
              <w:t>月</w:t>
            </w:r>
            <w:r>
              <w:rPr>
                <w:rFonts w:ascii="Times New Roman" w:eastAsia="Times New Roman"/>
                <w:sz w:val="24"/>
              </w:rPr>
              <w:t>31</w:t>
            </w:r>
            <w:r>
              <w:rPr>
                <w:sz w:val="24"/>
              </w:rPr>
              <w:t>日为一个基准年，乐陵市空气质量现状达</w:t>
            </w:r>
          </w:p>
        </w:tc>
      </w:tr>
      <w:tr>
        <w:tblPrEx>
          <w:tblW w:w="0" w:type="auto"/>
          <w:tblInd w:w="179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/>
        </w:trPr>
        <w:tc>
          <w:tcPr>
            <w:tcW w:w="567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726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before="71"/>
              <w:ind w:left="53"/>
              <w:rPr>
                <w:sz w:val="24"/>
              </w:rPr>
            </w:pPr>
            <w:r>
              <w:rPr>
                <w:sz w:val="24"/>
              </w:rPr>
              <w:t>标情况见下表。</w:t>
            </w:r>
          </w:p>
        </w:tc>
      </w:tr>
      <w:tr>
        <w:tblPrEx>
          <w:tblW w:w="0" w:type="auto"/>
          <w:tblInd w:w="179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9"/>
        </w:trPr>
        <w:tc>
          <w:tcPr>
            <w:tcW w:w="567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726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before="84"/>
              <w:ind w:left="2091" w:right="207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表</w:t>
            </w:r>
            <w:r>
              <w:rPr>
                <w:rFonts w:ascii="Times New Roman" w:eastAsia="Times New Roman"/>
                <w:b/>
                <w:sz w:val="21"/>
              </w:rPr>
              <w:t xml:space="preserve">3-1 </w:t>
            </w:r>
            <w:r>
              <w:rPr>
                <w:b/>
                <w:sz w:val="21"/>
              </w:rPr>
              <w:t>区域空气质量现状评价表</w:t>
            </w:r>
          </w:p>
        </w:tc>
      </w:tr>
      <w:tr>
        <w:tblPrEx>
          <w:tblW w:w="0" w:type="auto"/>
          <w:tblInd w:w="179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1"/>
        </w:trPr>
        <w:tc>
          <w:tcPr>
            <w:tcW w:w="567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黑体"/>
                <w:sz w:val="24"/>
              </w:rPr>
            </w:pPr>
          </w:p>
          <w:p>
            <w:pPr>
              <w:pStyle w:val="TableParagraph"/>
              <w:rPr>
                <w:rFonts w:ascii="黑体"/>
                <w:sz w:val="24"/>
              </w:rPr>
            </w:pPr>
          </w:p>
          <w:p>
            <w:pPr>
              <w:pStyle w:val="TableParagraph"/>
              <w:rPr>
                <w:rFonts w:ascii="黑体"/>
                <w:sz w:val="24"/>
              </w:rPr>
            </w:pPr>
          </w:p>
          <w:p>
            <w:pPr>
              <w:pStyle w:val="TableParagraph"/>
              <w:spacing w:before="1"/>
              <w:rPr>
                <w:rFonts w:ascii="黑体"/>
                <w:sz w:val="22"/>
              </w:rPr>
            </w:pPr>
          </w:p>
          <w:p>
            <w:pPr>
              <w:pStyle w:val="TableParagraph"/>
              <w:spacing w:line="242" w:lineRule="auto"/>
              <w:ind w:left="44" w:right="2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区域环境质量现状</w:t>
            </w:r>
          </w:p>
        </w:tc>
        <w:tc>
          <w:tcPr>
            <w:tcW w:w="8726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rPr>
                <w:rFonts w:ascii="黑体"/>
                <w:sz w:val="26"/>
              </w:rPr>
            </w:pPr>
          </w:p>
          <w:p>
            <w:pPr>
              <w:pStyle w:val="TableParagraph"/>
              <w:rPr>
                <w:rFonts w:ascii="黑体"/>
                <w:sz w:val="26"/>
              </w:rPr>
            </w:pPr>
          </w:p>
          <w:p>
            <w:pPr>
              <w:pStyle w:val="TableParagraph"/>
              <w:rPr>
                <w:rFonts w:ascii="黑体"/>
                <w:sz w:val="26"/>
              </w:rPr>
            </w:pPr>
          </w:p>
          <w:p>
            <w:pPr>
              <w:pStyle w:val="TableParagraph"/>
              <w:rPr>
                <w:rFonts w:ascii="黑体"/>
                <w:sz w:val="26"/>
              </w:rPr>
            </w:pPr>
          </w:p>
          <w:p>
            <w:pPr>
              <w:pStyle w:val="TableParagraph"/>
              <w:spacing w:before="10"/>
              <w:rPr>
                <w:rFonts w:ascii="黑体"/>
                <w:sz w:val="20"/>
              </w:rPr>
            </w:pPr>
          </w:p>
          <w:p>
            <w:pPr>
              <w:pStyle w:val="TableParagraph"/>
              <w:ind w:right="32"/>
              <w:jc w:val="right"/>
              <w:rPr>
                <w:sz w:val="24"/>
              </w:rPr>
            </w:pPr>
            <w:r>
              <w:rPr>
                <w:spacing w:val="31"/>
                <w:position w:val="2"/>
                <w:sz w:val="24"/>
              </w:rPr>
              <w:t>结果表明</w:t>
            </w:r>
            <w:r>
              <w:rPr>
                <w:rFonts w:ascii="Times New Roman" w:eastAsia="Times New Roman"/>
                <w:position w:val="2"/>
                <w:sz w:val="24"/>
              </w:rPr>
              <w:t>PM</w:t>
            </w:r>
            <w:r>
              <w:rPr>
                <w:rFonts w:ascii="Times New Roman" w:eastAsia="Times New Roman"/>
                <w:position w:val="2"/>
                <w:sz w:val="24"/>
                <w:vertAlign w:val="subscript"/>
              </w:rPr>
              <w:t>2.5</w:t>
            </w:r>
            <w:r>
              <w:rPr>
                <w:rFonts w:ascii="Times New Roman" w:eastAsia="Times New Roman"/>
                <w:spacing w:val="-27"/>
                <w:position w:val="2"/>
                <w:sz w:val="24"/>
                <w:vertAlign w:val="baseline"/>
              </w:rPr>
              <w:t xml:space="preserve"> </w:t>
            </w:r>
            <w:r>
              <w:rPr>
                <w:spacing w:val="16"/>
                <w:position w:val="2"/>
                <w:sz w:val="24"/>
                <w:vertAlign w:val="baseline"/>
              </w:rPr>
              <w:t>超标， 该地区环境空气不能满足《环境空气质量标准》</w:t>
            </w:r>
          </w:p>
          <w:p>
            <w:pPr>
              <w:pStyle w:val="TableParagraph"/>
              <w:spacing w:before="156"/>
              <w:ind w:right="32"/>
              <w:jc w:val="right"/>
              <w:rPr>
                <w:sz w:val="24"/>
              </w:rPr>
            </w:pPr>
            <w:r>
              <w:rPr>
                <w:position w:val="2"/>
                <w:sz w:val="24"/>
              </w:rPr>
              <w:t>（</w:t>
            </w:r>
            <w:r>
              <w:rPr>
                <w:rFonts w:ascii="Times New Roman" w:eastAsia="Times New Roman"/>
                <w:position w:val="2"/>
                <w:sz w:val="24"/>
              </w:rPr>
              <w:t>GB3095-2012</w:t>
            </w:r>
            <w:r>
              <w:rPr>
                <w:position w:val="2"/>
                <w:sz w:val="24"/>
              </w:rPr>
              <w:t>）</w:t>
            </w:r>
            <w:r>
              <w:rPr>
                <w:spacing w:val="7"/>
                <w:position w:val="2"/>
                <w:sz w:val="24"/>
              </w:rPr>
              <w:t>及修改单中二级标准要求。</w:t>
            </w:r>
            <w:r>
              <w:rPr>
                <w:rFonts w:ascii="Times New Roman" w:eastAsia="Times New Roman"/>
                <w:position w:val="2"/>
                <w:sz w:val="24"/>
              </w:rPr>
              <w:t>PM</w:t>
            </w:r>
            <w:r>
              <w:rPr>
                <w:rFonts w:ascii="Times New Roman" w:eastAsia="Times New Roman"/>
                <w:position w:val="2"/>
                <w:sz w:val="24"/>
                <w:vertAlign w:val="subscript"/>
              </w:rPr>
              <w:t>2.5</w:t>
            </w:r>
            <w:r>
              <w:rPr>
                <w:spacing w:val="6"/>
                <w:position w:val="2"/>
                <w:sz w:val="24"/>
                <w:vertAlign w:val="baseline"/>
              </w:rPr>
              <w:t>超标主要是地面扬尘、工业生</w:t>
            </w:r>
          </w:p>
        </w:tc>
      </w:tr>
      <w:tr>
        <w:tblPrEx>
          <w:tblW w:w="0" w:type="auto"/>
          <w:tblInd w:w="179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/>
        </w:trPr>
        <w:tc>
          <w:tcPr>
            <w:tcW w:w="567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726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before="44"/>
              <w:ind w:left="53"/>
              <w:rPr>
                <w:sz w:val="24"/>
              </w:rPr>
            </w:pPr>
            <w:r>
              <w:rPr>
                <w:sz w:val="24"/>
              </w:rPr>
              <w:t>产、机动车尾气排放等多方面因素造成的。</w:t>
            </w:r>
          </w:p>
        </w:tc>
      </w:tr>
      <w:tr>
        <w:tblPrEx>
          <w:tblW w:w="0" w:type="auto"/>
          <w:tblInd w:w="179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/>
        </w:trPr>
        <w:tc>
          <w:tcPr>
            <w:tcW w:w="567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726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before="80"/>
              <w:ind w:left="490"/>
              <w:rPr>
                <w:sz w:val="24"/>
              </w:rPr>
            </w:pPr>
            <w:r>
              <w:rPr>
                <w:sz w:val="24"/>
              </w:rPr>
              <w:t>因此区域环境空气质量现状不达标，拟建项目位于区域环境质量不达标区。</w:t>
            </w:r>
          </w:p>
        </w:tc>
      </w:tr>
      <w:tr>
        <w:tblPrEx>
          <w:tblW w:w="0" w:type="auto"/>
          <w:tblInd w:w="179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/>
        </w:trPr>
        <w:tc>
          <w:tcPr>
            <w:tcW w:w="567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726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before="83"/>
              <w:ind w:right="32"/>
              <w:jc w:val="right"/>
              <w:rPr>
                <w:sz w:val="24"/>
              </w:rPr>
            </w:pPr>
            <w:bookmarkStart w:id="39" w:name="随着《德州市新一轮“四减四增”三年行动方案（2021-2023年）》的通知的实施"/>
            <w:bookmarkEnd w:id="39"/>
            <w:r>
              <w:rPr>
                <w:sz w:val="24"/>
              </w:rPr>
              <w:t>随着《德州市新一轮“四减四增”三年行动方案（</w:t>
            </w:r>
            <w:r>
              <w:rPr>
                <w:rFonts w:ascii="Times New Roman" w:eastAsia="Times New Roman" w:hAnsi="Times New Roman"/>
                <w:sz w:val="24"/>
              </w:rPr>
              <w:t>2021-2023</w:t>
            </w:r>
            <w:r>
              <w:rPr>
                <w:sz w:val="24"/>
              </w:rPr>
              <w:t>年）》的通知的</w:t>
            </w:r>
          </w:p>
        </w:tc>
      </w:tr>
      <w:tr>
        <w:tblPrEx>
          <w:tblW w:w="0" w:type="auto"/>
          <w:tblInd w:w="179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/>
        </w:trPr>
        <w:tc>
          <w:tcPr>
            <w:tcW w:w="567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726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before="71"/>
              <w:ind w:left="10"/>
              <w:rPr>
                <w:sz w:val="24"/>
              </w:rPr>
            </w:pPr>
            <w:r>
              <w:rPr>
                <w:sz w:val="24"/>
              </w:rPr>
              <w:t>实施，空气质量会逐渐好转。</w:t>
            </w:r>
          </w:p>
        </w:tc>
      </w:tr>
      <w:tr>
        <w:tblPrEx>
          <w:tblW w:w="0" w:type="auto"/>
          <w:tblInd w:w="179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/>
        </w:trPr>
        <w:tc>
          <w:tcPr>
            <w:tcW w:w="567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726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before="83"/>
              <w:ind w:left="490"/>
              <w:rPr>
                <w:b/>
                <w:sz w:val="24"/>
              </w:rPr>
            </w:pPr>
            <w:bookmarkStart w:id="40" w:name="2、地表水"/>
            <w:bookmarkEnd w:id="40"/>
            <w:r>
              <w:rPr>
                <w:rFonts w:ascii="Times New Roman" w:eastAsia="Times New Roman"/>
                <w:b/>
                <w:sz w:val="24"/>
              </w:rPr>
              <w:t>2</w:t>
            </w:r>
            <w:r>
              <w:rPr>
                <w:b/>
                <w:sz w:val="24"/>
              </w:rPr>
              <w:t>、地表水</w:t>
            </w:r>
          </w:p>
        </w:tc>
      </w:tr>
      <w:tr>
        <w:tblPrEx>
          <w:tblW w:w="0" w:type="auto"/>
          <w:tblInd w:w="179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/>
        </w:trPr>
        <w:tc>
          <w:tcPr>
            <w:tcW w:w="567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726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before="75"/>
              <w:ind w:right="-15"/>
              <w:jc w:val="right"/>
              <w:rPr>
                <w:rFonts w:ascii="Times New Roman" w:eastAsia="Times New Roman"/>
                <w:sz w:val="24"/>
              </w:rPr>
            </w:pPr>
            <w:r>
              <w:rPr>
                <w:sz w:val="24"/>
              </w:rPr>
              <w:t xml:space="preserve">距离拟建项目最近的主要河流为马颊河，根据乐陵市环境监测站 </w:t>
            </w:r>
            <w:r>
              <w:rPr>
                <w:rFonts w:ascii="Times New Roman" w:eastAsia="Times New Roman"/>
                <w:sz w:val="24"/>
              </w:rPr>
              <w:t xml:space="preserve">2023 </w:t>
            </w:r>
            <w:r>
              <w:rPr>
                <w:sz w:val="24"/>
              </w:rPr>
              <w:t xml:space="preserve">年 </w:t>
            </w:r>
            <w:r>
              <w:rPr>
                <w:rFonts w:ascii="Times New Roman" w:eastAsia="Times New Roman"/>
                <w:sz w:val="24"/>
              </w:rPr>
              <w:t xml:space="preserve">2 </w:t>
            </w:r>
            <w:r>
              <w:rPr>
                <w:sz w:val="24"/>
              </w:rPr>
              <w:t>月</w:t>
            </w:r>
            <w:r>
              <w:rPr>
                <w:rFonts w:ascii="Times New Roman" w:eastAsia="Times New Roman"/>
                <w:sz w:val="24"/>
              </w:rPr>
              <w:t>-</w:t>
            </w:r>
          </w:p>
        </w:tc>
      </w:tr>
      <w:tr>
        <w:tblPrEx>
          <w:tblW w:w="0" w:type="auto"/>
          <w:tblInd w:w="179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/>
        </w:trPr>
        <w:tc>
          <w:tcPr>
            <w:tcW w:w="567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726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before="76"/>
              <w:ind w:left="10" w:right="-15"/>
              <w:rPr>
                <w:sz w:val="24"/>
              </w:rPr>
            </w:pPr>
            <w:r>
              <w:rPr>
                <w:rFonts w:ascii="Times New Roman" w:eastAsia="Times New Roman"/>
                <w:sz w:val="24"/>
              </w:rPr>
              <w:t>2023</w:t>
            </w:r>
            <w:r>
              <w:rPr>
                <w:rFonts w:ascii="Times New Roman" w:eastAsia="Times New Roman"/>
                <w:spacing w:val="-11"/>
                <w:sz w:val="24"/>
              </w:rPr>
              <w:t xml:space="preserve"> </w:t>
            </w:r>
            <w:r>
              <w:rPr>
                <w:spacing w:val="-30"/>
                <w:sz w:val="24"/>
              </w:rPr>
              <w:t xml:space="preserve">年 </w:t>
            </w:r>
            <w:r>
              <w:rPr>
                <w:rFonts w:ascii="Times New Roman" w:eastAsia="Times New Roman"/>
                <w:sz w:val="24"/>
              </w:rPr>
              <w:t>4</w:t>
            </w:r>
            <w:r>
              <w:rPr>
                <w:rFonts w:ascii="Times New Roman" w:eastAsia="Times New Roman"/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月对马颊河张瑟闸断面例行监测数据可知，</w:t>
            </w:r>
            <w:r>
              <w:rPr>
                <w:rFonts w:ascii="Times New Roman" w:eastAsia="Times New Roman"/>
                <w:sz w:val="24"/>
              </w:rPr>
              <w:t>COD</w:t>
            </w:r>
            <w:r>
              <w:rPr>
                <w:spacing w:val="-1"/>
                <w:sz w:val="24"/>
              </w:rPr>
              <w:t>、氨氮浓度能够满足《地</w:t>
            </w:r>
          </w:p>
        </w:tc>
      </w:tr>
      <w:tr>
        <w:tblPrEx>
          <w:tblW w:w="0" w:type="auto"/>
          <w:tblInd w:w="179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/>
        </w:trPr>
        <w:tc>
          <w:tcPr>
            <w:tcW w:w="567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726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before="75"/>
              <w:ind w:left="10"/>
              <w:rPr>
                <w:sz w:val="24"/>
              </w:rPr>
            </w:pPr>
            <w:r>
              <w:rPr>
                <w:sz w:val="24"/>
              </w:rPr>
              <w:t>表水环境质量标准》（</w:t>
            </w:r>
            <w:r>
              <w:rPr>
                <w:rFonts w:ascii="Times New Roman" w:eastAsia="Times New Roman" w:hAnsi="Times New Roman"/>
                <w:sz w:val="24"/>
              </w:rPr>
              <w:t>GB3838-2002</w:t>
            </w:r>
            <w:r>
              <w:rPr>
                <w:sz w:val="24"/>
              </w:rPr>
              <w:t>）</w:t>
            </w:r>
            <w:r>
              <w:rPr>
                <w:rFonts w:ascii="Times New Roman" w:eastAsia="Times New Roman" w:hAnsi="Times New Roman"/>
                <w:sz w:val="24"/>
              </w:rPr>
              <w:t>Ⅴ</w:t>
            </w:r>
            <w:r>
              <w:rPr>
                <w:sz w:val="24"/>
              </w:rPr>
              <w:t>类标准要求。</w:t>
            </w:r>
          </w:p>
        </w:tc>
      </w:tr>
      <w:tr>
        <w:tblPrEx>
          <w:tblW w:w="0" w:type="auto"/>
          <w:tblInd w:w="179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6"/>
        </w:trPr>
        <w:tc>
          <w:tcPr>
            <w:tcW w:w="567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726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before="74"/>
              <w:ind w:left="2093" w:right="207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表 </w:t>
            </w:r>
            <w:r>
              <w:rPr>
                <w:rFonts w:ascii="Times New Roman" w:eastAsia="Times New Roman"/>
                <w:b/>
                <w:sz w:val="21"/>
              </w:rPr>
              <w:t xml:space="preserve">3-2 </w:t>
            </w:r>
            <w:r>
              <w:rPr>
                <w:b/>
                <w:sz w:val="21"/>
              </w:rPr>
              <w:t>马颊河近期例行监测数据（单位：</w:t>
            </w:r>
            <w:r>
              <w:rPr>
                <w:rFonts w:ascii="Times New Roman" w:eastAsia="Times New Roman"/>
                <w:b/>
                <w:sz w:val="21"/>
              </w:rPr>
              <w:t>mg/L</w:t>
            </w:r>
            <w:r>
              <w:rPr>
                <w:b/>
                <w:sz w:val="21"/>
              </w:rPr>
              <w:t>）</w:t>
            </w:r>
          </w:p>
        </w:tc>
      </w:tr>
      <w:tr>
        <w:tblPrEx>
          <w:tblW w:w="0" w:type="auto"/>
          <w:tblInd w:w="179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5"/>
        </w:trPr>
        <w:tc>
          <w:tcPr>
            <w:tcW w:w="567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726" w:type="dxa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黑体"/>
                <w:sz w:val="26"/>
              </w:rPr>
            </w:pPr>
          </w:p>
          <w:p>
            <w:pPr>
              <w:pStyle w:val="TableParagraph"/>
              <w:spacing w:before="11"/>
              <w:rPr>
                <w:rFonts w:ascii="黑体"/>
                <w:sz w:val="28"/>
              </w:rPr>
            </w:pPr>
          </w:p>
          <w:p>
            <w:pPr>
              <w:pStyle w:val="TableParagraph"/>
              <w:ind w:left="490"/>
              <w:rPr>
                <w:b/>
                <w:sz w:val="24"/>
              </w:rPr>
            </w:pPr>
            <w:bookmarkStart w:id="41" w:name="3、地下水"/>
            <w:bookmarkEnd w:id="41"/>
            <w:r>
              <w:rPr>
                <w:rFonts w:ascii="Times New Roman" w:eastAsia="Times New Roman"/>
                <w:b/>
                <w:sz w:val="24"/>
              </w:rPr>
              <w:t>3</w:t>
            </w:r>
            <w:r>
              <w:rPr>
                <w:b/>
                <w:sz w:val="24"/>
              </w:rPr>
              <w:t>、地下水</w:t>
            </w:r>
          </w:p>
        </w:tc>
      </w:tr>
    </w:tbl>
    <w:p>
      <w:pPr>
        <w:spacing w:after="0"/>
        <w:rPr>
          <w:sz w:val="24"/>
        </w:rPr>
        <w:sectPr>
          <w:footerReference w:type="default" r:id="rId30"/>
          <w:pgSz w:w="11910" w:h="16850"/>
          <w:pgMar w:top="1500" w:right="1140" w:bottom="740" w:left="1140" w:header="0" w:footer="546" w:gutter="0"/>
          <w:pgNumType w:start="19"/>
          <w:cols w:num="1" w:space="720"/>
        </w:sectPr>
      </w:pPr>
    </w:p>
    <w:tbl>
      <w:tblPr>
        <w:tblStyle w:val="TableNormal"/>
        <w:tblW w:w="0" w:type="auto"/>
        <w:tblInd w:w="17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7"/>
        <w:gridCol w:w="8726"/>
      </w:tblGrid>
      <w:tr>
        <w:tblPrEx>
          <w:tblW w:w="0" w:type="auto"/>
          <w:tblInd w:w="179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3"/>
        </w:trPr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72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364" w:lineRule="auto"/>
              <w:ind w:left="53" w:right="32" w:firstLine="480"/>
              <w:jc w:val="both"/>
              <w:rPr>
                <w:sz w:val="24"/>
              </w:rPr>
            </w:pPr>
            <w:r>
              <w:rPr>
                <w:sz w:val="24"/>
              </w:rPr>
              <w:t>根据《建设项目环境影响报告表编制技术指南（污染影响类）》（试行）可知，地下水、土壤环境原则上不开展环境质量现状调查。建设项目存在地下水、土壤环境污染途径的，应结合污染源、保护目标分布情况开展现状调查以留作背景值。</w:t>
            </w:r>
          </w:p>
          <w:p>
            <w:pPr>
              <w:pStyle w:val="TableParagraph"/>
              <w:spacing w:line="364" w:lineRule="auto"/>
              <w:ind w:left="53" w:right="32" w:firstLine="480"/>
              <w:rPr>
                <w:sz w:val="24"/>
              </w:rPr>
            </w:pPr>
            <w:r>
              <w:rPr>
                <w:sz w:val="24"/>
              </w:rPr>
              <w:t>拟建项目采取报告中提出的防治措施后，生产过程中基本不存在地下水、土壤环境污染途径，所以本次评价不开展地下水、土壤环境质量现状调查。</w:t>
            </w:r>
          </w:p>
          <w:p>
            <w:pPr>
              <w:pStyle w:val="TableParagraph"/>
              <w:spacing w:line="306" w:lineRule="exact"/>
              <w:ind w:left="490"/>
              <w:rPr>
                <w:b/>
                <w:sz w:val="24"/>
              </w:rPr>
            </w:pPr>
            <w:bookmarkStart w:id="42" w:name="4、声环境"/>
            <w:bookmarkEnd w:id="42"/>
            <w:r>
              <w:rPr>
                <w:rFonts w:ascii="Times New Roman" w:eastAsia="Times New Roman"/>
                <w:b/>
                <w:sz w:val="24"/>
              </w:rPr>
              <w:t>4</w:t>
            </w:r>
            <w:r>
              <w:rPr>
                <w:b/>
                <w:sz w:val="24"/>
              </w:rPr>
              <w:t>、声环境</w:t>
            </w:r>
          </w:p>
          <w:p>
            <w:pPr>
              <w:pStyle w:val="TableParagraph"/>
              <w:spacing w:before="152" w:line="364" w:lineRule="auto"/>
              <w:ind w:left="53" w:right="32" w:firstLine="480"/>
              <w:jc w:val="both"/>
              <w:rPr>
                <w:sz w:val="24"/>
              </w:rPr>
            </w:pPr>
            <w:r>
              <w:rPr>
                <w:sz w:val="24"/>
              </w:rPr>
              <w:t>拟建项目位于山东省德州市乐陵市杨安镇</w:t>
            </w:r>
            <w:r>
              <w:rPr>
                <w:rFonts w:ascii="Times New Roman" w:eastAsia="Times New Roman"/>
                <w:sz w:val="24"/>
              </w:rPr>
              <w:t>248</w:t>
            </w:r>
            <w:r>
              <w:rPr>
                <w:sz w:val="24"/>
              </w:rPr>
              <w:t>省道西侧、</w:t>
            </w:r>
            <w:r>
              <w:rPr>
                <w:rFonts w:ascii="Times New Roman" w:eastAsia="Times New Roman"/>
                <w:sz w:val="24"/>
              </w:rPr>
              <w:t>323</w:t>
            </w:r>
            <w:r>
              <w:rPr>
                <w:sz w:val="24"/>
              </w:rPr>
              <w:t>省道南侧，拟建项目所在地周围为村庄和一般企业，项目区周围声环境质量现状能满足《声环境质量标准》（</w:t>
            </w:r>
            <w:r>
              <w:rPr>
                <w:rFonts w:ascii="Times New Roman" w:eastAsia="Times New Roman"/>
                <w:sz w:val="24"/>
              </w:rPr>
              <w:t>GB3096-2008</w:t>
            </w:r>
            <w:r>
              <w:rPr>
                <w:sz w:val="24"/>
              </w:rPr>
              <w:t>）</w:t>
            </w:r>
            <w:r>
              <w:rPr>
                <w:rFonts w:ascii="Times New Roman" w:eastAsia="Times New Roman"/>
                <w:sz w:val="24"/>
              </w:rPr>
              <w:t>2</w:t>
            </w:r>
            <w:r>
              <w:rPr>
                <w:sz w:val="24"/>
              </w:rPr>
              <w:t>类标准（即昼间</w:t>
            </w:r>
            <w:r>
              <w:rPr>
                <w:rFonts w:ascii="Times New Roman" w:eastAsia="Times New Roman"/>
                <w:sz w:val="24"/>
              </w:rPr>
              <w:t>60dB(A)</w:t>
            </w:r>
            <w:r>
              <w:rPr>
                <w:sz w:val="24"/>
              </w:rPr>
              <w:t>，夜间</w:t>
            </w:r>
            <w:r>
              <w:rPr>
                <w:rFonts w:ascii="Times New Roman" w:eastAsia="Times New Roman"/>
                <w:sz w:val="24"/>
              </w:rPr>
              <w:t>50dB(A)</w:t>
            </w:r>
            <w:r>
              <w:rPr>
                <w:sz w:val="24"/>
              </w:rPr>
              <w:t>）。</w:t>
            </w:r>
          </w:p>
          <w:p>
            <w:pPr>
              <w:pStyle w:val="TableParagraph"/>
              <w:spacing w:line="304" w:lineRule="exact"/>
              <w:ind w:left="490"/>
              <w:rPr>
                <w:b/>
                <w:sz w:val="24"/>
              </w:rPr>
            </w:pPr>
            <w:bookmarkStart w:id="43" w:name="5、生态环境"/>
            <w:bookmarkEnd w:id="43"/>
            <w:r>
              <w:rPr>
                <w:rFonts w:ascii="Times New Roman" w:eastAsia="Times New Roman"/>
                <w:b/>
                <w:spacing w:val="-12"/>
                <w:w w:val="95"/>
                <w:sz w:val="24"/>
              </w:rPr>
              <w:t>5</w:t>
            </w:r>
            <w:r>
              <w:rPr>
                <w:b/>
                <w:spacing w:val="-9"/>
                <w:w w:val="95"/>
                <w:sz w:val="24"/>
              </w:rPr>
              <w:t>、生态环境</w:t>
            </w:r>
          </w:p>
          <w:p>
            <w:pPr>
              <w:pStyle w:val="TableParagraph"/>
              <w:spacing w:before="160" w:line="362" w:lineRule="auto"/>
              <w:ind w:left="53" w:right="35" w:firstLine="480"/>
              <w:rPr>
                <w:sz w:val="24"/>
              </w:rPr>
            </w:pPr>
            <w:r>
              <w:rPr>
                <w:spacing w:val="3"/>
                <w:sz w:val="24"/>
              </w:rPr>
              <w:t>拟建项目所在地生态环境以工业生态、农业生态为主，植被多为人工栽植， 生态环境良好。</w:t>
            </w:r>
          </w:p>
        </w:tc>
      </w:tr>
      <w:tr>
        <w:tblPrEx>
          <w:tblW w:w="0" w:type="auto"/>
          <w:tblInd w:w="179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/>
        </w:trPr>
        <w:tc>
          <w:tcPr>
            <w:tcW w:w="567" w:type="dxa"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726" w:type="dxa"/>
            <w:tcBorders>
              <w:top w:val="single" w:sz="4" w:space="0" w:color="000000"/>
              <w:left w:val="single" w:sz="4" w:space="0" w:color="000000"/>
              <w:bottom w:val="nil"/>
            </w:tcBorders>
          </w:tcPr>
          <w:p>
            <w:pPr>
              <w:pStyle w:val="TableParagraph"/>
              <w:spacing w:line="302" w:lineRule="exact"/>
              <w:ind w:left="533"/>
              <w:rPr>
                <w:b/>
                <w:sz w:val="24"/>
              </w:rPr>
            </w:pPr>
            <w:r>
              <w:rPr>
                <w:rFonts w:ascii="Times New Roman" w:eastAsia="Times New Roman"/>
                <w:b/>
                <w:sz w:val="24"/>
              </w:rPr>
              <w:t>1</w:t>
            </w:r>
            <w:r>
              <w:rPr>
                <w:b/>
                <w:sz w:val="24"/>
              </w:rPr>
              <w:t>、大气环境</w:t>
            </w:r>
          </w:p>
        </w:tc>
      </w:tr>
      <w:tr>
        <w:tblPrEx>
          <w:tblW w:w="0" w:type="auto"/>
          <w:tblInd w:w="179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/>
        </w:trPr>
        <w:tc>
          <w:tcPr>
            <w:tcW w:w="567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726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before="65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厂界外</w:t>
            </w:r>
            <w:r>
              <w:rPr>
                <w:rFonts w:ascii="Times New Roman" w:eastAsia="Times New Roman"/>
                <w:sz w:val="24"/>
              </w:rPr>
              <w:t>500</w:t>
            </w:r>
            <w:r>
              <w:rPr>
                <w:sz w:val="24"/>
              </w:rPr>
              <w:t>米范围内的保护目标主要是村庄，保护目标的名称与建设项目厂界</w:t>
            </w:r>
          </w:p>
        </w:tc>
      </w:tr>
      <w:tr>
        <w:tblPrEx>
          <w:tblW w:w="0" w:type="auto"/>
          <w:tblInd w:w="179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2"/>
        </w:trPr>
        <w:tc>
          <w:tcPr>
            <w:tcW w:w="567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726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before="63"/>
              <w:ind w:left="10"/>
              <w:rPr>
                <w:sz w:val="24"/>
              </w:rPr>
            </w:pPr>
            <w:r>
              <w:rPr>
                <w:sz w:val="24"/>
              </w:rPr>
              <w:t>位置关系如下表所示。</w:t>
            </w:r>
          </w:p>
        </w:tc>
      </w:tr>
      <w:tr>
        <w:tblPrEx>
          <w:tblW w:w="0" w:type="auto"/>
          <w:tblInd w:w="179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1"/>
        </w:trPr>
        <w:tc>
          <w:tcPr>
            <w:tcW w:w="567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726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before="75"/>
              <w:ind w:left="2093" w:right="207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表</w:t>
            </w:r>
            <w:r>
              <w:rPr>
                <w:rFonts w:ascii="Times New Roman" w:eastAsia="Times New Roman"/>
                <w:b/>
                <w:sz w:val="21"/>
              </w:rPr>
              <w:t xml:space="preserve">3-3 </w:t>
            </w:r>
            <w:r>
              <w:rPr>
                <w:b/>
                <w:sz w:val="21"/>
              </w:rPr>
              <w:t>拟建项目周围大气环境保护目标</w:t>
            </w:r>
          </w:p>
        </w:tc>
      </w:tr>
      <w:tr>
        <w:tblPrEx>
          <w:tblW w:w="0" w:type="auto"/>
          <w:tblInd w:w="179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62"/>
        </w:trPr>
        <w:tc>
          <w:tcPr>
            <w:tcW w:w="567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黑体"/>
                <w:sz w:val="24"/>
              </w:rPr>
            </w:pPr>
          </w:p>
          <w:p>
            <w:pPr>
              <w:pStyle w:val="TableParagraph"/>
              <w:spacing w:before="1"/>
              <w:rPr>
                <w:rFonts w:ascii="黑体"/>
                <w:sz w:val="33"/>
              </w:rPr>
            </w:pPr>
          </w:p>
          <w:p>
            <w:pPr>
              <w:pStyle w:val="TableParagraph"/>
              <w:spacing w:line="242" w:lineRule="auto"/>
              <w:ind w:left="44" w:right="2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环境保护目标</w:t>
            </w:r>
          </w:p>
        </w:tc>
        <w:tc>
          <w:tcPr>
            <w:tcW w:w="8726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rPr>
                <w:rFonts w:ascii="黑体"/>
                <w:sz w:val="26"/>
              </w:rPr>
            </w:pPr>
          </w:p>
          <w:p>
            <w:pPr>
              <w:pStyle w:val="TableParagraph"/>
              <w:rPr>
                <w:rFonts w:ascii="黑体"/>
                <w:sz w:val="26"/>
              </w:rPr>
            </w:pPr>
          </w:p>
          <w:p>
            <w:pPr>
              <w:pStyle w:val="TableParagraph"/>
              <w:rPr>
                <w:rFonts w:ascii="黑体"/>
                <w:sz w:val="26"/>
              </w:rPr>
            </w:pPr>
          </w:p>
          <w:p>
            <w:pPr>
              <w:pStyle w:val="TableParagraph"/>
              <w:rPr>
                <w:rFonts w:ascii="黑体"/>
                <w:sz w:val="26"/>
              </w:rPr>
            </w:pPr>
          </w:p>
          <w:p>
            <w:pPr>
              <w:pStyle w:val="TableParagraph"/>
              <w:spacing w:before="231"/>
              <w:ind w:left="533"/>
              <w:rPr>
                <w:b/>
                <w:sz w:val="24"/>
              </w:rPr>
            </w:pPr>
            <w:r>
              <w:rPr>
                <w:rFonts w:ascii="Times New Roman" w:eastAsia="Times New Roman"/>
                <w:b/>
                <w:sz w:val="24"/>
              </w:rPr>
              <w:t>2</w:t>
            </w:r>
            <w:r>
              <w:rPr>
                <w:b/>
                <w:sz w:val="24"/>
              </w:rPr>
              <w:t>、声环境</w:t>
            </w:r>
          </w:p>
        </w:tc>
      </w:tr>
      <w:tr>
        <w:tblPrEx>
          <w:tblW w:w="0" w:type="auto"/>
          <w:tblInd w:w="179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/>
        </w:trPr>
        <w:tc>
          <w:tcPr>
            <w:tcW w:w="567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726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before="67"/>
              <w:ind w:left="533"/>
              <w:rPr>
                <w:sz w:val="24"/>
              </w:rPr>
            </w:pPr>
            <w:r>
              <w:rPr>
                <w:sz w:val="24"/>
              </w:rPr>
              <w:t>厂界外</w:t>
            </w:r>
            <w:r>
              <w:rPr>
                <w:rFonts w:ascii="Times New Roman" w:eastAsia="Times New Roman"/>
                <w:sz w:val="24"/>
              </w:rPr>
              <w:t>50</w:t>
            </w:r>
            <w:r>
              <w:rPr>
                <w:sz w:val="24"/>
              </w:rPr>
              <w:t>米范围内无声环境保护目标。</w:t>
            </w:r>
          </w:p>
        </w:tc>
      </w:tr>
      <w:tr>
        <w:tblPrEx>
          <w:tblW w:w="0" w:type="auto"/>
          <w:tblInd w:w="179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/>
        </w:trPr>
        <w:tc>
          <w:tcPr>
            <w:tcW w:w="567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726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before="67"/>
              <w:ind w:left="533"/>
              <w:rPr>
                <w:b/>
                <w:sz w:val="24"/>
              </w:rPr>
            </w:pPr>
            <w:r>
              <w:rPr>
                <w:rFonts w:ascii="Times New Roman" w:eastAsia="Times New Roman"/>
                <w:b/>
                <w:sz w:val="24"/>
              </w:rPr>
              <w:t>3</w:t>
            </w:r>
            <w:r>
              <w:rPr>
                <w:b/>
                <w:sz w:val="24"/>
              </w:rPr>
              <w:t>、地下水环境</w:t>
            </w:r>
          </w:p>
        </w:tc>
      </w:tr>
      <w:tr>
        <w:tblPrEx>
          <w:tblW w:w="0" w:type="auto"/>
          <w:tblInd w:w="179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/>
        </w:trPr>
        <w:tc>
          <w:tcPr>
            <w:tcW w:w="567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726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before="68"/>
              <w:ind w:right="32"/>
              <w:jc w:val="right"/>
              <w:rPr>
                <w:sz w:val="24"/>
              </w:rPr>
            </w:pPr>
            <w:r>
              <w:rPr>
                <w:sz w:val="24"/>
              </w:rPr>
              <w:t>厂界外</w:t>
            </w:r>
            <w:r>
              <w:rPr>
                <w:rFonts w:ascii="Times New Roman" w:eastAsia="Times New Roman"/>
                <w:sz w:val="24"/>
              </w:rPr>
              <w:t>500</w:t>
            </w:r>
            <w:r>
              <w:rPr>
                <w:sz w:val="24"/>
              </w:rPr>
              <w:t>米范围内无地下水集中式饮用水水源和热水、矿泉水、温泉等特殊</w:t>
            </w:r>
          </w:p>
        </w:tc>
      </w:tr>
      <w:tr>
        <w:tblPrEx>
          <w:tblW w:w="0" w:type="auto"/>
          <w:tblInd w:w="179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/>
        </w:trPr>
        <w:tc>
          <w:tcPr>
            <w:tcW w:w="567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726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before="63"/>
              <w:ind w:left="53"/>
              <w:rPr>
                <w:sz w:val="24"/>
              </w:rPr>
            </w:pPr>
            <w:r>
              <w:rPr>
                <w:sz w:val="24"/>
              </w:rPr>
              <w:t>地下水资源。</w:t>
            </w:r>
          </w:p>
        </w:tc>
      </w:tr>
      <w:tr>
        <w:tblPrEx>
          <w:tblW w:w="0" w:type="auto"/>
          <w:tblInd w:w="179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/>
        </w:trPr>
        <w:tc>
          <w:tcPr>
            <w:tcW w:w="567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726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before="77"/>
              <w:ind w:left="533"/>
              <w:rPr>
                <w:b/>
                <w:sz w:val="24"/>
              </w:rPr>
            </w:pPr>
            <w:r>
              <w:rPr>
                <w:rFonts w:ascii="Times New Roman" w:eastAsia="Times New Roman"/>
                <w:b/>
                <w:sz w:val="24"/>
              </w:rPr>
              <w:t>4</w:t>
            </w:r>
            <w:r>
              <w:rPr>
                <w:b/>
                <w:sz w:val="24"/>
              </w:rPr>
              <w:t>、生态环境</w:t>
            </w:r>
          </w:p>
        </w:tc>
      </w:tr>
      <w:tr>
        <w:tblPrEx>
          <w:tblW w:w="0" w:type="auto"/>
          <w:tblInd w:w="179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/>
        </w:trPr>
        <w:tc>
          <w:tcPr>
            <w:tcW w:w="567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726" w:type="dxa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63"/>
              <w:ind w:left="533"/>
              <w:rPr>
                <w:sz w:val="24"/>
              </w:rPr>
            </w:pPr>
            <w:r>
              <w:rPr>
                <w:sz w:val="24"/>
              </w:rPr>
              <w:t>拟建项目无新增用地。</w:t>
            </w:r>
          </w:p>
        </w:tc>
      </w:tr>
    </w:tbl>
    <w:p>
      <w:pPr>
        <w:rPr>
          <w:sz w:val="2"/>
          <w:szCs w:val="2"/>
        </w:rPr>
      </w:pPr>
      <w:r>
        <w:pict>
          <v:shape id="_x0000_s1048" o:spid="_x0000_s1047" type="#_x0000_t202" style="width:427.1pt;height:116.3pt;margin-top:481.35pt;margin-left:98.4pt;mso-height-relative:page;mso-position-horizontal-relative:page;mso-position-vertical-relative:page;mso-width-relative:page;position:absolute;z-index:251673600" coordsize="21600,21600" filled="f" stroked="f">
            <v:stroke joinstyle="miter"/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666"/>
                    <w:gridCol w:w="669"/>
                    <w:gridCol w:w="741"/>
                    <w:gridCol w:w="1478"/>
                    <w:gridCol w:w="997"/>
                    <w:gridCol w:w="2251"/>
                    <w:gridCol w:w="744"/>
                    <w:gridCol w:w="981"/>
                  </w:tblGrid>
                  <w:tr>
                    <w:tblPrEx>
                      <w:tblW w:w="0" w:type="auto"/>
                      <w:tblInd w:w="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73"/>
                    </w:trPr>
                    <w:tc>
                      <w:tcPr>
                        <w:tcW w:w="666" w:type="dxa"/>
                        <w:vMerge w:val="restart"/>
                      </w:tcPr>
                      <w:p>
                        <w:pPr>
                          <w:pStyle w:val="TableParagraph"/>
                          <w:spacing w:before="142"/>
                          <w:ind w:left="121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种类</w:t>
                        </w:r>
                      </w:p>
                    </w:tc>
                    <w:tc>
                      <w:tcPr>
                        <w:tcW w:w="1410" w:type="dxa"/>
                        <w:gridSpan w:val="2"/>
                      </w:tcPr>
                      <w:p>
                        <w:pPr>
                          <w:pStyle w:val="TableParagraph"/>
                          <w:spacing w:line="253" w:lineRule="exact"/>
                          <w:ind w:left="471" w:right="466"/>
                          <w:jc w:val="center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坐标</w:t>
                        </w:r>
                      </w:p>
                    </w:tc>
                    <w:tc>
                      <w:tcPr>
                        <w:tcW w:w="1478" w:type="dxa"/>
                        <w:vMerge w:val="restart"/>
                      </w:tcPr>
                      <w:p>
                        <w:pPr>
                          <w:pStyle w:val="TableParagraph"/>
                          <w:spacing w:before="142"/>
                          <w:ind w:left="316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保护对象</w:t>
                        </w:r>
                      </w:p>
                    </w:tc>
                    <w:tc>
                      <w:tcPr>
                        <w:tcW w:w="997" w:type="dxa"/>
                        <w:vMerge w:val="restart"/>
                      </w:tcPr>
                      <w:p>
                        <w:pPr>
                          <w:pStyle w:val="TableParagraph"/>
                          <w:spacing w:before="4" w:line="270" w:lineRule="atLeast"/>
                          <w:ind w:left="285" w:right="279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保护内容</w:t>
                        </w:r>
                      </w:p>
                    </w:tc>
                    <w:tc>
                      <w:tcPr>
                        <w:tcW w:w="2251" w:type="dxa"/>
                        <w:vMerge w:val="restart"/>
                      </w:tcPr>
                      <w:p>
                        <w:pPr>
                          <w:pStyle w:val="TableParagraph"/>
                          <w:spacing w:before="142"/>
                          <w:ind w:left="596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环境功能区</w:t>
                        </w:r>
                      </w:p>
                    </w:tc>
                    <w:tc>
                      <w:tcPr>
                        <w:tcW w:w="744" w:type="dxa"/>
                        <w:vMerge w:val="restart"/>
                      </w:tcPr>
                      <w:p>
                        <w:pPr>
                          <w:pStyle w:val="TableParagraph"/>
                          <w:spacing w:before="4" w:line="270" w:lineRule="atLeast"/>
                          <w:ind w:left="56" w:right="43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相对厂址方位</w:t>
                        </w:r>
                      </w:p>
                    </w:tc>
                    <w:tc>
                      <w:tcPr>
                        <w:tcW w:w="981" w:type="dxa"/>
                        <w:vMerge w:val="restart"/>
                      </w:tcPr>
                      <w:p>
                        <w:pPr>
                          <w:pStyle w:val="TableParagraph"/>
                          <w:spacing w:before="4" w:line="270" w:lineRule="atLeast"/>
                          <w:ind w:left="162" w:right="57" w:hanging="94"/>
                          <w:rPr>
                            <w:rFonts w:ascii="Times New Roman" w:eastAsia="Times New Roman"/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相对厂界距离</w:t>
                        </w:r>
                        <w:r>
                          <w:rPr>
                            <w:rFonts w:ascii="Times New Roman" w:eastAsia="Times New Roman"/>
                            <w:b/>
                            <w:sz w:val="21"/>
                          </w:rPr>
                          <w:t>/m</w:t>
                        </w:r>
                      </w:p>
                    </w:tc>
                  </w:tr>
                  <w:tr>
                    <w:tblPrEx>
                      <w:tblW w:w="0" w:type="auto"/>
                      <w:tblInd w:w="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72"/>
                    </w:trPr>
                    <w:tc>
                      <w:tcPr>
                        <w:tcW w:w="666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69" w:type="dxa"/>
                      </w:tcPr>
                      <w:p>
                        <w:pPr>
                          <w:pStyle w:val="TableParagraph"/>
                          <w:spacing w:before="14" w:line="238" w:lineRule="exact"/>
                          <w:ind w:left="121" w:right="113"/>
                          <w:jc w:val="center"/>
                          <w:rPr>
                            <w:rFonts w:ascii="Times New Roman"/>
                            <w:b/>
                            <w:sz w:val="21"/>
                          </w:rPr>
                        </w:pPr>
                        <w:r>
                          <w:rPr>
                            <w:rFonts w:ascii="Times New Roman"/>
                            <w:b/>
                            <w:sz w:val="21"/>
                          </w:rPr>
                          <w:t>X/m</w:t>
                        </w:r>
                      </w:p>
                    </w:tc>
                    <w:tc>
                      <w:tcPr>
                        <w:tcW w:w="741" w:type="dxa"/>
                      </w:tcPr>
                      <w:p>
                        <w:pPr>
                          <w:pStyle w:val="TableParagraph"/>
                          <w:spacing w:before="14" w:line="238" w:lineRule="exact"/>
                          <w:ind w:left="154" w:right="149"/>
                          <w:jc w:val="center"/>
                          <w:rPr>
                            <w:rFonts w:ascii="Times New Roman"/>
                            <w:b/>
                            <w:sz w:val="21"/>
                          </w:rPr>
                        </w:pPr>
                        <w:r>
                          <w:rPr>
                            <w:rFonts w:ascii="Times New Roman"/>
                            <w:b/>
                            <w:sz w:val="21"/>
                          </w:rPr>
                          <w:t>Y/m</w:t>
                        </w:r>
                      </w:p>
                    </w:tc>
                    <w:tc>
                      <w:tcPr>
                        <w:tcW w:w="1478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97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251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44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81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tblInd w:w="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40"/>
                    </w:trPr>
                    <w:tc>
                      <w:tcPr>
                        <w:tcW w:w="666" w:type="dxa"/>
                        <w:vMerge w:val="restart"/>
                      </w:tcPr>
                      <w:p>
                        <w:pPr>
                          <w:pStyle w:val="TableParagraph"/>
                          <w:rPr>
                            <w:rFonts w:ascii="黑体"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spacing w:before="6"/>
                          <w:rPr>
                            <w:rFonts w:ascii="黑体"/>
                            <w:sz w:val="26"/>
                          </w:rPr>
                        </w:pPr>
                      </w:p>
                      <w:p>
                        <w:pPr>
                          <w:pStyle w:val="TableParagraph"/>
                          <w:spacing w:line="244" w:lineRule="auto"/>
                          <w:ind w:left="133" w:right="67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环境空气</w:t>
                        </w:r>
                      </w:p>
                    </w:tc>
                    <w:tc>
                      <w:tcPr>
                        <w:tcW w:w="669" w:type="dxa"/>
                      </w:tcPr>
                      <w:p>
                        <w:pPr>
                          <w:pStyle w:val="TableParagraph"/>
                          <w:spacing w:before="48"/>
                          <w:ind w:left="121" w:right="113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sz w:val="21"/>
                          </w:rPr>
                          <w:t>63</w:t>
                        </w:r>
                      </w:p>
                    </w:tc>
                    <w:tc>
                      <w:tcPr>
                        <w:tcW w:w="741" w:type="dxa"/>
                      </w:tcPr>
                      <w:p>
                        <w:pPr>
                          <w:pStyle w:val="TableParagraph"/>
                          <w:spacing w:before="48"/>
                          <w:ind w:left="155" w:right="146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sz w:val="21"/>
                          </w:rPr>
                          <w:t>50</w:t>
                        </w:r>
                      </w:p>
                    </w:tc>
                    <w:tc>
                      <w:tcPr>
                        <w:tcW w:w="1478" w:type="dxa"/>
                      </w:tcPr>
                      <w:p>
                        <w:pPr>
                          <w:pStyle w:val="TableParagraph"/>
                          <w:spacing w:before="32"/>
                          <w:ind w:left="165" w:right="158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飞达家园</w:t>
                        </w:r>
                      </w:p>
                    </w:tc>
                    <w:tc>
                      <w:tcPr>
                        <w:tcW w:w="997" w:type="dxa"/>
                      </w:tcPr>
                      <w:p>
                        <w:pPr>
                          <w:pStyle w:val="TableParagraph"/>
                          <w:spacing w:before="32"/>
                          <w:ind w:left="266" w:right="260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居民</w:t>
                        </w:r>
                      </w:p>
                    </w:tc>
                    <w:tc>
                      <w:tcPr>
                        <w:tcW w:w="2251" w:type="dxa"/>
                        <w:vMerge w:val="restart"/>
                      </w:tcPr>
                      <w:p>
                        <w:pPr>
                          <w:pStyle w:val="TableParagraph"/>
                          <w:rPr>
                            <w:rFonts w:ascii="黑体"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spacing w:before="6"/>
                          <w:rPr>
                            <w:rFonts w:ascii="黑体"/>
                            <w:sz w:val="26"/>
                          </w:rPr>
                        </w:pPr>
                      </w:p>
                      <w:p>
                        <w:pPr>
                          <w:pStyle w:val="TableParagraph"/>
                          <w:ind w:left="75"/>
                          <w:rPr>
                            <w:sz w:val="21"/>
                          </w:rPr>
                        </w:pPr>
                        <w:r>
                          <w:rPr>
                            <w:w w:val="95"/>
                            <w:sz w:val="21"/>
                          </w:rPr>
                          <w:t>《环境空气质量标准》</w:t>
                        </w:r>
                      </w:p>
                      <w:p>
                        <w:pPr>
                          <w:pStyle w:val="TableParagraph"/>
                          <w:spacing w:before="5"/>
                          <w:ind w:left="104"/>
                          <w:rPr>
                            <w:sz w:val="21"/>
                          </w:rPr>
                        </w:pPr>
                        <w:r>
                          <w:rPr>
                            <w:w w:val="95"/>
                            <w:sz w:val="21"/>
                          </w:rPr>
                          <w:t>（</w:t>
                        </w:r>
                        <w:r>
                          <w:rPr>
                            <w:rFonts w:ascii="Times New Roman" w:eastAsia="Times New Roman"/>
                            <w:w w:val="95"/>
                            <w:sz w:val="21"/>
                          </w:rPr>
                          <w:t>GB3095-2012</w:t>
                        </w:r>
                        <w:r>
                          <w:rPr>
                            <w:w w:val="95"/>
                            <w:sz w:val="21"/>
                          </w:rPr>
                          <w:t>）二级</w:t>
                        </w:r>
                      </w:p>
                    </w:tc>
                    <w:tc>
                      <w:tcPr>
                        <w:tcW w:w="744" w:type="dxa"/>
                      </w:tcPr>
                      <w:p>
                        <w:pPr>
                          <w:pStyle w:val="TableParagraph"/>
                          <w:spacing w:before="48"/>
                          <w:ind w:right="221"/>
                          <w:jc w:val="right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w w:val="95"/>
                            <w:sz w:val="21"/>
                          </w:rPr>
                          <w:t>NE</w:t>
                        </w:r>
                      </w:p>
                    </w:tc>
                    <w:tc>
                      <w:tcPr>
                        <w:tcW w:w="981" w:type="dxa"/>
                      </w:tcPr>
                      <w:p>
                        <w:pPr>
                          <w:pStyle w:val="TableParagraph"/>
                          <w:spacing w:before="48"/>
                          <w:ind w:left="306" w:right="284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sz w:val="21"/>
                          </w:rPr>
                          <w:t>80</w:t>
                        </w:r>
                      </w:p>
                    </w:tc>
                  </w:tr>
                  <w:tr>
                    <w:tblPrEx>
                      <w:tblW w:w="0" w:type="auto"/>
                      <w:tblInd w:w="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40"/>
                    </w:trPr>
                    <w:tc>
                      <w:tcPr>
                        <w:tcW w:w="666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69" w:type="dxa"/>
                      </w:tcPr>
                      <w:p>
                        <w:pPr>
                          <w:pStyle w:val="TableParagraph"/>
                          <w:spacing w:before="48"/>
                          <w:ind w:left="121" w:right="113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sz w:val="21"/>
                          </w:rPr>
                          <w:t>330</w:t>
                        </w:r>
                      </w:p>
                    </w:tc>
                    <w:tc>
                      <w:tcPr>
                        <w:tcW w:w="741" w:type="dxa"/>
                      </w:tcPr>
                      <w:p>
                        <w:pPr>
                          <w:pStyle w:val="TableParagraph"/>
                          <w:spacing w:before="48"/>
                          <w:ind w:left="9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w w:val="99"/>
                            <w:sz w:val="21"/>
                          </w:rPr>
                          <w:t>0</w:t>
                        </w:r>
                      </w:p>
                    </w:tc>
                    <w:tc>
                      <w:tcPr>
                        <w:tcW w:w="1478" w:type="dxa"/>
                      </w:tcPr>
                      <w:p>
                        <w:pPr>
                          <w:pStyle w:val="TableParagraph"/>
                          <w:spacing w:before="27"/>
                          <w:ind w:left="170" w:right="158"/>
                          <w:jc w:val="center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大苑香榭里</w:t>
                        </w:r>
                      </w:p>
                    </w:tc>
                    <w:tc>
                      <w:tcPr>
                        <w:tcW w:w="997" w:type="dxa"/>
                      </w:tcPr>
                      <w:p>
                        <w:pPr>
                          <w:pStyle w:val="TableParagraph"/>
                          <w:spacing w:before="32"/>
                          <w:ind w:left="266" w:right="260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居民</w:t>
                        </w:r>
                      </w:p>
                    </w:tc>
                    <w:tc>
                      <w:tcPr>
                        <w:tcW w:w="2251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44" w:type="dxa"/>
                      </w:tcPr>
                      <w:p>
                        <w:pPr>
                          <w:pStyle w:val="TableParagraph"/>
                          <w:spacing w:before="42"/>
                          <w:ind w:left="8"/>
                          <w:jc w:val="center"/>
                          <w:rPr>
                            <w:rFonts w:ascii="Times New Roman"/>
                            <w:sz w:val="22"/>
                          </w:rPr>
                        </w:pPr>
                        <w:r>
                          <w:rPr>
                            <w:rFonts w:ascii="Times New Roman"/>
                            <w:w w:val="100"/>
                            <w:sz w:val="22"/>
                          </w:rPr>
                          <w:t>E</w:t>
                        </w:r>
                      </w:p>
                    </w:tc>
                    <w:tc>
                      <w:tcPr>
                        <w:tcW w:w="981" w:type="dxa"/>
                      </w:tcPr>
                      <w:p>
                        <w:pPr>
                          <w:pStyle w:val="TableParagraph"/>
                          <w:spacing w:before="42"/>
                          <w:ind w:left="306" w:right="295"/>
                          <w:jc w:val="center"/>
                          <w:rPr>
                            <w:rFonts w:ascii="Times New Roman"/>
                            <w:sz w:val="22"/>
                          </w:rPr>
                        </w:pPr>
                        <w:r>
                          <w:rPr>
                            <w:rFonts w:ascii="Times New Roman"/>
                            <w:sz w:val="22"/>
                          </w:rPr>
                          <w:t>330</w:t>
                        </w:r>
                      </w:p>
                    </w:tc>
                  </w:tr>
                  <w:tr>
                    <w:tblPrEx>
                      <w:tblW w:w="0" w:type="auto"/>
                      <w:tblInd w:w="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40"/>
                    </w:trPr>
                    <w:tc>
                      <w:tcPr>
                        <w:tcW w:w="666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69" w:type="dxa"/>
                      </w:tcPr>
                      <w:p>
                        <w:pPr>
                          <w:pStyle w:val="TableParagraph"/>
                          <w:spacing w:before="49"/>
                          <w:ind w:left="121" w:right="113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sz w:val="21"/>
                          </w:rPr>
                          <w:t>-280</w:t>
                        </w:r>
                      </w:p>
                    </w:tc>
                    <w:tc>
                      <w:tcPr>
                        <w:tcW w:w="741" w:type="dxa"/>
                      </w:tcPr>
                      <w:p>
                        <w:pPr>
                          <w:pStyle w:val="TableParagraph"/>
                          <w:spacing w:before="49"/>
                          <w:ind w:left="155" w:right="148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sz w:val="21"/>
                          </w:rPr>
                          <w:t>-230</w:t>
                        </w:r>
                      </w:p>
                    </w:tc>
                    <w:tc>
                      <w:tcPr>
                        <w:tcW w:w="1478" w:type="dxa"/>
                      </w:tcPr>
                      <w:p>
                        <w:pPr>
                          <w:pStyle w:val="TableParagraph"/>
                          <w:spacing w:before="32"/>
                          <w:ind w:left="165" w:right="158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安子李村</w:t>
                        </w:r>
                      </w:p>
                    </w:tc>
                    <w:tc>
                      <w:tcPr>
                        <w:tcW w:w="997" w:type="dxa"/>
                      </w:tcPr>
                      <w:p>
                        <w:pPr>
                          <w:pStyle w:val="TableParagraph"/>
                          <w:spacing w:before="32"/>
                          <w:ind w:left="266" w:right="260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居民</w:t>
                        </w:r>
                      </w:p>
                    </w:tc>
                    <w:tc>
                      <w:tcPr>
                        <w:tcW w:w="2251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44" w:type="dxa"/>
                      </w:tcPr>
                      <w:p>
                        <w:pPr>
                          <w:pStyle w:val="TableParagraph"/>
                          <w:spacing w:before="49"/>
                          <w:ind w:right="206"/>
                          <w:jc w:val="right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w w:val="95"/>
                            <w:sz w:val="21"/>
                          </w:rPr>
                          <w:t>SW</w:t>
                        </w:r>
                      </w:p>
                    </w:tc>
                    <w:tc>
                      <w:tcPr>
                        <w:tcW w:w="981" w:type="dxa"/>
                      </w:tcPr>
                      <w:p>
                        <w:pPr>
                          <w:pStyle w:val="TableParagraph"/>
                          <w:spacing w:before="49"/>
                          <w:ind w:left="305" w:right="295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sz w:val="21"/>
                          </w:rPr>
                          <w:t>360</w:t>
                        </w:r>
                      </w:p>
                    </w:tc>
                  </w:tr>
                  <w:tr>
                    <w:tblPrEx>
                      <w:tblW w:w="0" w:type="auto"/>
                      <w:tblInd w:w="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40"/>
                    </w:trPr>
                    <w:tc>
                      <w:tcPr>
                        <w:tcW w:w="666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69" w:type="dxa"/>
                      </w:tcPr>
                      <w:p>
                        <w:pPr>
                          <w:pStyle w:val="TableParagraph"/>
                          <w:spacing w:before="47"/>
                          <w:ind w:left="121" w:right="113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sz w:val="21"/>
                          </w:rPr>
                          <w:t>-330</w:t>
                        </w:r>
                      </w:p>
                    </w:tc>
                    <w:tc>
                      <w:tcPr>
                        <w:tcW w:w="741" w:type="dxa"/>
                      </w:tcPr>
                      <w:p>
                        <w:pPr>
                          <w:pStyle w:val="TableParagraph"/>
                          <w:spacing w:before="47"/>
                          <w:ind w:left="155" w:right="146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sz w:val="21"/>
                          </w:rPr>
                          <w:t>340</w:t>
                        </w:r>
                      </w:p>
                    </w:tc>
                    <w:tc>
                      <w:tcPr>
                        <w:tcW w:w="1478" w:type="dxa"/>
                      </w:tcPr>
                      <w:p>
                        <w:pPr>
                          <w:pStyle w:val="TableParagraph"/>
                          <w:spacing w:before="28"/>
                          <w:ind w:left="170" w:right="158"/>
                          <w:jc w:val="center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双白庙村</w:t>
                        </w:r>
                      </w:p>
                    </w:tc>
                    <w:tc>
                      <w:tcPr>
                        <w:tcW w:w="997" w:type="dxa"/>
                      </w:tcPr>
                      <w:p>
                        <w:pPr>
                          <w:pStyle w:val="TableParagraph"/>
                          <w:spacing w:before="33"/>
                          <w:ind w:left="266" w:right="260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居民</w:t>
                        </w:r>
                      </w:p>
                    </w:tc>
                    <w:tc>
                      <w:tcPr>
                        <w:tcW w:w="2251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44" w:type="dxa"/>
                      </w:tcPr>
                      <w:p>
                        <w:pPr>
                          <w:pStyle w:val="TableParagraph"/>
                          <w:spacing w:before="42"/>
                          <w:ind w:right="213"/>
                          <w:jc w:val="right"/>
                          <w:rPr>
                            <w:rFonts w:ascii="Times New Roman"/>
                            <w:sz w:val="22"/>
                          </w:rPr>
                        </w:pPr>
                        <w:r>
                          <w:rPr>
                            <w:rFonts w:ascii="Times New Roman"/>
                            <w:sz w:val="22"/>
                          </w:rPr>
                          <w:t>NE</w:t>
                        </w:r>
                      </w:p>
                    </w:tc>
                    <w:tc>
                      <w:tcPr>
                        <w:tcW w:w="981" w:type="dxa"/>
                      </w:tcPr>
                      <w:p>
                        <w:pPr>
                          <w:pStyle w:val="TableParagraph"/>
                          <w:spacing w:before="42"/>
                          <w:ind w:left="306" w:right="295"/>
                          <w:jc w:val="center"/>
                          <w:rPr>
                            <w:rFonts w:ascii="Times New Roman"/>
                            <w:sz w:val="22"/>
                          </w:rPr>
                        </w:pPr>
                        <w:r>
                          <w:rPr>
                            <w:rFonts w:ascii="Times New Roman"/>
                            <w:sz w:val="22"/>
                          </w:rPr>
                          <w:t>470</w:t>
                        </w:r>
                      </w:p>
                    </w:tc>
                  </w:tr>
                  <w:tr>
                    <w:tblPrEx>
                      <w:tblW w:w="0" w:type="auto"/>
                      <w:tblInd w:w="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40"/>
                    </w:trPr>
                    <w:tc>
                      <w:tcPr>
                        <w:tcW w:w="666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69" w:type="dxa"/>
                      </w:tcPr>
                      <w:p>
                        <w:pPr>
                          <w:pStyle w:val="TableParagraph"/>
                          <w:spacing w:before="47"/>
                          <w:ind w:left="8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w w:val="99"/>
                            <w:sz w:val="21"/>
                          </w:rPr>
                          <w:t>0</w:t>
                        </w:r>
                      </w:p>
                    </w:tc>
                    <w:tc>
                      <w:tcPr>
                        <w:tcW w:w="741" w:type="dxa"/>
                      </w:tcPr>
                      <w:p>
                        <w:pPr>
                          <w:pStyle w:val="TableParagraph"/>
                          <w:spacing w:before="47"/>
                          <w:ind w:left="155" w:right="146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sz w:val="21"/>
                          </w:rPr>
                          <w:t>495</w:t>
                        </w:r>
                      </w:p>
                    </w:tc>
                    <w:tc>
                      <w:tcPr>
                        <w:tcW w:w="1478" w:type="dxa"/>
                      </w:tcPr>
                      <w:p>
                        <w:pPr>
                          <w:pStyle w:val="TableParagraph"/>
                          <w:spacing w:before="28"/>
                          <w:ind w:left="170" w:right="158"/>
                          <w:jc w:val="center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王大腿村</w:t>
                        </w:r>
                      </w:p>
                    </w:tc>
                    <w:tc>
                      <w:tcPr>
                        <w:tcW w:w="997" w:type="dxa"/>
                      </w:tcPr>
                      <w:p>
                        <w:pPr>
                          <w:pStyle w:val="TableParagraph"/>
                          <w:spacing w:before="33"/>
                          <w:ind w:left="266" w:right="260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居民</w:t>
                        </w:r>
                      </w:p>
                    </w:tc>
                    <w:tc>
                      <w:tcPr>
                        <w:tcW w:w="2251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44" w:type="dxa"/>
                      </w:tcPr>
                      <w:p>
                        <w:pPr>
                          <w:pStyle w:val="TableParagraph"/>
                          <w:spacing w:before="40"/>
                          <w:ind w:left="9"/>
                          <w:jc w:val="center"/>
                          <w:rPr>
                            <w:rFonts w:ascii="Times New Roman"/>
                            <w:sz w:val="22"/>
                          </w:rPr>
                        </w:pPr>
                        <w:r>
                          <w:rPr>
                            <w:rFonts w:ascii="Times New Roman"/>
                            <w:w w:val="100"/>
                            <w:sz w:val="22"/>
                          </w:rPr>
                          <w:t>N</w:t>
                        </w:r>
                      </w:p>
                    </w:tc>
                    <w:tc>
                      <w:tcPr>
                        <w:tcW w:w="981" w:type="dxa"/>
                      </w:tcPr>
                      <w:p>
                        <w:pPr>
                          <w:pStyle w:val="TableParagraph"/>
                          <w:spacing w:before="40"/>
                          <w:ind w:left="306" w:right="295"/>
                          <w:jc w:val="center"/>
                          <w:rPr>
                            <w:rFonts w:ascii="Times New Roman"/>
                            <w:sz w:val="22"/>
                          </w:rPr>
                        </w:pPr>
                        <w:r>
                          <w:rPr>
                            <w:rFonts w:ascii="Times New Roman"/>
                            <w:sz w:val="22"/>
                          </w:rPr>
                          <w:t>495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</v:shape>
        </w:pict>
      </w:r>
    </w:p>
    <w:p>
      <w:pPr>
        <w:spacing w:after="0"/>
        <w:rPr>
          <w:sz w:val="2"/>
          <w:szCs w:val="2"/>
        </w:rPr>
        <w:sectPr>
          <w:footerReference w:type="default" r:id="rId31"/>
          <w:pgSz w:w="11910" w:h="16850"/>
          <w:pgMar w:top="1540" w:right="1140" w:bottom="740" w:left="1140" w:header="0" w:footer="546" w:gutter="0"/>
          <w:pgNumType w:start="20"/>
          <w:cols w:num="1" w:space="720"/>
        </w:sectPr>
      </w:pPr>
    </w:p>
    <w:tbl>
      <w:tblPr>
        <w:tblStyle w:val="TableNormal"/>
        <w:tblW w:w="0" w:type="auto"/>
        <w:tblInd w:w="1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7"/>
        <w:gridCol w:w="8726"/>
      </w:tblGrid>
      <w:tr>
        <w:tblPrEx>
          <w:tblW w:w="0" w:type="auto"/>
          <w:tblInd w:w="174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11"/>
        </w:trPr>
        <w:tc>
          <w:tcPr>
            <w:tcW w:w="567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726" w:type="dxa"/>
            <w:tcBorders>
              <w:bottom w:val="nil"/>
            </w:tcBorders>
          </w:tcPr>
          <w:p>
            <w:pPr>
              <w:pStyle w:val="TableParagraph"/>
              <w:spacing w:line="302" w:lineRule="exact"/>
              <w:ind w:left="439"/>
              <w:rPr>
                <w:b/>
                <w:sz w:val="24"/>
              </w:rPr>
            </w:pPr>
            <w:bookmarkStart w:id="44" w:name="1、废气"/>
            <w:bookmarkEnd w:id="44"/>
            <w:r>
              <w:rPr>
                <w:rFonts w:ascii="Times New Roman" w:eastAsia="Times New Roman"/>
                <w:b/>
                <w:sz w:val="24"/>
              </w:rPr>
              <w:t>1</w:t>
            </w:r>
            <w:r>
              <w:rPr>
                <w:b/>
                <w:sz w:val="24"/>
              </w:rPr>
              <w:t>、废气</w:t>
            </w:r>
          </w:p>
          <w:p>
            <w:pPr>
              <w:pStyle w:val="TableParagraph"/>
              <w:spacing w:before="158"/>
              <w:ind w:left="528"/>
              <w:rPr>
                <w:sz w:val="24"/>
              </w:rPr>
            </w:pPr>
            <w:r>
              <w:rPr>
                <w:sz w:val="24"/>
              </w:rPr>
              <w:t>（</w:t>
            </w:r>
            <w:r>
              <w:rPr>
                <w:rFonts w:ascii="Times New Roman" w:eastAsia="Times New Roman"/>
                <w:sz w:val="24"/>
              </w:rPr>
              <w:t>1</w:t>
            </w:r>
            <w:r>
              <w:rPr>
                <w:sz w:val="24"/>
              </w:rPr>
              <w:t>）颗粒物、二氧化硫、氮氧化物</w:t>
            </w:r>
          </w:p>
          <w:p>
            <w:pPr>
              <w:pStyle w:val="TableParagraph"/>
              <w:spacing w:before="160" w:line="362" w:lineRule="auto"/>
              <w:ind w:left="48" w:right="37" w:firstLine="480"/>
              <w:rPr>
                <w:sz w:val="24"/>
              </w:rPr>
            </w:pPr>
            <w:r>
              <w:rPr>
                <w:spacing w:val="26"/>
                <w:sz w:val="24"/>
              </w:rPr>
              <w:t>有组织排放浓度执行《区域性大气污染物综合排放标准》</w:t>
            </w:r>
            <w:r>
              <w:rPr>
                <w:sz w:val="24"/>
              </w:rPr>
              <w:t>（</w:t>
            </w:r>
            <w:r>
              <w:rPr>
                <w:spacing w:val="-96"/>
                <w:sz w:val="24"/>
              </w:rPr>
              <w:t xml:space="preserve"> </w:t>
            </w:r>
            <w:r>
              <w:rPr>
                <w:rFonts w:ascii="Times New Roman" w:eastAsia="Times New Roman"/>
                <w:sz w:val="24"/>
              </w:rPr>
              <w:t>DB37/2376- 2019</w:t>
            </w:r>
            <w:r>
              <w:rPr>
                <w:sz w:val="24"/>
              </w:rPr>
              <w:t>）</w:t>
            </w:r>
            <w:r>
              <w:rPr>
                <w:spacing w:val="4"/>
                <w:sz w:val="24"/>
              </w:rPr>
              <w:t>表</w:t>
            </w:r>
            <w:r>
              <w:rPr>
                <w:rFonts w:ascii="Times New Roman" w:eastAsia="Times New Roman"/>
                <w:sz w:val="24"/>
              </w:rPr>
              <w:t>1</w:t>
            </w:r>
            <w:r>
              <w:rPr>
                <w:sz w:val="24"/>
              </w:rPr>
              <w:t>一般控制区标准限值要求，排放速率执行《大气污染物综合排放标准》</w:t>
            </w:r>
          </w:p>
          <w:p>
            <w:pPr>
              <w:pStyle w:val="TableParagraph"/>
              <w:spacing w:before="5"/>
              <w:ind w:left="48"/>
              <w:rPr>
                <w:sz w:val="24"/>
              </w:rPr>
            </w:pPr>
            <w:r>
              <w:rPr>
                <w:sz w:val="24"/>
              </w:rPr>
              <w:t>（</w:t>
            </w:r>
            <w:r>
              <w:rPr>
                <w:rFonts w:ascii="Times New Roman" w:eastAsia="Times New Roman"/>
                <w:sz w:val="24"/>
              </w:rPr>
              <w:t>GB16297-1996</w:t>
            </w:r>
            <w:r>
              <w:rPr>
                <w:sz w:val="24"/>
              </w:rPr>
              <w:t>）表</w:t>
            </w:r>
            <w:r>
              <w:rPr>
                <w:rFonts w:ascii="Times New Roman" w:eastAsia="Times New Roman"/>
                <w:sz w:val="24"/>
              </w:rPr>
              <w:t>2</w:t>
            </w:r>
            <w:r>
              <w:rPr>
                <w:sz w:val="24"/>
              </w:rPr>
              <w:t>中二级标准限值要求。</w:t>
            </w:r>
          </w:p>
          <w:p>
            <w:pPr>
              <w:pStyle w:val="TableParagraph"/>
              <w:spacing w:before="156"/>
              <w:ind w:left="2019" w:right="1977"/>
              <w:jc w:val="center"/>
              <w:rPr>
                <w:b/>
                <w:sz w:val="21"/>
              </w:rPr>
            </w:pPr>
            <w:r>
              <w:rPr>
                <w:b/>
                <w:position w:val="2"/>
                <w:sz w:val="21"/>
              </w:rPr>
              <w:t>表</w:t>
            </w:r>
            <w:r>
              <w:rPr>
                <w:rFonts w:ascii="Times New Roman" w:eastAsia="Times New Roman"/>
                <w:b/>
                <w:position w:val="2"/>
                <w:sz w:val="21"/>
              </w:rPr>
              <w:t xml:space="preserve">3-4 </w:t>
            </w:r>
            <w:r>
              <w:rPr>
                <w:b/>
                <w:position w:val="2"/>
                <w:sz w:val="21"/>
              </w:rPr>
              <w:t>颗粒物、</w:t>
            </w:r>
            <w:r>
              <w:rPr>
                <w:rFonts w:ascii="Times New Roman" w:eastAsia="Times New Roman"/>
                <w:b/>
                <w:position w:val="2"/>
                <w:sz w:val="21"/>
              </w:rPr>
              <w:t>SO</w:t>
            </w:r>
            <w:r>
              <w:rPr>
                <w:rFonts w:ascii="Times New Roman" w:eastAsia="Times New Roman"/>
                <w:b/>
                <w:position w:val="2"/>
                <w:sz w:val="21"/>
                <w:vertAlign w:val="subscript"/>
              </w:rPr>
              <w:t>2</w:t>
            </w:r>
            <w:r>
              <w:rPr>
                <w:b/>
                <w:position w:val="2"/>
                <w:sz w:val="21"/>
                <w:vertAlign w:val="baseline"/>
              </w:rPr>
              <w:t>、</w:t>
            </w:r>
            <w:r>
              <w:rPr>
                <w:rFonts w:ascii="Times New Roman" w:eastAsia="Times New Roman"/>
                <w:b/>
                <w:position w:val="2"/>
                <w:sz w:val="21"/>
                <w:vertAlign w:val="baseline"/>
              </w:rPr>
              <w:t>NO</w:t>
            </w:r>
            <w:r>
              <w:rPr>
                <w:rFonts w:ascii="Times New Roman" w:eastAsia="Times New Roman"/>
                <w:b/>
                <w:position w:val="2"/>
                <w:sz w:val="21"/>
                <w:vertAlign w:val="subscript"/>
              </w:rPr>
              <w:t>X</w:t>
            </w:r>
            <w:r>
              <w:rPr>
                <w:b/>
                <w:position w:val="2"/>
                <w:sz w:val="21"/>
                <w:vertAlign w:val="baseline"/>
              </w:rPr>
              <w:t>浓度有组织排放标准限值</w:t>
            </w:r>
          </w:p>
        </w:tc>
      </w:tr>
      <w:tr>
        <w:tblPrEx>
          <w:tblW w:w="0" w:type="auto"/>
          <w:tblInd w:w="17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24"/>
        </w:trPr>
        <w:tc>
          <w:tcPr>
            <w:tcW w:w="56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72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黑体"/>
                <w:sz w:val="24"/>
              </w:rPr>
            </w:pPr>
          </w:p>
          <w:p>
            <w:pPr>
              <w:pStyle w:val="TableParagraph"/>
              <w:rPr>
                <w:rFonts w:ascii="黑体"/>
                <w:sz w:val="24"/>
              </w:rPr>
            </w:pPr>
          </w:p>
          <w:p>
            <w:pPr>
              <w:pStyle w:val="TableParagraph"/>
              <w:spacing w:before="172" w:line="362" w:lineRule="auto"/>
              <w:ind w:left="48" w:right="37" w:firstLine="480"/>
              <w:rPr>
                <w:sz w:val="24"/>
              </w:rPr>
            </w:pPr>
            <w:r>
              <w:rPr>
                <w:sz w:val="24"/>
              </w:rPr>
              <w:t>无组织排放浓度执行《大气污染物综合排放标准》（</w:t>
            </w:r>
            <w:r>
              <w:rPr>
                <w:rFonts w:ascii="Times New Roman" w:eastAsia="Times New Roman"/>
                <w:sz w:val="24"/>
              </w:rPr>
              <w:t>GB16297-1996</w:t>
            </w:r>
            <w:r>
              <w:rPr>
                <w:sz w:val="24"/>
              </w:rPr>
              <w:t xml:space="preserve">）表 </w:t>
            </w:r>
            <w:r>
              <w:rPr>
                <w:rFonts w:ascii="Times New Roman" w:eastAsia="Times New Roman"/>
                <w:sz w:val="24"/>
              </w:rPr>
              <w:t xml:space="preserve">2 </w:t>
            </w:r>
            <w:r>
              <w:rPr>
                <w:sz w:val="24"/>
              </w:rPr>
              <w:t>标准。</w:t>
            </w:r>
          </w:p>
          <w:p>
            <w:pPr>
              <w:pStyle w:val="TableParagraph"/>
              <w:spacing w:before="1"/>
              <w:ind w:left="2194"/>
              <w:rPr>
                <w:b/>
                <w:sz w:val="21"/>
              </w:rPr>
            </w:pPr>
            <w:r>
              <w:rPr>
                <w:b/>
                <w:position w:val="2"/>
                <w:sz w:val="21"/>
              </w:rPr>
              <w:t xml:space="preserve">表 </w:t>
            </w:r>
            <w:r>
              <w:rPr>
                <w:rFonts w:ascii="Times New Roman" w:eastAsia="Times New Roman"/>
                <w:b/>
                <w:position w:val="2"/>
                <w:sz w:val="21"/>
              </w:rPr>
              <w:t xml:space="preserve">3-5 </w:t>
            </w:r>
            <w:r>
              <w:rPr>
                <w:b/>
                <w:position w:val="2"/>
                <w:sz w:val="21"/>
              </w:rPr>
              <w:t>颗粒物、</w:t>
            </w:r>
            <w:r>
              <w:rPr>
                <w:rFonts w:ascii="Times New Roman" w:eastAsia="Times New Roman"/>
                <w:b/>
                <w:position w:val="2"/>
                <w:sz w:val="21"/>
              </w:rPr>
              <w:t>SO</w:t>
            </w:r>
            <w:r>
              <w:rPr>
                <w:rFonts w:ascii="Times New Roman" w:eastAsia="Times New Roman"/>
                <w:b/>
                <w:position w:val="2"/>
                <w:sz w:val="21"/>
                <w:vertAlign w:val="subscript"/>
              </w:rPr>
              <w:t>2</w:t>
            </w:r>
            <w:r>
              <w:rPr>
                <w:b/>
                <w:position w:val="2"/>
                <w:sz w:val="21"/>
                <w:vertAlign w:val="baseline"/>
              </w:rPr>
              <w:t>、</w:t>
            </w:r>
            <w:r>
              <w:rPr>
                <w:rFonts w:ascii="Times New Roman" w:eastAsia="Times New Roman"/>
                <w:b/>
                <w:position w:val="2"/>
                <w:sz w:val="21"/>
                <w:vertAlign w:val="baseline"/>
              </w:rPr>
              <w:t>NO</w:t>
            </w:r>
            <w:r>
              <w:rPr>
                <w:rFonts w:ascii="Times New Roman" w:eastAsia="Times New Roman"/>
                <w:b/>
                <w:position w:val="2"/>
                <w:sz w:val="21"/>
                <w:vertAlign w:val="subscript"/>
              </w:rPr>
              <w:t>X</w:t>
            </w:r>
            <w:r>
              <w:rPr>
                <w:rFonts w:ascii="Times New Roman" w:eastAsia="Times New Roman"/>
                <w:b/>
                <w:position w:val="2"/>
                <w:sz w:val="21"/>
                <w:vertAlign w:val="baseline"/>
              </w:rPr>
              <w:t xml:space="preserve"> </w:t>
            </w:r>
            <w:r>
              <w:rPr>
                <w:b/>
                <w:position w:val="2"/>
                <w:sz w:val="21"/>
                <w:vertAlign w:val="baseline"/>
              </w:rPr>
              <w:t>无组织排放标准限值</w:t>
            </w:r>
          </w:p>
        </w:tc>
      </w:tr>
      <w:tr>
        <w:tblPrEx>
          <w:tblW w:w="0" w:type="auto"/>
          <w:tblInd w:w="17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2"/>
        </w:trPr>
        <w:tc>
          <w:tcPr>
            <w:tcW w:w="56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98"/>
              <w:ind w:right="33"/>
              <w:jc w:val="right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污染</w:t>
            </w:r>
          </w:p>
        </w:tc>
        <w:tc>
          <w:tcPr>
            <w:tcW w:w="872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blPrEx>
          <w:tblW w:w="0" w:type="auto"/>
          <w:tblInd w:w="17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/>
        </w:trPr>
        <w:tc>
          <w:tcPr>
            <w:tcW w:w="56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71"/>
              <w:ind w:right="33"/>
              <w:jc w:val="right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物排</w:t>
            </w:r>
          </w:p>
        </w:tc>
        <w:tc>
          <w:tcPr>
            <w:tcW w:w="872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blPrEx>
          <w:tblW w:w="0" w:type="auto"/>
          <w:tblInd w:w="17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/>
        </w:trPr>
        <w:tc>
          <w:tcPr>
            <w:tcW w:w="56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71"/>
              <w:ind w:right="33"/>
              <w:jc w:val="right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放控</w:t>
            </w:r>
          </w:p>
        </w:tc>
        <w:tc>
          <w:tcPr>
            <w:tcW w:w="872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blPrEx>
          <w:tblW w:w="0" w:type="auto"/>
          <w:tblInd w:w="17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1"/>
        </w:trPr>
        <w:tc>
          <w:tcPr>
            <w:tcW w:w="56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91" w:line="364" w:lineRule="auto"/>
              <w:ind w:left="161" w:right="33" w:hanging="120"/>
              <w:rPr>
                <w:b/>
                <w:sz w:val="24"/>
              </w:rPr>
            </w:pPr>
            <w:r>
              <w:rPr>
                <w:b/>
                <w:sz w:val="24"/>
              </w:rPr>
              <w:t>制标准</w:t>
            </w:r>
          </w:p>
        </w:tc>
        <w:tc>
          <w:tcPr>
            <w:tcW w:w="872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0"/>
              <w:ind w:left="528"/>
              <w:rPr>
                <w:sz w:val="24"/>
              </w:rPr>
            </w:pPr>
            <w:r>
              <w:rPr>
                <w:sz w:val="24"/>
              </w:rPr>
              <w:t>（</w:t>
            </w:r>
            <w:r>
              <w:rPr>
                <w:rFonts w:ascii="Times New Roman" w:eastAsia="Times New Roman"/>
                <w:sz w:val="24"/>
              </w:rPr>
              <w:t>2</w:t>
            </w:r>
            <w:r>
              <w:rPr>
                <w:sz w:val="24"/>
              </w:rPr>
              <w:t>）油烟</w:t>
            </w:r>
          </w:p>
          <w:p>
            <w:pPr>
              <w:pStyle w:val="TableParagraph"/>
              <w:spacing w:before="161" w:line="362" w:lineRule="auto"/>
              <w:ind w:left="48" w:right="37" w:firstLine="480"/>
              <w:rPr>
                <w:sz w:val="24"/>
              </w:rPr>
            </w:pPr>
            <w:r>
              <w:rPr>
                <w:sz w:val="24"/>
              </w:rPr>
              <w:t>拟建项目设置煮酱锅共</w:t>
            </w:r>
            <w:r>
              <w:rPr>
                <w:rFonts w:ascii="Times New Roman" w:eastAsia="Times New Roman" w:hAnsi="Times New Roman"/>
                <w:sz w:val="24"/>
              </w:rPr>
              <w:t>5</w:t>
            </w:r>
            <w:r>
              <w:rPr>
                <w:sz w:val="24"/>
              </w:rPr>
              <w:t>台且设置</w:t>
            </w:r>
            <w:r>
              <w:rPr>
                <w:rFonts w:ascii="Times New Roman" w:eastAsia="Times New Roman" w:hAnsi="Times New Roman"/>
                <w:sz w:val="24"/>
              </w:rPr>
              <w:t>12m</w:t>
            </w:r>
            <w:r>
              <w:rPr>
                <w:sz w:val="24"/>
              </w:rPr>
              <w:t>²的集气罩，依据《山东省饮食油烟排放标准》（</w:t>
            </w:r>
            <w:r>
              <w:rPr>
                <w:rFonts w:ascii="Times New Roman" w:eastAsia="Times New Roman" w:hAnsi="Times New Roman"/>
                <w:sz w:val="24"/>
              </w:rPr>
              <w:t>DB37/597-2006</w:t>
            </w:r>
            <w:r>
              <w:rPr>
                <w:sz w:val="24"/>
              </w:rPr>
              <w:t>）表</w:t>
            </w:r>
            <w:r>
              <w:rPr>
                <w:rFonts w:ascii="Times New Roman" w:eastAsia="Times New Roman" w:hAnsi="Times New Roman"/>
                <w:sz w:val="24"/>
              </w:rPr>
              <w:t>1</w:t>
            </w:r>
            <w:r>
              <w:rPr>
                <w:sz w:val="24"/>
              </w:rPr>
              <w:t>，属于大型规模。</w:t>
            </w:r>
          </w:p>
          <w:p>
            <w:pPr>
              <w:pStyle w:val="TableParagraph"/>
              <w:spacing w:before="5" w:line="362" w:lineRule="auto"/>
              <w:ind w:left="48" w:right="37" w:firstLine="480"/>
              <w:rPr>
                <w:sz w:val="24"/>
              </w:rPr>
            </w:pPr>
            <w:r>
              <w:rPr>
                <w:sz w:val="24"/>
              </w:rPr>
              <w:t>油烟有组织排放执行《山东省饮食油烟排放标准》（</w:t>
            </w:r>
            <w:r>
              <w:rPr>
                <w:rFonts w:ascii="Times New Roman" w:eastAsia="Times New Roman"/>
                <w:sz w:val="24"/>
              </w:rPr>
              <w:t>DB37/597-2006</w:t>
            </w:r>
            <w:r>
              <w:rPr>
                <w:sz w:val="24"/>
              </w:rPr>
              <w:t>）表</w:t>
            </w:r>
            <w:r>
              <w:rPr>
                <w:rFonts w:ascii="Times New Roman" w:eastAsia="Times New Roman"/>
                <w:sz w:val="24"/>
              </w:rPr>
              <w:t>2</w:t>
            </w:r>
            <w:r>
              <w:rPr>
                <w:sz w:val="24"/>
              </w:rPr>
              <w:t>大型标准浓度限值要求。</w:t>
            </w:r>
          </w:p>
          <w:p>
            <w:pPr>
              <w:pStyle w:val="TableParagraph"/>
              <w:spacing w:before="3"/>
              <w:ind w:left="2738"/>
              <w:rPr>
                <w:b/>
                <w:sz w:val="21"/>
              </w:rPr>
            </w:pPr>
            <w:r>
              <w:rPr>
                <w:b/>
                <w:sz w:val="21"/>
              </w:rPr>
              <w:t>表</w:t>
            </w:r>
            <w:r>
              <w:rPr>
                <w:rFonts w:ascii="Times New Roman" w:eastAsia="Times New Roman"/>
                <w:b/>
                <w:sz w:val="21"/>
              </w:rPr>
              <w:t xml:space="preserve">3-6 </w:t>
            </w:r>
            <w:r>
              <w:rPr>
                <w:b/>
                <w:sz w:val="21"/>
              </w:rPr>
              <w:t>油烟浓度有组织排放标准限值</w:t>
            </w:r>
          </w:p>
        </w:tc>
      </w:tr>
      <w:tr>
        <w:tblPrEx>
          <w:tblW w:w="0" w:type="auto"/>
          <w:tblInd w:w="17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3"/>
        </w:trPr>
        <w:tc>
          <w:tcPr>
            <w:tcW w:w="56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72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5"/>
              <w:rPr>
                <w:rFonts w:ascii="黑体"/>
                <w:sz w:val="30"/>
              </w:rPr>
            </w:pPr>
          </w:p>
          <w:p>
            <w:pPr>
              <w:pStyle w:val="TableParagraph"/>
              <w:ind w:left="528"/>
              <w:rPr>
                <w:sz w:val="24"/>
              </w:rPr>
            </w:pPr>
            <w:r>
              <w:rPr>
                <w:sz w:val="24"/>
              </w:rPr>
              <w:t>（</w:t>
            </w:r>
            <w:r>
              <w:rPr>
                <w:rFonts w:ascii="Times New Roman" w:eastAsia="Times New Roman"/>
                <w:sz w:val="24"/>
              </w:rPr>
              <w:t>3</w:t>
            </w:r>
            <w:r>
              <w:rPr>
                <w:sz w:val="24"/>
              </w:rPr>
              <w:t>）恶臭</w:t>
            </w:r>
          </w:p>
        </w:tc>
      </w:tr>
      <w:tr>
        <w:tblPrEx>
          <w:tblW w:w="0" w:type="auto"/>
          <w:tblInd w:w="17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1"/>
        </w:trPr>
        <w:tc>
          <w:tcPr>
            <w:tcW w:w="56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72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92"/>
              <w:ind w:left="485" w:right="-15"/>
              <w:rPr>
                <w:sz w:val="24"/>
              </w:rPr>
            </w:pPr>
            <w:r>
              <w:rPr>
                <w:spacing w:val="7"/>
                <w:sz w:val="24"/>
              </w:rPr>
              <w:t>恶臭有组织排放执行《山东省饮食油烟排放标准》</w:t>
            </w:r>
            <w:r>
              <w:rPr>
                <w:sz w:val="24"/>
              </w:rPr>
              <w:t>（</w:t>
            </w:r>
            <w:r>
              <w:rPr>
                <w:rFonts w:ascii="Times New Roman" w:eastAsia="Times New Roman"/>
                <w:sz w:val="24"/>
              </w:rPr>
              <w:t>DB37/597-2006</w:t>
            </w:r>
            <w:r>
              <w:rPr>
                <w:sz w:val="24"/>
              </w:rPr>
              <w:t>）</w:t>
            </w:r>
            <w:r>
              <w:rPr>
                <w:spacing w:val="4"/>
                <w:sz w:val="24"/>
              </w:rPr>
              <w:t>中饮食</w:t>
            </w:r>
          </w:p>
          <w:p>
            <w:pPr>
              <w:pStyle w:val="TableParagraph"/>
              <w:spacing w:before="158"/>
              <w:ind w:left="5"/>
              <w:rPr>
                <w:sz w:val="24"/>
              </w:rPr>
            </w:pPr>
            <w:r>
              <w:rPr>
                <w:sz w:val="24"/>
              </w:rPr>
              <w:t>业单位排气筒恶臭污染物标准。</w:t>
            </w:r>
          </w:p>
        </w:tc>
      </w:tr>
      <w:tr>
        <w:tblPrEx>
          <w:tblW w:w="0" w:type="auto"/>
          <w:tblInd w:w="17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7"/>
        </w:trPr>
        <w:tc>
          <w:tcPr>
            <w:tcW w:w="56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72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00"/>
              <w:ind w:left="1983" w:right="197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表</w:t>
            </w:r>
            <w:r>
              <w:rPr>
                <w:rFonts w:ascii="Times New Roman" w:eastAsia="Times New Roman"/>
                <w:b/>
                <w:sz w:val="21"/>
              </w:rPr>
              <w:t xml:space="preserve">3-7 </w:t>
            </w:r>
            <w:r>
              <w:rPr>
                <w:b/>
                <w:sz w:val="21"/>
              </w:rPr>
              <w:t>臭气浓度有组织排放标准限值</w:t>
            </w:r>
          </w:p>
        </w:tc>
      </w:tr>
      <w:tr>
        <w:tblPrEx>
          <w:tblW w:w="0" w:type="auto"/>
          <w:tblInd w:w="17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5"/>
        </w:trPr>
        <w:tc>
          <w:tcPr>
            <w:tcW w:w="567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726" w:type="dxa"/>
            <w:tcBorders>
              <w:top w:val="nil"/>
            </w:tcBorders>
          </w:tcPr>
          <w:p>
            <w:pPr>
              <w:pStyle w:val="TableParagraph"/>
              <w:spacing w:before="5"/>
              <w:rPr>
                <w:rFonts w:ascii="黑体"/>
                <w:sz w:val="30"/>
              </w:rPr>
            </w:pPr>
          </w:p>
          <w:p>
            <w:pPr>
              <w:pStyle w:val="TableParagraph"/>
              <w:ind w:left="528"/>
              <w:rPr>
                <w:sz w:val="24"/>
              </w:rPr>
            </w:pPr>
            <w:r>
              <w:rPr>
                <w:sz w:val="24"/>
              </w:rPr>
              <w:t>恶臭无组织排放执行《恶臭污染物排放标准》（</w:t>
            </w:r>
            <w:r>
              <w:rPr>
                <w:rFonts w:ascii="Times New Roman" w:eastAsia="Times New Roman"/>
                <w:sz w:val="24"/>
              </w:rPr>
              <w:t>GB14554-93</w:t>
            </w:r>
            <w:r>
              <w:rPr>
                <w:sz w:val="24"/>
              </w:rPr>
              <w:t>）中表</w:t>
            </w:r>
            <w:r>
              <w:rPr>
                <w:rFonts w:ascii="Times New Roman" w:eastAsia="Times New Roman"/>
                <w:sz w:val="24"/>
              </w:rPr>
              <w:t>1</w:t>
            </w:r>
            <w:r>
              <w:rPr>
                <w:sz w:val="24"/>
              </w:rPr>
              <w:t>二级标准</w:t>
            </w:r>
          </w:p>
        </w:tc>
      </w:tr>
    </w:tbl>
    <w:p>
      <w:pPr>
        <w:rPr>
          <w:sz w:val="2"/>
          <w:szCs w:val="2"/>
        </w:rPr>
      </w:pPr>
      <w:r>
        <w:pict>
          <v:shape id="_x0000_s1049" o:spid="_x0000_s1048" type="#_x0000_t202" style="width:427.35pt;height:79.9pt;margin-top:207.9pt;margin-left:98.4pt;mso-height-relative:page;mso-position-horizontal-relative:page;mso-position-vertical-relative:page;mso-width-relative:page;position:absolute;z-index:251674624" coordsize="21600,21600" filled="f" stroked="f">
            <v:stroke joinstyle="miter"/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2942"/>
                    <w:gridCol w:w="2796"/>
                    <w:gridCol w:w="2794"/>
                  </w:tblGrid>
                  <w:tr>
                    <w:tblPrEx>
                      <w:tblW w:w="0" w:type="auto"/>
                      <w:tblInd w:w="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86"/>
                    </w:trPr>
                    <w:tc>
                      <w:tcPr>
                        <w:tcW w:w="2942" w:type="dxa"/>
                      </w:tcPr>
                      <w:p>
                        <w:pPr>
                          <w:pStyle w:val="TableParagraph"/>
                          <w:spacing w:before="57"/>
                          <w:ind w:left="1133" w:right="1126"/>
                          <w:jc w:val="center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污染物</w:t>
                        </w:r>
                      </w:p>
                    </w:tc>
                    <w:tc>
                      <w:tcPr>
                        <w:tcW w:w="2796" w:type="dxa"/>
                      </w:tcPr>
                      <w:p>
                        <w:pPr>
                          <w:pStyle w:val="TableParagraph"/>
                          <w:spacing w:before="57"/>
                          <w:ind w:left="434" w:right="427"/>
                          <w:jc w:val="center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浓度限值（</w:t>
                        </w:r>
                        <w:r>
                          <w:rPr>
                            <w:rFonts w:ascii="Times New Roman" w:eastAsia="Times New Roman" w:hAnsi="Times New Roman"/>
                            <w:b/>
                            <w:sz w:val="21"/>
                          </w:rPr>
                          <w:t>mg/m</w:t>
                        </w:r>
                        <w:r>
                          <w:rPr>
                            <w:b/>
                            <w:sz w:val="21"/>
                          </w:rPr>
                          <w:t>³）</w:t>
                        </w:r>
                      </w:p>
                    </w:tc>
                    <w:tc>
                      <w:tcPr>
                        <w:tcW w:w="2794" w:type="dxa"/>
                      </w:tcPr>
                      <w:p>
                        <w:pPr>
                          <w:pStyle w:val="TableParagraph"/>
                          <w:spacing w:before="57"/>
                          <w:ind w:left="544" w:right="537"/>
                          <w:jc w:val="center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速率限值（</w:t>
                        </w:r>
                        <w:r>
                          <w:rPr>
                            <w:rFonts w:ascii="Times New Roman" w:eastAsia="Times New Roman"/>
                            <w:b/>
                            <w:sz w:val="21"/>
                          </w:rPr>
                          <w:t>kg/h</w:t>
                        </w:r>
                        <w:r>
                          <w:rPr>
                            <w:b/>
                            <w:sz w:val="21"/>
                          </w:rPr>
                          <w:t>）</w:t>
                        </w:r>
                      </w:p>
                    </w:tc>
                  </w:tr>
                  <w:tr>
                    <w:tblPrEx>
                      <w:tblW w:w="0" w:type="auto"/>
                      <w:tblInd w:w="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87"/>
                    </w:trPr>
                    <w:tc>
                      <w:tcPr>
                        <w:tcW w:w="2942" w:type="dxa"/>
                      </w:tcPr>
                      <w:p>
                        <w:pPr>
                          <w:pStyle w:val="TableParagraph"/>
                          <w:spacing w:before="67"/>
                          <w:ind w:left="1133" w:right="1123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position w:val="2"/>
                            <w:sz w:val="21"/>
                          </w:rPr>
                          <w:t>SO</w:t>
                        </w:r>
                        <w:r>
                          <w:rPr>
                            <w:rFonts w:ascii="Times New Roman"/>
                            <w:position w:val="2"/>
                            <w:sz w:val="21"/>
                            <w:vertAlign w:val="subscript"/>
                          </w:rPr>
                          <w:t>2</w:t>
                        </w:r>
                      </w:p>
                    </w:tc>
                    <w:tc>
                      <w:tcPr>
                        <w:tcW w:w="2796" w:type="dxa"/>
                      </w:tcPr>
                      <w:p>
                        <w:pPr>
                          <w:pStyle w:val="TableParagraph"/>
                          <w:spacing w:before="70"/>
                          <w:ind w:left="434" w:right="423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sz w:val="21"/>
                          </w:rPr>
                          <w:t>100</w:t>
                        </w:r>
                      </w:p>
                    </w:tc>
                    <w:tc>
                      <w:tcPr>
                        <w:tcW w:w="2794" w:type="dxa"/>
                      </w:tcPr>
                      <w:p>
                        <w:pPr>
                          <w:pStyle w:val="TableParagraph"/>
                          <w:spacing w:before="70"/>
                          <w:ind w:left="544" w:right="536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sz w:val="21"/>
                          </w:rPr>
                          <w:t>2.6</w:t>
                        </w:r>
                      </w:p>
                    </w:tc>
                  </w:tr>
                  <w:tr>
                    <w:tblPrEx>
                      <w:tblW w:w="0" w:type="auto"/>
                      <w:tblInd w:w="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87"/>
                    </w:trPr>
                    <w:tc>
                      <w:tcPr>
                        <w:tcW w:w="2942" w:type="dxa"/>
                      </w:tcPr>
                      <w:p>
                        <w:pPr>
                          <w:pStyle w:val="TableParagraph"/>
                          <w:spacing w:before="68"/>
                          <w:ind w:left="1133" w:right="1125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position w:val="2"/>
                            <w:sz w:val="21"/>
                          </w:rPr>
                          <w:t>NO</w:t>
                        </w:r>
                        <w:r>
                          <w:rPr>
                            <w:rFonts w:ascii="Times New Roman"/>
                            <w:position w:val="2"/>
                            <w:sz w:val="21"/>
                            <w:vertAlign w:val="subscript"/>
                          </w:rPr>
                          <w:t>x</w:t>
                        </w:r>
                      </w:p>
                    </w:tc>
                    <w:tc>
                      <w:tcPr>
                        <w:tcW w:w="2796" w:type="dxa"/>
                      </w:tcPr>
                      <w:p>
                        <w:pPr>
                          <w:pStyle w:val="TableParagraph"/>
                          <w:spacing w:before="71"/>
                          <w:ind w:left="434" w:right="423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sz w:val="21"/>
                          </w:rPr>
                          <w:t>200</w:t>
                        </w:r>
                      </w:p>
                    </w:tc>
                    <w:tc>
                      <w:tcPr>
                        <w:tcW w:w="2794" w:type="dxa"/>
                      </w:tcPr>
                      <w:p>
                        <w:pPr>
                          <w:pStyle w:val="TableParagraph"/>
                          <w:spacing w:before="71"/>
                          <w:ind w:left="544" w:right="536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sz w:val="21"/>
                          </w:rPr>
                          <w:t>0.77</w:t>
                        </w:r>
                      </w:p>
                    </w:tc>
                  </w:tr>
                  <w:tr>
                    <w:tblPrEx>
                      <w:tblW w:w="0" w:type="auto"/>
                      <w:tblInd w:w="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86"/>
                    </w:trPr>
                    <w:tc>
                      <w:tcPr>
                        <w:tcW w:w="2942" w:type="dxa"/>
                      </w:tcPr>
                      <w:p>
                        <w:pPr>
                          <w:pStyle w:val="TableParagraph"/>
                          <w:spacing w:before="57"/>
                          <w:ind w:left="1133" w:right="1124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颗粒物</w:t>
                        </w:r>
                      </w:p>
                    </w:tc>
                    <w:tc>
                      <w:tcPr>
                        <w:tcW w:w="2796" w:type="dxa"/>
                      </w:tcPr>
                      <w:p>
                        <w:pPr>
                          <w:pStyle w:val="TableParagraph"/>
                          <w:spacing w:before="70"/>
                          <w:ind w:left="434" w:right="423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sz w:val="21"/>
                          </w:rPr>
                          <w:t>20</w:t>
                        </w:r>
                      </w:p>
                    </w:tc>
                    <w:tc>
                      <w:tcPr>
                        <w:tcW w:w="2794" w:type="dxa"/>
                      </w:tcPr>
                      <w:p>
                        <w:pPr>
                          <w:pStyle w:val="TableParagraph"/>
                          <w:spacing w:before="70"/>
                          <w:ind w:left="544" w:right="536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sz w:val="21"/>
                          </w:rPr>
                          <w:t>3.5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</v:shape>
        </w:pict>
      </w:r>
      <w:r>
        <w:pict>
          <v:shape id="_x0000_s1050" o:spid="_x0000_s1049" type="#_x0000_t202" style="width:427.35pt;height:79.9pt;margin-top:348.1pt;margin-left:98.4pt;mso-height-relative:page;mso-position-horizontal-relative:page;mso-position-vertical-relative:page;mso-width-relative:page;position:absolute;z-index:251675648" coordsize="21600,21600" filled="f" stroked="f">
            <v:stroke joinstyle="miter"/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2667"/>
                    <w:gridCol w:w="3296"/>
                    <w:gridCol w:w="2569"/>
                  </w:tblGrid>
                  <w:tr>
                    <w:tblPrEx>
                      <w:tblW w:w="0" w:type="auto"/>
                      <w:tblInd w:w="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87"/>
                    </w:trPr>
                    <w:tc>
                      <w:tcPr>
                        <w:tcW w:w="2667" w:type="dxa"/>
                      </w:tcPr>
                      <w:p>
                        <w:pPr>
                          <w:pStyle w:val="TableParagraph"/>
                          <w:spacing w:before="56"/>
                          <w:ind w:left="996" w:right="988"/>
                          <w:jc w:val="center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污染物</w:t>
                        </w:r>
                      </w:p>
                    </w:tc>
                    <w:tc>
                      <w:tcPr>
                        <w:tcW w:w="5865" w:type="dxa"/>
                        <w:gridSpan w:val="2"/>
                      </w:tcPr>
                      <w:p>
                        <w:pPr>
                          <w:pStyle w:val="TableParagraph"/>
                          <w:spacing w:before="56"/>
                          <w:ind w:left="1251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无组织排放监控浓度限值（</w:t>
                        </w:r>
                        <w:r>
                          <w:rPr>
                            <w:rFonts w:ascii="Times New Roman" w:eastAsia="Times New Roman" w:hAnsi="Times New Roman"/>
                            <w:b/>
                            <w:sz w:val="21"/>
                          </w:rPr>
                          <w:t>mg/m</w:t>
                        </w:r>
                        <w:r>
                          <w:rPr>
                            <w:b/>
                            <w:sz w:val="21"/>
                          </w:rPr>
                          <w:t>³）</w:t>
                        </w:r>
                      </w:p>
                    </w:tc>
                  </w:tr>
                  <w:tr>
                    <w:tblPrEx>
                      <w:tblW w:w="0" w:type="auto"/>
                      <w:tblInd w:w="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86"/>
                    </w:trPr>
                    <w:tc>
                      <w:tcPr>
                        <w:tcW w:w="2667" w:type="dxa"/>
                      </w:tcPr>
                      <w:p>
                        <w:pPr>
                          <w:pStyle w:val="TableParagraph"/>
                          <w:spacing w:before="68"/>
                          <w:ind w:left="995" w:right="988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position w:val="2"/>
                            <w:sz w:val="21"/>
                          </w:rPr>
                          <w:t>SO</w:t>
                        </w:r>
                        <w:r>
                          <w:rPr>
                            <w:rFonts w:ascii="Times New Roman"/>
                            <w:position w:val="2"/>
                            <w:sz w:val="21"/>
                            <w:vertAlign w:val="subscript"/>
                          </w:rPr>
                          <w:t>2</w:t>
                        </w:r>
                      </w:p>
                    </w:tc>
                    <w:tc>
                      <w:tcPr>
                        <w:tcW w:w="3296" w:type="dxa"/>
                      </w:tcPr>
                      <w:p>
                        <w:pPr>
                          <w:pStyle w:val="TableParagraph"/>
                          <w:spacing w:before="58"/>
                          <w:ind w:left="786" w:right="779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周界外浓度最高点</w:t>
                        </w:r>
                      </w:p>
                    </w:tc>
                    <w:tc>
                      <w:tcPr>
                        <w:tcW w:w="2569" w:type="dxa"/>
                      </w:tcPr>
                      <w:p>
                        <w:pPr>
                          <w:pStyle w:val="TableParagraph"/>
                          <w:spacing w:before="72"/>
                          <w:ind w:left="1080" w:right="1071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sz w:val="21"/>
                          </w:rPr>
                          <w:t>0.4</w:t>
                        </w:r>
                      </w:p>
                    </w:tc>
                  </w:tr>
                  <w:tr>
                    <w:tblPrEx>
                      <w:tblW w:w="0" w:type="auto"/>
                      <w:tblInd w:w="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87"/>
                    </w:trPr>
                    <w:tc>
                      <w:tcPr>
                        <w:tcW w:w="2667" w:type="dxa"/>
                      </w:tcPr>
                      <w:p>
                        <w:pPr>
                          <w:pStyle w:val="TableParagraph"/>
                          <w:spacing w:before="67"/>
                          <w:ind w:left="996" w:right="987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position w:val="2"/>
                            <w:sz w:val="21"/>
                          </w:rPr>
                          <w:t>NO</w:t>
                        </w:r>
                        <w:r>
                          <w:rPr>
                            <w:rFonts w:ascii="Times New Roman"/>
                            <w:position w:val="2"/>
                            <w:sz w:val="21"/>
                            <w:vertAlign w:val="subscript"/>
                          </w:rPr>
                          <w:t>x</w:t>
                        </w:r>
                      </w:p>
                    </w:tc>
                    <w:tc>
                      <w:tcPr>
                        <w:tcW w:w="3296" w:type="dxa"/>
                      </w:tcPr>
                      <w:p>
                        <w:pPr>
                          <w:pStyle w:val="TableParagraph"/>
                          <w:spacing w:before="57"/>
                          <w:ind w:left="786" w:right="779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周界外浓度最高点</w:t>
                        </w:r>
                      </w:p>
                    </w:tc>
                    <w:tc>
                      <w:tcPr>
                        <w:tcW w:w="2569" w:type="dxa"/>
                      </w:tcPr>
                      <w:p>
                        <w:pPr>
                          <w:pStyle w:val="TableParagraph"/>
                          <w:spacing w:before="71"/>
                          <w:ind w:left="1080" w:right="1071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sz w:val="21"/>
                          </w:rPr>
                          <w:t>0.12</w:t>
                        </w:r>
                      </w:p>
                    </w:tc>
                  </w:tr>
                  <w:tr>
                    <w:tblPrEx>
                      <w:tblW w:w="0" w:type="auto"/>
                      <w:tblInd w:w="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87"/>
                    </w:trPr>
                    <w:tc>
                      <w:tcPr>
                        <w:tcW w:w="2667" w:type="dxa"/>
                      </w:tcPr>
                      <w:p>
                        <w:pPr>
                          <w:pStyle w:val="TableParagraph"/>
                          <w:spacing w:before="56"/>
                          <w:ind w:left="994" w:right="988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颗粒物</w:t>
                        </w:r>
                      </w:p>
                    </w:tc>
                    <w:tc>
                      <w:tcPr>
                        <w:tcW w:w="3296" w:type="dxa"/>
                      </w:tcPr>
                      <w:p>
                        <w:pPr>
                          <w:pStyle w:val="TableParagraph"/>
                          <w:spacing w:before="56"/>
                          <w:ind w:left="786" w:right="779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周界外浓度最高点</w:t>
                        </w:r>
                      </w:p>
                    </w:tc>
                    <w:tc>
                      <w:tcPr>
                        <w:tcW w:w="2569" w:type="dxa"/>
                      </w:tcPr>
                      <w:p>
                        <w:pPr>
                          <w:pStyle w:val="TableParagraph"/>
                          <w:spacing w:before="70"/>
                          <w:ind w:left="1080" w:right="1071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sz w:val="21"/>
                          </w:rPr>
                          <w:t>1.0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</v:shape>
        </w:pict>
      </w:r>
      <w:r>
        <w:pict>
          <v:shape id="_x0000_s1051" o:spid="_x0000_s1050" type="#_x0000_t202" style="width:427.35pt;height:40.2pt;margin-top:558.4pt;margin-left:98.4pt;mso-height-relative:page;mso-position-horizontal-relative:page;mso-position-vertical-relative:page;mso-width-relative:page;position:absolute;z-index:251676672" coordsize="21600,21600" filled="f" stroked="f">
            <v:stroke joinstyle="miter"/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2844"/>
                    <w:gridCol w:w="2844"/>
                    <w:gridCol w:w="2844"/>
                  </w:tblGrid>
                  <w:tr>
                    <w:tblPrEx>
                      <w:tblW w:w="0" w:type="auto"/>
                      <w:tblInd w:w="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87"/>
                    </w:trPr>
                    <w:tc>
                      <w:tcPr>
                        <w:tcW w:w="2844" w:type="dxa"/>
                      </w:tcPr>
                      <w:p>
                        <w:pPr>
                          <w:pStyle w:val="TableParagraph"/>
                          <w:spacing w:before="56"/>
                          <w:ind w:left="134" w:right="125"/>
                          <w:jc w:val="center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污染物</w:t>
                        </w:r>
                      </w:p>
                    </w:tc>
                    <w:tc>
                      <w:tcPr>
                        <w:tcW w:w="2844" w:type="dxa"/>
                      </w:tcPr>
                      <w:p>
                        <w:pPr>
                          <w:pStyle w:val="TableParagraph"/>
                          <w:spacing w:before="56"/>
                          <w:ind w:left="134" w:right="127"/>
                          <w:jc w:val="center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浓度限值（</w:t>
                        </w:r>
                        <w:r>
                          <w:rPr>
                            <w:rFonts w:ascii="Times New Roman" w:eastAsia="Times New Roman" w:hAnsi="Times New Roman"/>
                            <w:b/>
                            <w:sz w:val="21"/>
                          </w:rPr>
                          <w:t>mg/m</w:t>
                        </w:r>
                        <w:r>
                          <w:rPr>
                            <w:b/>
                            <w:sz w:val="21"/>
                          </w:rPr>
                          <w:t>³）</w:t>
                        </w:r>
                      </w:p>
                    </w:tc>
                    <w:tc>
                      <w:tcPr>
                        <w:tcW w:w="2844" w:type="dxa"/>
                      </w:tcPr>
                      <w:p>
                        <w:pPr>
                          <w:pStyle w:val="TableParagraph"/>
                          <w:spacing w:before="56"/>
                          <w:ind w:left="134" w:right="130"/>
                          <w:jc w:val="center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净化设施最低去除率（％）</w:t>
                        </w:r>
                      </w:p>
                    </w:tc>
                  </w:tr>
                  <w:tr>
                    <w:tblPrEx>
                      <w:tblW w:w="0" w:type="auto"/>
                      <w:tblInd w:w="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87"/>
                    </w:trPr>
                    <w:tc>
                      <w:tcPr>
                        <w:tcW w:w="2844" w:type="dxa"/>
                      </w:tcPr>
                      <w:p>
                        <w:pPr>
                          <w:pStyle w:val="TableParagraph"/>
                          <w:spacing w:before="58"/>
                          <w:ind w:left="134" w:right="128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油烟</w:t>
                        </w:r>
                      </w:p>
                    </w:tc>
                    <w:tc>
                      <w:tcPr>
                        <w:tcW w:w="2844" w:type="dxa"/>
                      </w:tcPr>
                      <w:p>
                        <w:pPr>
                          <w:pStyle w:val="TableParagraph"/>
                          <w:spacing w:before="71"/>
                          <w:ind w:left="134" w:right="124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sz w:val="21"/>
                          </w:rPr>
                          <w:t>1.0</w:t>
                        </w:r>
                      </w:p>
                    </w:tc>
                    <w:tc>
                      <w:tcPr>
                        <w:tcW w:w="2844" w:type="dxa"/>
                      </w:tcPr>
                      <w:p>
                        <w:pPr>
                          <w:pStyle w:val="TableParagraph"/>
                          <w:spacing w:before="71"/>
                          <w:ind w:left="134" w:right="124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sz w:val="21"/>
                          </w:rPr>
                          <w:t>90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</v:shape>
        </w:pict>
      </w:r>
      <w:r>
        <w:pict>
          <v:shape id="_x0000_s1052" o:spid="_x0000_s1051" type="#_x0000_t202" style="width:427.35pt;height:40.2pt;margin-top:687pt;margin-left:98.4pt;mso-height-relative:page;mso-position-horizontal-relative:page;mso-position-vertical-relative:page;mso-width-relative:page;position:absolute;z-index:251677696" coordsize="21600,21600" filled="f" stroked="f">
            <v:stroke joinstyle="miter"/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4198"/>
                    <w:gridCol w:w="4334"/>
                  </w:tblGrid>
                  <w:tr>
                    <w:tblPrEx>
                      <w:tblW w:w="0" w:type="auto"/>
                      <w:tblInd w:w="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87"/>
                    </w:trPr>
                    <w:tc>
                      <w:tcPr>
                        <w:tcW w:w="4198" w:type="dxa"/>
                      </w:tcPr>
                      <w:p>
                        <w:pPr>
                          <w:pStyle w:val="TableParagraph"/>
                          <w:spacing w:before="56"/>
                          <w:ind w:left="1658" w:right="1650"/>
                          <w:jc w:val="center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污染物</w:t>
                        </w:r>
                      </w:p>
                    </w:tc>
                    <w:tc>
                      <w:tcPr>
                        <w:tcW w:w="4334" w:type="dxa"/>
                      </w:tcPr>
                      <w:p>
                        <w:pPr>
                          <w:pStyle w:val="TableParagraph"/>
                          <w:spacing w:before="56"/>
                          <w:ind w:left="465" w:right="457"/>
                          <w:jc w:val="center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浓度限值（无量纲）</w:t>
                        </w:r>
                      </w:p>
                    </w:tc>
                  </w:tr>
                  <w:tr>
                    <w:tblPrEx>
                      <w:tblW w:w="0" w:type="auto"/>
                      <w:tblInd w:w="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87"/>
                    </w:trPr>
                    <w:tc>
                      <w:tcPr>
                        <w:tcW w:w="4198" w:type="dxa"/>
                      </w:tcPr>
                      <w:p>
                        <w:pPr>
                          <w:pStyle w:val="TableParagraph"/>
                          <w:spacing w:before="57"/>
                          <w:ind w:left="1658" w:right="1650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臭气浓度</w:t>
                        </w:r>
                      </w:p>
                    </w:tc>
                    <w:tc>
                      <w:tcPr>
                        <w:tcW w:w="4334" w:type="dxa"/>
                      </w:tcPr>
                      <w:p>
                        <w:pPr>
                          <w:pStyle w:val="TableParagraph"/>
                          <w:spacing w:before="71"/>
                          <w:ind w:left="465" w:right="458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sz w:val="21"/>
                          </w:rPr>
                          <w:t>70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</v:shape>
        </w:pict>
      </w:r>
    </w:p>
    <w:p>
      <w:pPr>
        <w:spacing w:after="0"/>
        <w:rPr>
          <w:sz w:val="2"/>
          <w:szCs w:val="2"/>
        </w:rPr>
        <w:sectPr>
          <w:footerReference w:type="default" r:id="rId32"/>
          <w:pgSz w:w="11910" w:h="16850"/>
          <w:pgMar w:top="1540" w:right="1140" w:bottom="740" w:left="1140" w:header="0" w:footer="546" w:gutter="0"/>
          <w:pgNumType w:start="21"/>
          <w:cols w:num="1" w:space="720"/>
        </w:sectPr>
      </w:pPr>
    </w:p>
    <w:p>
      <w:pPr>
        <w:pStyle w:val="BodyText"/>
        <w:spacing w:before="44"/>
        <w:ind w:left="784"/>
      </w:pPr>
      <w:r>
        <w:pict>
          <v:shape id="_x0000_s1053" o:spid="_x0000_s1052" style="width:465.15pt;height:681.3pt;margin-top:84.1pt;margin-left:65.2pt;mso-height-relative:page;mso-position-horizontal-relative:page;mso-position-vertical-relative:page;mso-width-relative:page;position:absolute;z-index:-251637760" coordorigin="1304,1682" coordsize="9303,13626" path="m1304,1547l10607,1547m1304,15168l10607,15168m1309,1542l1309,15163m1876,1542l1876,15163m10602,1542l10602,15163e" filled="f" stroked="t" strokecolor="black">
            <v:path arrowok="t"/>
          </v:shape>
        </w:pict>
      </w:r>
      <w:r>
        <w:t>“新扩改建”标准限值要求。</w:t>
      </w:r>
    </w:p>
    <w:p>
      <w:pPr>
        <w:spacing w:before="156" w:after="4"/>
        <w:ind w:left="3640" w:right="0" w:firstLine="0"/>
        <w:jc w:val="left"/>
        <w:rPr>
          <w:b/>
          <w:sz w:val="21"/>
        </w:rPr>
      </w:pPr>
      <w:r>
        <w:rPr>
          <w:b/>
          <w:sz w:val="21"/>
        </w:rPr>
        <w:t xml:space="preserve">表 </w:t>
      </w:r>
      <w:r>
        <w:rPr>
          <w:rFonts w:ascii="Times New Roman" w:eastAsia="Times New Roman"/>
          <w:b/>
          <w:sz w:val="21"/>
        </w:rPr>
        <w:t xml:space="preserve">3-8 </w:t>
      </w:r>
      <w:r>
        <w:rPr>
          <w:b/>
          <w:sz w:val="21"/>
        </w:rPr>
        <w:t>恶臭无组织排放标准限值</w:t>
      </w:r>
    </w:p>
    <w:tbl>
      <w:tblPr>
        <w:tblStyle w:val="TableNormal"/>
        <w:tblW w:w="0" w:type="auto"/>
        <w:tblInd w:w="8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98"/>
        <w:gridCol w:w="4334"/>
      </w:tblGrid>
      <w:tr>
        <w:tblPrEx>
          <w:tblW w:w="0" w:type="auto"/>
          <w:tblInd w:w="838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7"/>
        </w:trPr>
        <w:tc>
          <w:tcPr>
            <w:tcW w:w="4198" w:type="dxa"/>
          </w:tcPr>
          <w:p>
            <w:pPr>
              <w:pStyle w:val="TableParagraph"/>
              <w:spacing w:before="58"/>
              <w:ind w:left="1658" w:right="16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污染物</w:t>
            </w:r>
          </w:p>
        </w:tc>
        <w:tc>
          <w:tcPr>
            <w:tcW w:w="4334" w:type="dxa"/>
          </w:tcPr>
          <w:p>
            <w:pPr>
              <w:pStyle w:val="TableParagraph"/>
              <w:spacing w:before="58"/>
              <w:ind w:left="465" w:right="459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无组织排放监控浓度限值（</w:t>
            </w:r>
            <w:r>
              <w:rPr>
                <w:rFonts w:ascii="Times New Roman" w:eastAsia="Times New Roman" w:hAnsi="Times New Roman"/>
                <w:b/>
                <w:sz w:val="21"/>
              </w:rPr>
              <w:t>mg/m</w:t>
            </w:r>
            <w:r>
              <w:rPr>
                <w:b/>
                <w:sz w:val="21"/>
              </w:rPr>
              <w:t>³）</w:t>
            </w:r>
          </w:p>
        </w:tc>
      </w:tr>
      <w:tr>
        <w:tblPrEx>
          <w:tblW w:w="0" w:type="auto"/>
          <w:tblInd w:w="83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7"/>
        </w:trPr>
        <w:tc>
          <w:tcPr>
            <w:tcW w:w="4198" w:type="dxa"/>
          </w:tcPr>
          <w:p>
            <w:pPr>
              <w:pStyle w:val="TableParagraph"/>
              <w:spacing w:before="57"/>
              <w:ind w:left="1658" w:right="1650"/>
              <w:jc w:val="center"/>
              <w:rPr>
                <w:sz w:val="21"/>
              </w:rPr>
            </w:pPr>
            <w:r>
              <w:rPr>
                <w:sz w:val="21"/>
              </w:rPr>
              <w:t>臭气浓度</w:t>
            </w:r>
          </w:p>
        </w:tc>
        <w:tc>
          <w:tcPr>
            <w:tcW w:w="4334" w:type="dxa"/>
          </w:tcPr>
          <w:p>
            <w:pPr>
              <w:pStyle w:val="TableParagraph"/>
              <w:spacing w:before="57"/>
              <w:ind w:left="465" w:right="457"/>
              <w:jc w:val="center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>20</w:t>
            </w:r>
            <w:r>
              <w:rPr>
                <w:sz w:val="21"/>
              </w:rPr>
              <w:t>（无量纲）</w:t>
            </w:r>
          </w:p>
        </w:tc>
      </w:tr>
      <w:tr>
        <w:tblPrEx>
          <w:tblW w:w="0" w:type="auto"/>
          <w:tblInd w:w="83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7"/>
        </w:trPr>
        <w:tc>
          <w:tcPr>
            <w:tcW w:w="4198" w:type="dxa"/>
          </w:tcPr>
          <w:p>
            <w:pPr>
              <w:pStyle w:val="TableParagraph"/>
              <w:spacing w:before="69"/>
              <w:ind w:left="1657" w:right="1650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position w:val="2"/>
                <w:sz w:val="21"/>
              </w:rPr>
              <w:t>NH</w:t>
            </w:r>
            <w:r>
              <w:rPr>
                <w:rFonts w:ascii="Times New Roman"/>
                <w:position w:val="2"/>
                <w:sz w:val="21"/>
                <w:vertAlign w:val="subscript"/>
              </w:rPr>
              <w:t>3</w:t>
            </w:r>
          </w:p>
        </w:tc>
        <w:tc>
          <w:tcPr>
            <w:tcW w:w="4334" w:type="dxa"/>
          </w:tcPr>
          <w:p>
            <w:pPr>
              <w:pStyle w:val="TableParagraph"/>
              <w:spacing w:before="72"/>
              <w:ind w:left="465" w:right="458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1.5</w:t>
            </w:r>
          </w:p>
        </w:tc>
      </w:tr>
      <w:tr>
        <w:tblPrEx>
          <w:tblW w:w="0" w:type="auto"/>
          <w:tblInd w:w="83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7"/>
        </w:trPr>
        <w:tc>
          <w:tcPr>
            <w:tcW w:w="4198" w:type="dxa"/>
          </w:tcPr>
          <w:p>
            <w:pPr>
              <w:pStyle w:val="TableParagraph"/>
              <w:spacing w:before="68"/>
              <w:ind w:left="1658" w:right="1649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position w:val="2"/>
                <w:sz w:val="21"/>
              </w:rPr>
              <w:t>H</w:t>
            </w:r>
            <w:r>
              <w:rPr>
                <w:rFonts w:ascii="Times New Roman"/>
                <w:position w:val="2"/>
                <w:sz w:val="21"/>
                <w:vertAlign w:val="subscript"/>
              </w:rPr>
              <w:t>2</w:t>
            </w:r>
            <w:r>
              <w:rPr>
                <w:rFonts w:ascii="Times New Roman"/>
                <w:position w:val="2"/>
                <w:sz w:val="21"/>
                <w:vertAlign w:val="baseline"/>
              </w:rPr>
              <w:t>S</w:t>
            </w:r>
          </w:p>
        </w:tc>
        <w:tc>
          <w:tcPr>
            <w:tcW w:w="4334" w:type="dxa"/>
          </w:tcPr>
          <w:p>
            <w:pPr>
              <w:pStyle w:val="TableParagraph"/>
              <w:spacing w:before="71"/>
              <w:ind w:left="465" w:right="458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0.06</w:t>
            </w:r>
          </w:p>
        </w:tc>
      </w:tr>
    </w:tbl>
    <w:p>
      <w:pPr>
        <w:pStyle w:val="Heading2"/>
        <w:spacing w:before="3"/>
        <w:ind w:left="1221"/>
      </w:pPr>
      <w:bookmarkStart w:id="45" w:name="2、噪声"/>
      <w:bookmarkEnd w:id="45"/>
      <w:r>
        <w:rPr>
          <w:rFonts w:ascii="Times New Roman" w:eastAsia="Times New Roman"/>
        </w:rPr>
        <w:t>2</w:t>
      </w:r>
      <w:r>
        <w:t>、噪声</w:t>
      </w:r>
    </w:p>
    <w:p>
      <w:pPr>
        <w:pStyle w:val="BodyText"/>
        <w:spacing w:before="158" w:line="364" w:lineRule="auto"/>
        <w:ind w:left="784" w:right="215" w:firstLine="480"/>
      </w:pPr>
      <w:r>
        <w:t>营运期噪声排放执行《工业企业厂界环境噪声排放标准》（</w:t>
      </w:r>
      <w:r>
        <w:rPr>
          <w:rFonts w:ascii="Times New Roman" w:eastAsia="Times New Roman"/>
        </w:rPr>
        <w:t>GB12348-2008</w:t>
      </w:r>
      <w:r>
        <w:t xml:space="preserve">） 中 </w:t>
      </w:r>
      <w:r>
        <w:rPr>
          <w:rFonts w:ascii="Times New Roman" w:eastAsia="Times New Roman"/>
        </w:rPr>
        <w:t xml:space="preserve">2 </w:t>
      </w:r>
      <w:r>
        <w:t>类标准，标准值见下表。（夜间不生产）</w:t>
      </w:r>
    </w:p>
    <w:p>
      <w:pPr>
        <w:spacing w:before="0" w:after="3" w:line="267" w:lineRule="exact"/>
        <w:ind w:left="3708" w:right="0" w:firstLine="0"/>
        <w:jc w:val="left"/>
        <w:rPr>
          <w:rFonts w:ascii="Times New Roman" w:eastAsia="Times New Roman"/>
          <w:b/>
          <w:sz w:val="21"/>
        </w:rPr>
      </w:pPr>
      <w:r>
        <w:rPr>
          <w:b/>
          <w:sz w:val="21"/>
        </w:rPr>
        <w:t>表</w:t>
      </w:r>
      <w:r>
        <w:rPr>
          <w:rFonts w:ascii="Times New Roman" w:eastAsia="Times New Roman"/>
          <w:b/>
          <w:sz w:val="21"/>
        </w:rPr>
        <w:t xml:space="preserve">3-9 </w:t>
      </w:r>
      <w:r>
        <w:rPr>
          <w:b/>
          <w:sz w:val="21"/>
        </w:rPr>
        <w:t>噪声排放标准单位：</w:t>
      </w:r>
      <w:r>
        <w:rPr>
          <w:rFonts w:ascii="Times New Roman" w:eastAsia="Times New Roman"/>
          <w:b/>
          <w:sz w:val="21"/>
        </w:rPr>
        <w:t>dB(A)</w:t>
      </w:r>
    </w:p>
    <w:tbl>
      <w:tblPr>
        <w:tblStyle w:val="TableNormal"/>
        <w:tblW w:w="0" w:type="auto"/>
        <w:tblInd w:w="8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43"/>
        <w:gridCol w:w="2444"/>
        <w:gridCol w:w="1883"/>
        <w:gridCol w:w="1762"/>
      </w:tblGrid>
      <w:tr>
        <w:tblPrEx>
          <w:tblW w:w="0" w:type="auto"/>
          <w:tblInd w:w="838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7"/>
        </w:trPr>
        <w:tc>
          <w:tcPr>
            <w:tcW w:w="2443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8"/>
              <w:ind w:left="362" w:right="346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声环境功能区类别</w:t>
            </w:r>
          </w:p>
        </w:tc>
        <w:tc>
          <w:tcPr>
            <w:tcW w:w="24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8"/>
              <w:ind w:left="785" w:right="769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执行厂界</w:t>
            </w:r>
          </w:p>
        </w:tc>
        <w:tc>
          <w:tcPr>
            <w:tcW w:w="188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8"/>
              <w:ind w:left="716" w:right="70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昼间</w:t>
            </w:r>
          </w:p>
        </w:tc>
        <w:tc>
          <w:tcPr>
            <w:tcW w:w="176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58"/>
              <w:ind w:left="656" w:right="635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夜间</w:t>
            </w:r>
          </w:p>
        </w:tc>
      </w:tr>
      <w:tr>
        <w:tblPrEx>
          <w:tblW w:w="0" w:type="auto"/>
          <w:tblInd w:w="83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"/>
        </w:trPr>
        <w:tc>
          <w:tcPr>
            <w:tcW w:w="2443" w:type="dxa"/>
            <w:tcBorders>
              <w:top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60"/>
              <w:ind w:left="360" w:right="346"/>
              <w:jc w:val="center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 xml:space="preserve">2 </w:t>
            </w:r>
            <w:r>
              <w:rPr>
                <w:sz w:val="21"/>
              </w:rPr>
              <w:t>类</w:t>
            </w:r>
          </w:p>
        </w:tc>
        <w:tc>
          <w:tcPr>
            <w:tcW w:w="244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60"/>
              <w:ind w:left="785" w:right="767"/>
              <w:jc w:val="center"/>
              <w:rPr>
                <w:sz w:val="21"/>
              </w:rPr>
            </w:pPr>
            <w:r>
              <w:rPr>
                <w:sz w:val="21"/>
              </w:rPr>
              <w:t>四至厂界</w:t>
            </w:r>
          </w:p>
        </w:tc>
        <w:tc>
          <w:tcPr>
            <w:tcW w:w="1883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74"/>
              <w:ind w:left="716" w:right="694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60</w:t>
            </w:r>
          </w:p>
        </w:tc>
        <w:tc>
          <w:tcPr>
            <w:tcW w:w="1762" w:type="dxa"/>
            <w:tcBorders>
              <w:top w:val="single" w:sz="2" w:space="0" w:color="000000"/>
              <w:left w:val="single" w:sz="2" w:space="0" w:color="000000"/>
            </w:tcBorders>
          </w:tcPr>
          <w:p>
            <w:pPr>
              <w:pStyle w:val="TableParagraph"/>
              <w:spacing w:before="74"/>
              <w:ind w:left="656" w:right="631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50</w:t>
            </w:r>
          </w:p>
        </w:tc>
      </w:tr>
    </w:tbl>
    <w:p>
      <w:pPr>
        <w:pStyle w:val="Heading2"/>
        <w:spacing w:before="2"/>
        <w:ind w:left="1176"/>
      </w:pPr>
      <w:bookmarkStart w:id="46" w:name="3、废水"/>
      <w:bookmarkEnd w:id="46"/>
      <w:r>
        <w:rPr>
          <w:rFonts w:ascii="Times New Roman" w:eastAsia="Times New Roman"/>
        </w:rPr>
        <w:t>3</w:t>
      </w:r>
      <w:r>
        <w:t>、废水</w:t>
      </w:r>
    </w:p>
    <w:p>
      <w:pPr>
        <w:pStyle w:val="BodyText"/>
        <w:spacing w:before="158" w:line="364" w:lineRule="auto"/>
        <w:ind w:left="741" w:right="173" w:firstLine="480"/>
        <w:jc w:val="both"/>
      </w:pPr>
      <w:r>
        <w:t>拟建项目生活污水经化粪池沉淀后由环卫部门定期清掏，生产废水经污水处理设备处理水质达到《城市污水再生利用城市杂用水水质》（</w:t>
      </w:r>
      <w:r>
        <w:rPr>
          <w:rFonts w:ascii="Times New Roman" w:eastAsia="Times New Roman"/>
        </w:rPr>
        <w:t>GB/T18920-2020</w:t>
      </w:r>
      <w:r>
        <w:t>）中表</w:t>
      </w:r>
      <w:r>
        <w:rPr>
          <w:rFonts w:ascii="Times New Roman" w:eastAsia="Times New Roman"/>
        </w:rPr>
        <w:t xml:space="preserve">1 </w:t>
      </w:r>
      <w:r>
        <w:t>标准后，用于道路洒水抑尘，不外排。</w:t>
      </w:r>
    </w:p>
    <w:p>
      <w:pPr>
        <w:spacing w:before="0" w:after="3" w:line="267" w:lineRule="exact"/>
        <w:ind w:left="4324" w:right="0" w:firstLine="0"/>
        <w:jc w:val="both"/>
        <w:rPr>
          <w:b/>
          <w:sz w:val="21"/>
        </w:rPr>
      </w:pPr>
      <w:r>
        <w:rPr>
          <w:b/>
          <w:sz w:val="21"/>
        </w:rPr>
        <w:t xml:space="preserve">表 </w:t>
      </w:r>
      <w:r>
        <w:rPr>
          <w:rFonts w:ascii="Times New Roman" w:eastAsia="Times New Roman"/>
          <w:b/>
          <w:sz w:val="21"/>
        </w:rPr>
        <w:t xml:space="preserve">3-10 </w:t>
      </w:r>
      <w:r>
        <w:rPr>
          <w:b/>
          <w:sz w:val="21"/>
        </w:rPr>
        <w:t>废水排放标准</w:t>
      </w:r>
    </w:p>
    <w:tbl>
      <w:tblPr>
        <w:tblStyle w:val="TableNormal"/>
        <w:tblW w:w="0" w:type="auto"/>
        <w:tblInd w:w="8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87"/>
        <w:gridCol w:w="2874"/>
        <w:gridCol w:w="2871"/>
      </w:tblGrid>
      <w:tr>
        <w:tblPrEx>
          <w:tblW w:w="0" w:type="auto"/>
          <w:tblInd w:w="838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/>
        </w:trPr>
        <w:tc>
          <w:tcPr>
            <w:tcW w:w="2787" w:type="dxa"/>
          </w:tcPr>
          <w:p>
            <w:pPr>
              <w:pStyle w:val="TableParagraph"/>
              <w:spacing w:before="59"/>
              <w:ind w:left="950" w:right="94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污染物</w:t>
            </w:r>
          </w:p>
        </w:tc>
        <w:tc>
          <w:tcPr>
            <w:tcW w:w="2874" w:type="dxa"/>
          </w:tcPr>
          <w:p>
            <w:pPr>
              <w:pStyle w:val="TableParagraph"/>
              <w:spacing w:before="59"/>
              <w:ind w:left="1098" w:right="109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单位</w:t>
            </w:r>
          </w:p>
        </w:tc>
        <w:tc>
          <w:tcPr>
            <w:tcW w:w="2871" w:type="dxa"/>
          </w:tcPr>
          <w:p>
            <w:pPr>
              <w:pStyle w:val="TableParagraph"/>
              <w:spacing w:before="59"/>
              <w:ind w:left="1116" w:right="1109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限值</w:t>
            </w:r>
          </w:p>
        </w:tc>
      </w:tr>
      <w:tr>
        <w:tblPrEx>
          <w:tblW w:w="0" w:type="auto"/>
          <w:tblInd w:w="83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7"/>
        </w:trPr>
        <w:tc>
          <w:tcPr>
            <w:tcW w:w="2787" w:type="dxa"/>
          </w:tcPr>
          <w:p>
            <w:pPr>
              <w:pStyle w:val="TableParagraph"/>
              <w:spacing w:before="72"/>
              <w:ind w:left="950" w:right="942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pH</w:t>
            </w:r>
          </w:p>
        </w:tc>
        <w:tc>
          <w:tcPr>
            <w:tcW w:w="2874" w:type="dxa"/>
          </w:tcPr>
          <w:p>
            <w:pPr>
              <w:pStyle w:val="TableParagraph"/>
              <w:spacing w:before="58"/>
              <w:ind w:left="1101" w:right="1092"/>
              <w:jc w:val="center"/>
              <w:rPr>
                <w:sz w:val="21"/>
              </w:rPr>
            </w:pPr>
            <w:r>
              <w:rPr>
                <w:sz w:val="21"/>
              </w:rPr>
              <w:t>无量纲</w:t>
            </w:r>
          </w:p>
        </w:tc>
        <w:tc>
          <w:tcPr>
            <w:tcW w:w="2871" w:type="dxa"/>
          </w:tcPr>
          <w:p>
            <w:pPr>
              <w:pStyle w:val="TableParagraph"/>
              <w:spacing w:before="72"/>
              <w:ind w:left="1117" w:right="1109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6.0-9.0</w:t>
            </w:r>
          </w:p>
        </w:tc>
      </w:tr>
      <w:tr>
        <w:tblPrEx>
          <w:tblW w:w="0" w:type="auto"/>
          <w:tblInd w:w="83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/>
        </w:trPr>
        <w:tc>
          <w:tcPr>
            <w:tcW w:w="2787" w:type="dxa"/>
          </w:tcPr>
          <w:p>
            <w:pPr>
              <w:pStyle w:val="TableParagraph"/>
              <w:spacing w:before="68"/>
              <w:ind w:left="950" w:right="941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position w:val="2"/>
                <w:sz w:val="21"/>
              </w:rPr>
              <w:t>BOD</w:t>
            </w:r>
            <w:r>
              <w:rPr>
                <w:rFonts w:ascii="Times New Roman"/>
                <w:position w:val="2"/>
                <w:sz w:val="21"/>
                <w:vertAlign w:val="subscript"/>
              </w:rPr>
              <w:t>5</w:t>
            </w:r>
          </w:p>
        </w:tc>
        <w:tc>
          <w:tcPr>
            <w:tcW w:w="2874" w:type="dxa"/>
          </w:tcPr>
          <w:p>
            <w:pPr>
              <w:pStyle w:val="TableParagraph"/>
              <w:spacing w:before="71"/>
              <w:ind w:left="1099" w:right="1092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mg/L</w:t>
            </w:r>
          </w:p>
        </w:tc>
        <w:tc>
          <w:tcPr>
            <w:tcW w:w="2871" w:type="dxa"/>
          </w:tcPr>
          <w:p>
            <w:pPr>
              <w:pStyle w:val="TableParagraph"/>
              <w:spacing w:before="71"/>
              <w:ind w:left="1117" w:right="1109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10</w:t>
            </w:r>
          </w:p>
        </w:tc>
      </w:tr>
      <w:tr>
        <w:tblPrEx>
          <w:tblW w:w="0" w:type="auto"/>
          <w:tblInd w:w="83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7"/>
        </w:trPr>
        <w:tc>
          <w:tcPr>
            <w:tcW w:w="2787" w:type="dxa"/>
          </w:tcPr>
          <w:p>
            <w:pPr>
              <w:pStyle w:val="TableParagraph"/>
              <w:spacing w:before="58"/>
              <w:ind w:left="950" w:right="944"/>
              <w:jc w:val="center"/>
              <w:rPr>
                <w:sz w:val="21"/>
              </w:rPr>
            </w:pPr>
            <w:r>
              <w:rPr>
                <w:sz w:val="21"/>
              </w:rPr>
              <w:t>氨氮</w:t>
            </w:r>
          </w:p>
        </w:tc>
        <w:tc>
          <w:tcPr>
            <w:tcW w:w="2874" w:type="dxa"/>
          </w:tcPr>
          <w:p>
            <w:pPr>
              <w:pStyle w:val="TableParagraph"/>
              <w:spacing w:before="72"/>
              <w:ind w:left="1099" w:right="1092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mg/L</w:t>
            </w:r>
          </w:p>
        </w:tc>
        <w:tc>
          <w:tcPr>
            <w:tcW w:w="2871" w:type="dxa"/>
          </w:tcPr>
          <w:p>
            <w:pPr>
              <w:pStyle w:val="TableParagraph"/>
              <w:spacing w:before="72"/>
              <w:ind w:left="8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9"/>
                <w:sz w:val="21"/>
              </w:rPr>
              <w:t>8</w:t>
            </w:r>
          </w:p>
        </w:tc>
      </w:tr>
      <w:tr>
        <w:tblPrEx>
          <w:tblW w:w="0" w:type="auto"/>
          <w:tblInd w:w="83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/>
        </w:trPr>
        <w:tc>
          <w:tcPr>
            <w:tcW w:w="2787" w:type="dxa"/>
          </w:tcPr>
          <w:p>
            <w:pPr>
              <w:pStyle w:val="TableParagraph"/>
              <w:spacing w:before="57"/>
              <w:ind w:left="950" w:right="944"/>
              <w:jc w:val="center"/>
              <w:rPr>
                <w:sz w:val="21"/>
              </w:rPr>
            </w:pPr>
            <w:r>
              <w:rPr>
                <w:sz w:val="21"/>
              </w:rPr>
              <w:t>色度</w:t>
            </w:r>
          </w:p>
        </w:tc>
        <w:tc>
          <w:tcPr>
            <w:tcW w:w="2874" w:type="dxa"/>
          </w:tcPr>
          <w:p>
            <w:pPr>
              <w:pStyle w:val="TableParagraph"/>
              <w:spacing w:before="57"/>
              <w:ind w:left="6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度</w:t>
            </w:r>
          </w:p>
        </w:tc>
        <w:tc>
          <w:tcPr>
            <w:tcW w:w="2871" w:type="dxa"/>
          </w:tcPr>
          <w:p>
            <w:pPr>
              <w:pStyle w:val="TableParagraph"/>
              <w:spacing w:before="71"/>
              <w:ind w:left="1117" w:right="1109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30</w:t>
            </w:r>
          </w:p>
        </w:tc>
      </w:tr>
      <w:tr>
        <w:tblPrEx>
          <w:tblW w:w="0" w:type="auto"/>
          <w:tblInd w:w="83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7"/>
        </w:trPr>
        <w:tc>
          <w:tcPr>
            <w:tcW w:w="2787" w:type="dxa"/>
          </w:tcPr>
          <w:p>
            <w:pPr>
              <w:pStyle w:val="TableParagraph"/>
              <w:spacing w:before="73"/>
              <w:ind w:left="950" w:right="945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COD</w:t>
            </w:r>
          </w:p>
        </w:tc>
        <w:tc>
          <w:tcPr>
            <w:tcW w:w="2874" w:type="dxa"/>
          </w:tcPr>
          <w:p>
            <w:pPr>
              <w:pStyle w:val="TableParagraph"/>
              <w:spacing w:before="73"/>
              <w:ind w:left="1099" w:right="1092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mg/L</w:t>
            </w:r>
          </w:p>
        </w:tc>
        <w:tc>
          <w:tcPr>
            <w:tcW w:w="2871" w:type="dxa"/>
          </w:tcPr>
          <w:p>
            <w:pPr>
              <w:pStyle w:val="TableParagraph"/>
              <w:spacing w:before="73"/>
              <w:ind w:left="7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9"/>
                <w:sz w:val="21"/>
              </w:rPr>
              <w:t>-</w:t>
            </w:r>
          </w:p>
        </w:tc>
      </w:tr>
      <w:tr>
        <w:tblPrEx>
          <w:tblW w:w="0" w:type="auto"/>
          <w:tblInd w:w="83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7"/>
        </w:trPr>
        <w:tc>
          <w:tcPr>
            <w:tcW w:w="2787" w:type="dxa"/>
          </w:tcPr>
          <w:p>
            <w:pPr>
              <w:pStyle w:val="TableParagraph"/>
              <w:spacing w:before="72"/>
              <w:ind w:left="950" w:right="943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SS</w:t>
            </w:r>
          </w:p>
        </w:tc>
        <w:tc>
          <w:tcPr>
            <w:tcW w:w="2874" w:type="dxa"/>
          </w:tcPr>
          <w:p>
            <w:pPr>
              <w:pStyle w:val="TableParagraph"/>
              <w:spacing w:before="72"/>
              <w:ind w:left="1099" w:right="1092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mg/L</w:t>
            </w:r>
          </w:p>
        </w:tc>
        <w:tc>
          <w:tcPr>
            <w:tcW w:w="2871" w:type="dxa"/>
          </w:tcPr>
          <w:p>
            <w:pPr>
              <w:pStyle w:val="TableParagraph"/>
              <w:spacing w:before="72"/>
              <w:ind w:left="7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9"/>
                <w:sz w:val="21"/>
              </w:rPr>
              <w:t>-</w:t>
            </w:r>
          </w:p>
        </w:tc>
      </w:tr>
      <w:tr>
        <w:tblPrEx>
          <w:tblW w:w="0" w:type="auto"/>
          <w:tblInd w:w="83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7"/>
        </w:trPr>
        <w:tc>
          <w:tcPr>
            <w:tcW w:w="2787" w:type="dxa"/>
          </w:tcPr>
          <w:p>
            <w:pPr>
              <w:pStyle w:val="TableParagraph"/>
              <w:spacing w:before="57"/>
              <w:ind w:left="950" w:right="947"/>
              <w:jc w:val="center"/>
              <w:rPr>
                <w:sz w:val="21"/>
              </w:rPr>
            </w:pPr>
            <w:r>
              <w:rPr>
                <w:sz w:val="21"/>
              </w:rPr>
              <w:t>动植物油</w:t>
            </w:r>
          </w:p>
        </w:tc>
        <w:tc>
          <w:tcPr>
            <w:tcW w:w="2874" w:type="dxa"/>
          </w:tcPr>
          <w:p>
            <w:pPr>
              <w:pStyle w:val="TableParagraph"/>
              <w:spacing w:before="71"/>
              <w:ind w:left="1099" w:right="1092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mg/L</w:t>
            </w:r>
          </w:p>
        </w:tc>
        <w:tc>
          <w:tcPr>
            <w:tcW w:w="2871" w:type="dxa"/>
          </w:tcPr>
          <w:p>
            <w:pPr>
              <w:pStyle w:val="TableParagraph"/>
              <w:spacing w:before="71"/>
              <w:ind w:left="7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9"/>
                <w:sz w:val="21"/>
              </w:rPr>
              <w:t>-</w:t>
            </w:r>
          </w:p>
        </w:tc>
      </w:tr>
      <w:tr>
        <w:tblPrEx>
          <w:tblW w:w="0" w:type="auto"/>
          <w:tblInd w:w="83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7"/>
        </w:trPr>
        <w:tc>
          <w:tcPr>
            <w:tcW w:w="2787" w:type="dxa"/>
          </w:tcPr>
          <w:p>
            <w:pPr>
              <w:pStyle w:val="TableParagraph"/>
              <w:spacing w:before="58"/>
              <w:ind w:left="950" w:right="944"/>
              <w:jc w:val="center"/>
              <w:rPr>
                <w:sz w:val="21"/>
              </w:rPr>
            </w:pPr>
            <w:r>
              <w:rPr>
                <w:sz w:val="21"/>
              </w:rPr>
              <w:t>总磷</w:t>
            </w:r>
          </w:p>
        </w:tc>
        <w:tc>
          <w:tcPr>
            <w:tcW w:w="2874" w:type="dxa"/>
          </w:tcPr>
          <w:p>
            <w:pPr>
              <w:pStyle w:val="TableParagraph"/>
              <w:spacing w:before="72"/>
              <w:ind w:left="1099" w:right="1092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mg/L</w:t>
            </w:r>
          </w:p>
        </w:tc>
        <w:tc>
          <w:tcPr>
            <w:tcW w:w="2871" w:type="dxa"/>
          </w:tcPr>
          <w:p>
            <w:pPr>
              <w:pStyle w:val="TableParagraph"/>
              <w:spacing w:before="72"/>
              <w:ind w:left="7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9"/>
                <w:sz w:val="21"/>
              </w:rPr>
              <w:t>-</w:t>
            </w:r>
          </w:p>
        </w:tc>
      </w:tr>
    </w:tbl>
    <w:p>
      <w:pPr>
        <w:pStyle w:val="Heading2"/>
        <w:spacing w:before="1"/>
        <w:ind w:left="1221"/>
      </w:pPr>
      <w:bookmarkStart w:id="47" w:name="4、固体废物"/>
      <w:bookmarkEnd w:id="47"/>
      <w:r>
        <w:rPr>
          <w:rFonts w:ascii="Times New Roman" w:eastAsia="Times New Roman"/>
        </w:rPr>
        <w:t>4</w:t>
      </w:r>
      <w:r>
        <w:t>、固体废物</w:t>
      </w:r>
    </w:p>
    <w:p>
      <w:pPr>
        <w:pStyle w:val="BodyText"/>
        <w:spacing w:before="160" w:line="362" w:lineRule="auto"/>
        <w:ind w:left="784" w:right="216" w:firstLine="480"/>
      </w:pPr>
      <w:r>
        <w:t>固体废弃物执行《一般工业固体废物贮存和填埋污染控制标准》（</w:t>
      </w:r>
      <w:r>
        <w:rPr>
          <w:rFonts w:ascii="Times New Roman" w:eastAsia="Times New Roman"/>
        </w:rPr>
        <w:t>GB18599- 2020</w:t>
      </w:r>
      <w:r>
        <w:t>）。</w:t>
      </w:r>
    </w:p>
    <w:p>
      <w:pPr>
        <w:spacing w:after="0" w:line="362" w:lineRule="auto"/>
      </w:pPr>
      <w:r>
        <w:br/>
      </w:r>
      <w: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33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https://d.book118.com/195200002040011124</w:t>
        </w:r>
      </w:hyperlink>
    </w:p>
    <w:p>
      <w:pPr>
        <w:spacing w:after="0" w:line="362" w:lineRule="auto"/>
      </w:pPr>
    </w:p>
    <w:sectPr>
      <w:footerReference w:type="default" r:id="rId34"/>
      <w:pgSz w:w="11910" w:h="16850"/>
      <w:pgMar w:top="1500" w:right="1140" w:bottom="820" w:left="1140" w:header="0" w:footer="546" w:gutter="0"/>
      <w:pgNumType w:start="22"/>
      <w:cols w:num="1"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4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17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o:spid="_x0000_s2049" type="#_x0000_t202" style="width:12.25pt;height:13.45pt;margin-top:788.4pt;margin-left:289.8pt;mso-height-relative:page;mso-position-horizontal-relative:page;mso-position-vertical-relative:page;mso-width-relative:page;position:absolute;z-index:-251658240" coordsize="21600,21600" filled="f" stroked="f">
          <v:stroke joinstyle="miter"/>
          <v:textbox inset="0,0,0,0">
            <w:txbxContent>
              <w:p>
                <w:pPr>
                  <w:spacing w:before="41"/>
                  <w:ind w:left="40" w:right="0" w:firstLine="0"/>
                  <w:jc w:val="left"/>
                  <w:rPr>
                    <w:rFonts w:ascii="Times New Roman"/>
                    <w:sz w:val="18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/>
                    <w:sz w:val="18"/>
                  </w:rPr>
                  <w:t>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o:spid="_x0000_s2058" type="#_x0000_t202" style="width:13.1pt;height:12pt;margin-top:800.15pt;margin-left:291.25pt;mso-height-relative:page;mso-position-horizontal-relative:page;mso-position-vertical-relative:page;mso-width-relative:page;position:absolute;z-index:-251649024" coordsize="21600,21600" filled="f" stroked="f">
          <v:stroke joinstyle="miter"/>
          <v:textbox inset="0,0,0,0">
            <w:txbxContent>
              <w:p>
                <w:pPr>
                  <w:spacing w:before="12"/>
                  <w:ind w:left="40" w:right="0" w:firstLine="0"/>
                  <w:jc w:val="left"/>
                  <w:rPr>
                    <w:rFonts w:ascii="Times New Roman"/>
                    <w:sz w:val="18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/>
                    <w:sz w:val="18"/>
                  </w:rPr>
                  <w:t>10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o:spid="_x0000_s2059" type="#_x0000_t202" style="width:13.1pt;height:12pt;margin-top:800.15pt;margin-left:291.25pt;mso-height-relative:page;mso-position-horizontal-relative:page;mso-position-vertical-relative:page;mso-width-relative:page;position:absolute;z-index:-251648000" coordsize="21600,21600" filled="f" stroked="f">
          <v:stroke joinstyle="miter"/>
          <v:textbox inset="0,0,0,0">
            <w:txbxContent>
              <w:p>
                <w:pPr>
                  <w:spacing w:before="12"/>
                  <w:ind w:left="40" w:right="0" w:firstLine="0"/>
                  <w:jc w:val="left"/>
                  <w:rPr>
                    <w:rFonts w:ascii="Times New Roman"/>
                    <w:sz w:val="18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/>
                    <w:sz w:val="18"/>
                  </w:rPr>
                  <w:t>11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o:spid="_x0000_s2060" type="#_x0000_t202" style="width:13.1pt;height:12pt;margin-top:800.15pt;margin-left:291.25pt;mso-height-relative:page;mso-position-horizontal-relative:page;mso-position-vertical-relative:page;mso-width-relative:page;position:absolute;z-index:-251646976" coordsize="21600,21600" filled="f" stroked="f">
          <v:stroke joinstyle="miter"/>
          <v:textbox inset="0,0,0,0">
            <w:txbxContent>
              <w:p>
                <w:pPr>
                  <w:spacing w:before="12"/>
                  <w:ind w:left="40" w:right="0" w:firstLine="0"/>
                  <w:jc w:val="left"/>
                  <w:rPr>
                    <w:rFonts w:ascii="Times New Roman"/>
                    <w:sz w:val="18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/>
                    <w:sz w:val="18"/>
                  </w:rPr>
                  <w:t>12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o:spid="_x0000_s2061" type="#_x0000_t202" style="width:13.1pt;height:12pt;margin-top:800.15pt;margin-left:291.25pt;mso-height-relative:page;mso-position-horizontal-relative:page;mso-position-vertical-relative:page;mso-width-relative:page;position:absolute;z-index:-251645952" coordsize="21600,21600" filled="f" stroked="f">
          <v:stroke joinstyle="miter"/>
          <v:textbox inset="0,0,0,0">
            <w:txbxContent>
              <w:p>
                <w:pPr>
                  <w:spacing w:before="12"/>
                  <w:ind w:left="40" w:right="0" w:firstLine="0"/>
                  <w:jc w:val="left"/>
                  <w:rPr>
                    <w:rFonts w:ascii="Times New Roman"/>
                    <w:sz w:val="18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/>
                    <w:sz w:val="18"/>
                  </w:rPr>
                  <w:t>13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o:spid="_x0000_s2062" type="#_x0000_t202" style="width:13.1pt;height:12pt;margin-top:800.15pt;margin-left:291.25pt;mso-height-relative:page;mso-position-horizontal-relative:page;mso-position-vertical-relative:page;mso-width-relative:page;position:absolute;z-index:-251644928" coordsize="21600,21600" filled="f" stroked="f">
          <v:stroke joinstyle="miter"/>
          <v:textbox inset="0,0,0,0">
            <w:txbxContent>
              <w:p>
                <w:pPr>
                  <w:spacing w:before="12"/>
                  <w:ind w:left="40" w:right="0" w:firstLine="0"/>
                  <w:jc w:val="left"/>
                  <w:rPr>
                    <w:rFonts w:ascii="Times New Roman"/>
                    <w:sz w:val="18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/>
                    <w:sz w:val="18"/>
                  </w:rPr>
                  <w:t>14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o:spid="_x0000_s2063" type="#_x0000_t202" style="width:13.1pt;height:12pt;margin-top:800.15pt;margin-left:291.25pt;mso-height-relative:page;mso-position-horizontal-relative:page;mso-position-vertical-relative:page;mso-width-relative:page;position:absolute;z-index:-251643904" coordsize="21600,21600" filled="f" stroked="f">
          <v:stroke joinstyle="miter"/>
          <v:textbox inset="0,0,0,0">
            <w:txbxContent>
              <w:p>
                <w:pPr>
                  <w:spacing w:before="12"/>
                  <w:ind w:left="40" w:right="0" w:firstLine="0"/>
                  <w:jc w:val="left"/>
                  <w:rPr>
                    <w:rFonts w:ascii="Times New Roman"/>
                    <w:sz w:val="18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/>
                    <w:sz w:val="18"/>
                  </w:rPr>
                  <w:t>15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o:spid="_x0000_s2064" type="#_x0000_t202" style="width:13.1pt;height:12pt;margin-top:800.15pt;margin-left:291.25pt;mso-height-relative:page;mso-position-horizontal-relative:page;mso-position-vertical-relative:page;mso-width-relative:page;position:absolute;z-index:-251642880" coordsize="21600,21600" filled="f" stroked="f">
          <v:stroke joinstyle="miter"/>
          <v:textbox inset="0,0,0,0">
            <w:txbxContent>
              <w:p>
                <w:pPr>
                  <w:spacing w:before="12"/>
                  <w:ind w:left="40" w:right="0" w:firstLine="0"/>
                  <w:jc w:val="left"/>
                  <w:rPr>
                    <w:rFonts w:ascii="Times New Roman"/>
                    <w:sz w:val="18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/>
                    <w:sz w:val="18"/>
                  </w:rPr>
                  <w:t>16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o:spid="_x0000_s2065" type="#_x0000_t202" style="width:13.1pt;height:12pt;margin-top:800.15pt;margin-left:291.25pt;mso-height-relative:page;mso-position-horizontal-relative:page;mso-position-vertical-relative:page;mso-width-relative:page;position:absolute;z-index:-251641856" coordsize="21600,21600" filled="f" stroked="f">
          <v:stroke joinstyle="miter"/>
          <v:textbox inset="0,0,0,0">
            <w:txbxContent>
              <w:p>
                <w:pPr>
                  <w:spacing w:before="12"/>
                  <w:ind w:left="40" w:right="0" w:firstLine="0"/>
                  <w:jc w:val="left"/>
                  <w:rPr>
                    <w:rFonts w:ascii="Times New Roman"/>
                    <w:sz w:val="18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/>
                    <w:sz w:val="18"/>
                  </w:rPr>
                  <w:t>17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o:spid="_x0000_s2066" type="#_x0000_t202" style="width:13.1pt;height:12pt;margin-top:800.15pt;margin-left:291.25pt;mso-height-relative:page;mso-position-horizontal-relative:page;mso-position-vertical-relative:page;mso-width-relative:page;position:absolute;z-index:-251640832" coordsize="21600,21600" filled="f" stroked="f">
          <v:stroke joinstyle="miter"/>
          <v:textbox inset="0,0,0,0">
            <w:txbxContent>
              <w:p>
                <w:pPr>
                  <w:spacing w:before="12"/>
                  <w:ind w:left="40" w:right="0" w:firstLine="0"/>
                  <w:jc w:val="left"/>
                  <w:rPr>
                    <w:rFonts w:ascii="Times New Roman"/>
                    <w:sz w:val="18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/>
                    <w:sz w:val="18"/>
                  </w:rPr>
                  <w:t>18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o:spid="_x0000_s2067" type="#_x0000_t202" style="width:13.1pt;height:12pt;margin-top:800.15pt;margin-left:291.25pt;mso-height-relative:page;mso-position-horizontal-relative:page;mso-position-vertical-relative:page;mso-width-relative:page;position:absolute;z-index:-251639808" coordsize="21600,21600" filled="f" stroked="f">
          <v:stroke joinstyle="miter"/>
          <v:textbox inset="0,0,0,0">
            <w:txbxContent>
              <w:p>
                <w:pPr>
                  <w:spacing w:before="12"/>
                  <w:ind w:left="40" w:right="0" w:firstLine="0"/>
                  <w:jc w:val="left"/>
                  <w:rPr>
                    <w:rFonts w:ascii="Times New Roman"/>
                    <w:sz w:val="18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/>
                    <w:sz w:val="18"/>
                  </w:rPr>
                  <w:t>19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17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o:spid="_x0000_s2050" type="#_x0000_t202" style="width:12.25pt;height:13.45pt;margin-top:788.4pt;margin-left:289.8pt;mso-height-relative:page;mso-position-horizontal-relative:page;mso-position-vertical-relative:page;mso-width-relative:page;position:absolute;z-index:-251657216" coordsize="21600,21600" filled="f" stroked="f">
          <v:stroke joinstyle="miter"/>
          <v:textbox inset="0,0,0,0">
            <w:txbxContent>
              <w:p>
                <w:pPr>
                  <w:spacing w:before="41"/>
                  <w:ind w:left="40" w:right="0" w:firstLine="0"/>
                  <w:jc w:val="left"/>
                  <w:rPr>
                    <w:rFonts w:ascii="Times New Roman"/>
                    <w:sz w:val="18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/>
                    <w:sz w:val="18"/>
                  </w:rPr>
                  <w:t>2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o:spid="_x0000_s2068" type="#_x0000_t202" style="width:13.1pt;height:12pt;margin-top:800.15pt;margin-left:291.25pt;mso-height-relative:page;mso-position-horizontal-relative:page;mso-position-vertical-relative:page;mso-width-relative:page;position:absolute;z-index:-251638784" coordsize="21600,21600" filled="f" stroked="f">
          <v:stroke joinstyle="miter"/>
          <v:textbox inset="0,0,0,0">
            <w:txbxContent>
              <w:p>
                <w:pPr>
                  <w:spacing w:before="12"/>
                  <w:ind w:left="40" w:right="0" w:firstLine="0"/>
                  <w:jc w:val="left"/>
                  <w:rPr>
                    <w:rFonts w:ascii="Times New Roman"/>
                    <w:sz w:val="18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/>
                    <w:sz w:val="18"/>
                  </w:rPr>
                  <w:t>20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o:spid="_x0000_s2069" type="#_x0000_t202" style="width:13.1pt;height:12pt;margin-top:800.15pt;margin-left:291.25pt;mso-height-relative:page;mso-position-horizontal-relative:page;mso-position-vertical-relative:page;mso-width-relative:page;position:absolute;z-index:-251637760" coordsize="21600,21600" filled="f" stroked="f">
          <v:stroke joinstyle="miter"/>
          <v:textbox inset="0,0,0,0">
            <w:txbxContent>
              <w:p>
                <w:pPr>
                  <w:spacing w:before="12"/>
                  <w:ind w:left="40" w:right="0" w:firstLine="0"/>
                  <w:jc w:val="left"/>
                  <w:rPr>
                    <w:rFonts w:ascii="Times New Roman"/>
                    <w:sz w:val="18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/>
                    <w:sz w:val="18"/>
                  </w:rPr>
                  <w:t>21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o:spid="_x0000_s2070" type="#_x0000_t202" style="width:13.1pt;height:12pt;margin-top:800.15pt;margin-left:291.25pt;mso-height-relative:page;mso-position-horizontal-relative:page;mso-position-vertical-relative:page;mso-width-relative:page;position:absolute;z-index:-251636736" coordsize="21600,21600" filled="f" stroked="f">
          <v:stroke joinstyle="miter"/>
          <v:textbox inset="0,0,0,0">
            <w:txbxContent>
              <w:p>
                <w:pPr>
                  <w:spacing w:before="12"/>
                  <w:ind w:left="40" w:right="0" w:firstLine="0"/>
                  <w:jc w:val="left"/>
                  <w:rPr>
                    <w:rFonts w:ascii="Times New Roman"/>
                    <w:sz w:val="18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/>
                    <w:sz w:val="18"/>
                  </w:rPr>
                  <w:t>22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17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o:spid="_x0000_s2051" type="#_x0000_t202" style="width:12.25pt;height:13.45pt;margin-top:788.4pt;margin-left:289.8pt;mso-height-relative:page;mso-position-horizontal-relative:page;mso-position-vertical-relative:page;mso-width-relative:page;position:absolute;z-index:-251656192" coordsize="21600,21600" filled="f" stroked="f">
          <v:stroke joinstyle="miter"/>
          <v:textbox inset="0,0,0,0">
            <w:txbxContent>
              <w:p>
                <w:pPr>
                  <w:spacing w:before="41"/>
                  <w:ind w:left="40" w:right="0" w:firstLine="0"/>
                  <w:jc w:val="left"/>
                  <w:rPr>
                    <w:rFonts w:ascii="Times New Roman"/>
                    <w:sz w:val="18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/>
                    <w:sz w:val="18"/>
                  </w:rPr>
                  <w:t>3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17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o:spid="_x0000_s2052" type="#_x0000_t202" style="width:12.25pt;height:13.45pt;margin-top:788.4pt;margin-left:289.8pt;mso-height-relative:page;mso-position-horizontal-relative:page;mso-position-vertical-relative:page;mso-width-relative:page;position:absolute;z-index:-251655168" coordsize="21600,21600" filled="f" stroked="f">
          <v:stroke joinstyle="miter"/>
          <v:textbox inset="0,0,0,0">
            <w:txbxContent>
              <w:p>
                <w:pPr>
                  <w:spacing w:before="41"/>
                  <w:ind w:left="40" w:right="0" w:firstLine="0"/>
                  <w:jc w:val="left"/>
                  <w:rPr>
                    <w:rFonts w:ascii="Times New Roman"/>
                    <w:sz w:val="18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/>
                    <w:sz w:val="18"/>
                  </w:rPr>
                  <w:t>4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17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o:spid="_x0000_s2053" type="#_x0000_t202" style="width:12.25pt;height:13.45pt;margin-top:788.4pt;margin-left:289.8pt;mso-height-relative:page;mso-position-horizontal-relative:page;mso-position-vertical-relative:page;mso-width-relative:page;position:absolute;z-index:-251654144" coordsize="21600,21600" filled="f" stroked="f">
          <v:stroke joinstyle="miter"/>
          <v:textbox inset="0,0,0,0">
            <w:txbxContent>
              <w:p>
                <w:pPr>
                  <w:spacing w:before="41"/>
                  <w:ind w:left="40" w:right="0" w:firstLine="0"/>
                  <w:jc w:val="left"/>
                  <w:rPr>
                    <w:rFonts w:ascii="Times New Roman"/>
                    <w:sz w:val="18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/>
                    <w:sz w:val="18"/>
                  </w:rPr>
                  <w:t>5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17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o:spid="_x0000_s2054" type="#_x0000_t202" style="width:12.25pt;height:13.45pt;margin-top:788.4pt;margin-left:289.8pt;mso-height-relative:page;mso-position-horizontal-relative:page;mso-position-vertical-relative:page;mso-width-relative:page;position:absolute;z-index:-251653120" coordsize="21600,21600" filled="f" stroked="f">
          <v:stroke joinstyle="miter"/>
          <v:textbox inset="0,0,0,0">
            <w:txbxContent>
              <w:p>
                <w:pPr>
                  <w:spacing w:before="41"/>
                  <w:ind w:left="40" w:right="0" w:firstLine="0"/>
                  <w:jc w:val="left"/>
                  <w:rPr>
                    <w:rFonts w:ascii="Times New Roman"/>
                    <w:sz w:val="18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/>
                    <w:sz w:val="18"/>
                  </w:rPr>
                  <w:t>6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17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o:spid="_x0000_s2055" type="#_x0000_t202" style="width:12.25pt;height:13.45pt;margin-top:788.4pt;margin-left:289.8pt;mso-height-relative:page;mso-position-horizontal-relative:page;mso-position-vertical-relative:page;mso-width-relative:page;position:absolute;z-index:-251652096" coordsize="21600,21600" filled="f" stroked="f">
          <v:stroke joinstyle="miter"/>
          <v:textbox inset="0,0,0,0">
            <w:txbxContent>
              <w:p>
                <w:pPr>
                  <w:spacing w:before="41"/>
                  <w:ind w:left="40" w:right="0" w:firstLine="0"/>
                  <w:jc w:val="left"/>
                  <w:rPr>
                    <w:rFonts w:ascii="Times New Roman"/>
                    <w:sz w:val="18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/>
                    <w:sz w:val="18"/>
                  </w:rPr>
                  <w:t>7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17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o:spid="_x0000_s2056" type="#_x0000_t202" style="width:12.25pt;height:13.45pt;margin-top:788.4pt;margin-left:289.8pt;mso-height-relative:page;mso-position-horizontal-relative:page;mso-position-vertical-relative:page;mso-width-relative:page;position:absolute;z-index:-251651072" coordsize="21600,21600" filled="f" stroked="f">
          <v:stroke joinstyle="miter"/>
          <v:textbox inset="0,0,0,0">
            <w:txbxContent>
              <w:p>
                <w:pPr>
                  <w:spacing w:before="41"/>
                  <w:ind w:left="40" w:right="0" w:firstLine="0"/>
                  <w:jc w:val="left"/>
                  <w:rPr>
                    <w:rFonts w:ascii="Times New Roman"/>
                    <w:sz w:val="18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/>
                    <w:sz w:val="18"/>
                  </w:rPr>
                  <w:t>8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o:spid="_x0000_s2057" type="#_x0000_t202" style="width:8.5pt;height:12pt;margin-top:800.15pt;margin-left:293.55pt;mso-height-relative:page;mso-position-horizontal-relative:page;mso-position-vertical-relative:page;mso-width-relative:page;position:absolute;z-index:-251650048" coordsize="21600,21600" filled="f" stroked="f">
          <v:stroke joinstyle="miter"/>
          <v:textbox inset="0,0,0,0">
            <w:txbxContent>
              <w:p>
                <w:pPr>
                  <w:spacing w:before="12"/>
                  <w:ind w:left="40" w:right="0" w:firstLine="0"/>
                  <w:jc w:val="left"/>
                  <w:rPr>
                    <w:rFonts w:ascii="Times New Roman"/>
                    <w:sz w:val="18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/>
                    <w:sz w:val="18"/>
                  </w:rPr>
                  <w:t>9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8E6D16C5"/>
    <w:multiLevelType w:val="multilevel"/>
    <w:tmpl w:val="8E6D16C5"/>
    <w:lvl w:ilvl="0">
      <w:start w:val="0"/>
      <w:numFmt w:val="decimal"/>
      <w:lvlText w:val="%1"/>
      <w:lvlJc w:val="left"/>
      <w:pPr>
        <w:ind w:left="1282" w:hanging="541"/>
        <w:jc w:val="left"/>
      </w:pPr>
      <w:rPr>
        <w:rFonts w:hint="default"/>
        <w:lang w:val="zh-CN" w:eastAsia="zh-CN" w:bidi="zh-CN"/>
      </w:rPr>
    </w:lvl>
    <w:lvl w:ilvl="1">
      <w:start w:val="5"/>
      <w:numFmt w:val="decimalZero"/>
      <w:lvlText w:val="%1.%2"/>
      <w:lvlJc w:val="left"/>
      <w:pPr>
        <w:ind w:left="1282" w:hanging="54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zh-CN" w:eastAsia="zh-CN" w:bidi="zh-CN"/>
      </w:rPr>
    </w:lvl>
    <w:lvl w:ilvl="2">
      <w:start w:val="0"/>
      <w:numFmt w:val="bullet"/>
      <w:lvlText w:val="•"/>
      <w:lvlJc w:val="left"/>
      <w:pPr>
        <w:ind w:left="2950" w:hanging="541"/>
      </w:pPr>
      <w:rPr>
        <w:rFonts w:hint="default"/>
        <w:lang w:val="zh-CN" w:eastAsia="zh-CN" w:bidi="zh-CN"/>
      </w:rPr>
    </w:lvl>
    <w:lvl w:ilvl="3">
      <w:start w:val="0"/>
      <w:numFmt w:val="bullet"/>
      <w:lvlText w:val="•"/>
      <w:lvlJc w:val="left"/>
      <w:pPr>
        <w:ind w:left="3785" w:hanging="541"/>
      </w:pPr>
      <w:rPr>
        <w:rFonts w:hint="default"/>
        <w:lang w:val="zh-CN" w:eastAsia="zh-CN" w:bidi="zh-CN"/>
      </w:rPr>
    </w:lvl>
    <w:lvl w:ilvl="4">
      <w:start w:val="0"/>
      <w:numFmt w:val="bullet"/>
      <w:lvlText w:val="•"/>
      <w:lvlJc w:val="left"/>
      <w:pPr>
        <w:ind w:left="4620" w:hanging="541"/>
      </w:pPr>
      <w:rPr>
        <w:rFonts w:hint="default"/>
        <w:lang w:val="zh-CN" w:eastAsia="zh-CN" w:bidi="zh-CN"/>
      </w:rPr>
    </w:lvl>
    <w:lvl w:ilvl="5">
      <w:start w:val="0"/>
      <w:numFmt w:val="bullet"/>
      <w:lvlText w:val="•"/>
      <w:lvlJc w:val="left"/>
      <w:pPr>
        <w:ind w:left="5455" w:hanging="541"/>
      </w:pPr>
      <w:rPr>
        <w:rFonts w:hint="default"/>
        <w:lang w:val="zh-CN" w:eastAsia="zh-CN" w:bidi="zh-CN"/>
      </w:rPr>
    </w:lvl>
    <w:lvl w:ilvl="6">
      <w:start w:val="0"/>
      <w:numFmt w:val="bullet"/>
      <w:lvlText w:val="•"/>
      <w:lvlJc w:val="left"/>
      <w:pPr>
        <w:ind w:left="6290" w:hanging="541"/>
      </w:pPr>
      <w:rPr>
        <w:rFonts w:hint="default"/>
        <w:lang w:val="zh-CN" w:eastAsia="zh-CN" w:bidi="zh-CN"/>
      </w:rPr>
    </w:lvl>
    <w:lvl w:ilvl="7">
      <w:start w:val="0"/>
      <w:numFmt w:val="bullet"/>
      <w:lvlText w:val="•"/>
      <w:lvlJc w:val="left"/>
      <w:pPr>
        <w:ind w:left="7125" w:hanging="541"/>
      </w:pPr>
      <w:rPr>
        <w:rFonts w:hint="default"/>
        <w:lang w:val="zh-CN" w:eastAsia="zh-CN" w:bidi="zh-CN"/>
      </w:rPr>
    </w:lvl>
    <w:lvl w:ilvl="8">
      <w:start w:val="0"/>
      <w:numFmt w:val="bullet"/>
      <w:lvlText w:val="•"/>
      <w:lvlJc w:val="left"/>
      <w:pPr>
        <w:ind w:left="7960" w:hanging="541"/>
      </w:pPr>
      <w:rPr>
        <w:rFonts w:hint="default"/>
        <w:lang w:val="zh-CN" w:eastAsia="zh-CN" w:bidi="zh-CN"/>
      </w:rPr>
    </w:lvl>
  </w:abstractNum>
  <w:abstractNum w:abstractNumId="1">
    <w:nsid w:val="99D419CA"/>
    <w:multiLevelType w:val="multilevel"/>
    <w:tmpl w:val="99D419CA"/>
    <w:lvl w:ilvl="0">
      <w:start w:val="2"/>
      <w:numFmt w:val="decimal"/>
      <w:lvlText w:val="%1."/>
      <w:lvlJc w:val="left"/>
      <w:pPr>
        <w:ind w:left="1395" w:hanging="174"/>
        <w:jc w:val="left"/>
      </w:pPr>
      <w:rPr>
        <w:rFonts w:ascii="Times New Roman" w:eastAsia="Times New Roman" w:hAnsi="Times New Roman" w:cs="Times New Roman" w:hint="default"/>
        <w:b/>
        <w:bCs/>
        <w:spacing w:val="-15"/>
        <w:w w:val="100"/>
        <w:sz w:val="22"/>
        <w:szCs w:val="22"/>
        <w:lang w:val="zh-CN" w:eastAsia="zh-CN" w:bidi="zh-CN"/>
      </w:rPr>
    </w:lvl>
    <w:lvl w:ilvl="1">
      <w:start w:val="0"/>
      <w:numFmt w:val="bullet"/>
      <w:lvlText w:val="•"/>
      <w:lvlJc w:val="left"/>
      <w:pPr>
        <w:ind w:left="2223" w:hanging="174"/>
      </w:pPr>
      <w:rPr>
        <w:rFonts w:hint="default"/>
        <w:lang w:val="zh-CN" w:eastAsia="zh-CN" w:bidi="zh-CN"/>
      </w:rPr>
    </w:lvl>
    <w:lvl w:ilvl="2">
      <w:start w:val="0"/>
      <w:numFmt w:val="bullet"/>
      <w:lvlText w:val="•"/>
      <w:lvlJc w:val="left"/>
      <w:pPr>
        <w:ind w:left="3046" w:hanging="174"/>
      </w:pPr>
      <w:rPr>
        <w:rFonts w:hint="default"/>
        <w:lang w:val="zh-CN" w:eastAsia="zh-CN" w:bidi="zh-CN"/>
      </w:rPr>
    </w:lvl>
    <w:lvl w:ilvl="3">
      <w:start w:val="0"/>
      <w:numFmt w:val="bullet"/>
      <w:lvlText w:val="•"/>
      <w:lvlJc w:val="left"/>
      <w:pPr>
        <w:ind w:left="3869" w:hanging="174"/>
      </w:pPr>
      <w:rPr>
        <w:rFonts w:hint="default"/>
        <w:lang w:val="zh-CN" w:eastAsia="zh-CN" w:bidi="zh-CN"/>
      </w:rPr>
    </w:lvl>
    <w:lvl w:ilvl="4">
      <w:start w:val="0"/>
      <w:numFmt w:val="bullet"/>
      <w:lvlText w:val="•"/>
      <w:lvlJc w:val="left"/>
      <w:pPr>
        <w:ind w:left="4692" w:hanging="174"/>
      </w:pPr>
      <w:rPr>
        <w:rFonts w:hint="default"/>
        <w:lang w:val="zh-CN" w:eastAsia="zh-CN" w:bidi="zh-CN"/>
      </w:rPr>
    </w:lvl>
    <w:lvl w:ilvl="5">
      <w:start w:val="0"/>
      <w:numFmt w:val="bullet"/>
      <w:lvlText w:val="•"/>
      <w:lvlJc w:val="left"/>
      <w:pPr>
        <w:ind w:left="5515" w:hanging="174"/>
      </w:pPr>
      <w:rPr>
        <w:rFonts w:hint="default"/>
        <w:lang w:val="zh-CN" w:eastAsia="zh-CN" w:bidi="zh-CN"/>
      </w:rPr>
    </w:lvl>
    <w:lvl w:ilvl="6">
      <w:start w:val="0"/>
      <w:numFmt w:val="bullet"/>
      <w:lvlText w:val="•"/>
      <w:lvlJc w:val="left"/>
      <w:pPr>
        <w:ind w:left="6338" w:hanging="174"/>
      </w:pPr>
      <w:rPr>
        <w:rFonts w:hint="default"/>
        <w:lang w:val="zh-CN" w:eastAsia="zh-CN" w:bidi="zh-CN"/>
      </w:rPr>
    </w:lvl>
    <w:lvl w:ilvl="7">
      <w:start w:val="0"/>
      <w:numFmt w:val="bullet"/>
      <w:lvlText w:val="•"/>
      <w:lvlJc w:val="left"/>
      <w:pPr>
        <w:ind w:left="7161" w:hanging="174"/>
      </w:pPr>
      <w:rPr>
        <w:rFonts w:hint="default"/>
        <w:lang w:val="zh-CN" w:eastAsia="zh-CN" w:bidi="zh-CN"/>
      </w:rPr>
    </w:lvl>
    <w:lvl w:ilvl="8">
      <w:start w:val="0"/>
      <w:numFmt w:val="bullet"/>
      <w:lvlText w:val="•"/>
      <w:lvlJc w:val="left"/>
      <w:pPr>
        <w:ind w:left="7984" w:hanging="174"/>
      </w:pPr>
      <w:rPr>
        <w:rFonts w:hint="default"/>
        <w:lang w:val="zh-CN" w:eastAsia="zh-CN" w:bidi="zh-CN"/>
      </w:rPr>
    </w:lvl>
  </w:abstractNum>
  <w:abstractNum w:abstractNumId="2">
    <w:nsid w:val="9F94E439"/>
    <w:multiLevelType w:val="multilevel"/>
    <w:tmpl w:val="9F94E439"/>
    <w:lvl w:ilvl="0">
      <w:start w:val="0"/>
      <w:numFmt w:val="bullet"/>
      <w:lvlText w:val=""/>
      <w:lvlJc w:val="left"/>
      <w:pPr>
        <w:ind w:left="334" w:hanging="215"/>
      </w:pPr>
      <w:rPr>
        <w:rFonts w:ascii="Wingdings" w:eastAsia="Wingdings" w:hAnsi="Wingdings" w:cs="Wingdings" w:hint="default"/>
        <w:spacing w:val="-1"/>
        <w:w w:val="100"/>
        <w:sz w:val="22"/>
        <w:szCs w:val="22"/>
        <w:lang w:val="zh-CN" w:eastAsia="zh-CN" w:bidi="zh-CN"/>
      </w:rPr>
    </w:lvl>
    <w:lvl w:ilvl="1">
      <w:start w:val="0"/>
      <w:numFmt w:val="bullet"/>
      <w:lvlText w:val="•"/>
      <w:lvlJc w:val="left"/>
      <w:pPr>
        <w:ind w:left="609" w:hanging="215"/>
      </w:pPr>
      <w:rPr>
        <w:rFonts w:hint="default"/>
        <w:lang w:val="zh-CN" w:eastAsia="zh-CN" w:bidi="zh-CN"/>
      </w:rPr>
    </w:lvl>
    <w:lvl w:ilvl="2">
      <w:start w:val="0"/>
      <w:numFmt w:val="bullet"/>
      <w:lvlText w:val="•"/>
      <w:lvlJc w:val="left"/>
      <w:pPr>
        <w:ind w:left="879" w:hanging="215"/>
      </w:pPr>
      <w:rPr>
        <w:rFonts w:hint="default"/>
        <w:lang w:val="zh-CN" w:eastAsia="zh-CN" w:bidi="zh-CN"/>
      </w:rPr>
    </w:lvl>
    <w:lvl w:ilvl="3">
      <w:start w:val="0"/>
      <w:numFmt w:val="bullet"/>
      <w:lvlText w:val="•"/>
      <w:lvlJc w:val="left"/>
      <w:pPr>
        <w:ind w:left="1149" w:hanging="215"/>
      </w:pPr>
      <w:rPr>
        <w:rFonts w:hint="default"/>
        <w:lang w:val="zh-CN" w:eastAsia="zh-CN" w:bidi="zh-CN"/>
      </w:rPr>
    </w:lvl>
    <w:lvl w:ilvl="4">
      <w:start w:val="0"/>
      <w:numFmt w:val="bullet"/>
      <w:lvlText w:val="•"/>
      <w:lvlJc w:val="left"/>
      <w:pPr>
        <w:ind w:left="1419" w:hanging="215"/>
      </w:pPr>
      <w:rPr>
        <w:rFonts w:hint="default"/>
        <w:lang w:val="zh-CN" w:eastAsia="zh-CN" w:bidi="zh-CN"/>
      </w:rPr>
    </w:lvl>
    <w:lvl w:ilvl="5">
      <w:start w:val="0"/>
      <w:numFmt w:val="bullet"/>
      <w:lvlText w:val="•"/>
      <w:lvlJc w:val="left"/>
      <w:pPr>
        <w:ind w:left="1689" w:hanging="215"/>
      </w:pPr>
      <w:rPr>
        <w:rFonts w:hint="default"/>
        <w:lang w:val="zh-CN" w:eastAsia="zh-CN" w:bidi="zh-CN"/>
      </w:rPr>
    </w:lvl>
    <w:lvl w:ilvl="6">
      <w:start w:val="0"/>
      <w:numFmt w:val="bullet"/>
      <w:lvlText w:val="•"/>
      <w:lvlJc w:val="left"/>
      <w:pPr>
        <w:ind w:left="1959" w:hanging="215"/>
      </w:pPr>
      <w:rPr>
        <w:rFonts w:hint="default"/>
        <w:lang w:val="zh-CN" w:eastAsia="zh-CN" w:bidi="zh-CN"/>
      </w:rPr>
    </w:lvl>
    <w:lvl w:ilvl="7">
      <w:start w:val="0"/>
      <w:numFmt w:val="bullet"/>
      <w:lvlText w:val="•"/>
      <w:lvlJc w:val="left"/>
      <w:pPr>
        <w:ind w:left="2229" w:hanging="215"/>
      </w:pPr>
      <w:rPr>
        <w:rFonts w:hint="default"/>
        <w:lang w:val="zh-CN" w:eastAsia="zh-CN" w:bidi="zh-CN"/>
      </w:rPr>
    </w:lvl>
    <w:lvl w:ilvl="8">
      <w:start w:val="0"/>
      <w:numFmt w:val="bullet"/>
      <w:lvlText w:val="•"/>
      <w:lvlJc w:val="left"/>
      <w:pPr>
        <w:ind w:left="2499" w:hanging="215"/>
      </w:pPr>
      <w:rPr>
        <w:rFonts w:hint="default"/>
        <w:lang w:val="zh-CN" w:eastAsia="zh-CN" w:bidi="zh-CN"/>
      </w:rPr>
    </w:lvl>
  </w:abstractNum>
  <w:abstractNum w:abstractNumId="3">
    <w:nsid w:val="A125D1D3"/>
    <w:multiLevelType w:val="multilevel"/>
    <w:tmpl w:val="A125D1D3"/>
    <w:lvl w:ilvl="0">
      <w:start w:val="1"/>
      <w:numFmt w:val="decimal"/>
      <w:lvlText w:val="（%1）"/>
      <w:lvlJc w:val="left"/>
      <w:pPr>
        <w:ind w:left="1039" w:hanging="601"/>
        <w:jc w:val="left"/>
      </w:pPr>
      <w:rPr>
        <w:rFonts w:ascii="宋体" w:eastAsia="宋体" w:hAnsi="宋体" w:cs="宋体" w:hint="default"/>
        <w:w w:val="100"/>
        <w:sz w:val="22"/>
        <w:szCs w:val="22"/>
        <w:lang w:val="zh-CN" w:eastAsia="zh-CN" w:bidi="zh-CN"/>
      </w:rPr>
    </w:lvl>
    <w:lvl w:ilvl="1">
      <w:start w:val="0"/>
      <w:numFmt w:val="bullet"/>
      <w:lvlText w:val="•"/>
      <w:lvlJc w:val="left"/>
      <w:pPr>
        <w:ind w:left="1700" w:hanging="601"/>
      </w:pPr>
      <w:rPr>
        <w:rFonts w:hint="default"/>
        <w:lang w:val="zh-CN" w:eastAsia="zh-CN" w:bidi="zh-CN"/>
      </w:rPr>
    </w:lvl>
    <w:lvl w:ilvl="2">
      <w:start w:val="0"/>
      <w:numFmt w:val="bullet"/>
      <w:lvlText w:val="•"/>
      <w:lvlJc w:val="left"/>
      <w:pPr>
        <w:ind w:left="2361" w:hanging="601"/>
      </w:pPr>
      <w:rPr>
        <w:rFonts w:hint="default"/>
        <w:lang w:val="zh-CN" w:eastAsia="zh-CN" w:bidi="zh-CN"/>
      </w:rPr>
    </w:lvl>
    <w:lvl w:ilvl="3">
      <w:start w:val="0"/>
      <w:numFmt w:val="bullet"/>
      <w:lvlText w:val="•"/>
      <w:lvlJc w:val="left"/>
      <w:pPr>
        <w:ind w:left="3022" w:hanging="601"/>
      </w:pPr>
      <w:rPr>
        <w:rFonts w:hint="default"/>
        <w:lang w:val="zh-CN" w:eastAsia="zh-CN" w:bidi="zh-CN"/>
      </w:rPr>
    </w:lvl>
    <w:lvl w:ilvl="4">
      <w:start w:val="0"/>
      <w:numFmt w:val="bullet"/>
      <w:lvlText w:val="•"/>
      <w:lvlJc w:val="left"/>
      <w:pPr>
        <w:ind w:left="3683" w:hanging="601"/>
      </w:pPr>
      <w:rPr>
        <w:rFonts w:hint="default"/>
        <w:lang w:val="zh-CN" w:eastAsia="zh-CN" w:bidi="zh-CN"/>
      </w:rPr>
    </w:lvl>
    <w:lvl w:ilvl="5">
      <w:start w:val="0"/>
      <w:numFmt w:val="bullet"/>
      <w:lvlText w:val="•"/>
      <w:lvlJc w:val="left"/>
      <w:pPr>
        <w:ind w:left="4344" w:hanging="601"/>
      </w:pPr>
      <w:rPr>
        <w:rFonts w:hint="default"/>
        <w:lang w:val="zh-CN" w:eastAsia="zh-CN" w:bidi="zh-CN"/>
      </w:rPr>
    </w:lvl>
    <w:lvl w:ilvl="6">
      <w:start w:val="0"/>
      <w:numFmt w:val="bullet"/>
      <w:lvlText w:val="•"/>
      <w:lvlJc w:val="left"/>
      <w:pPr>
        <w:ind w:left="5004" w:hanging="601"/>
      </w:pPr>
      <w:rPr>
        <w:rFonts w:hint="default"/>
        <w:lang w:val="zh-CN" w:eastAsia="zh-CN" w:bidi="zh-CN"/>
      </w:rPr>
    </w:lvl>
    <w:lvl w:ilvl="7">
      <w:start w:val="0"/>
      <w:numFmt w:val="bullet"/>
      <w:lvlText w:val="•"/>
      <w:lvlJc w:val="left"/>
      <w:pPr>
        <w:ind w:left="5665" w:hanging="601"/>
      </w:pPr>
      <w:rPr>
        <w:rFonts w:hint="default"/>
        <w:lang w:val="zh-CN" w:eastAsia="zh-CN" w:bidi="zh-CN"/>
      </w:rPr>
    </w:lvl>
    <w:lvl w:ilvl="8">
      <w:start w:val="0"/>
      <w:numFmt w:val="bullet"/>
      <w:lvlText w:val="•"/>
      <w:lvlJc w:val="left"/>
      <w:pPr>
        <w:ind w:left="6326" w:hanging="601"/>
      </w:pPr>
      <w:rPr>
        <w:rFonts w:hint="default"/>
        <w:lang w:val="zh-CN" w:eastAsia="zh-CN" w:bidi="zh-CN"/>
      </w:rPr>
    </w:lvl>
  </w:abstractNum>
  <w:abstractNum w:abstractNumId="4">
    <w:nsid w:val="A68D076A"/>
    <w:multiLevelType w:val="multilevel"/>
    <w:tmpl w:val="A68D076A"/>
    <w:lvl w:ilvl="0">
      <w:start w:val="1"/>
      <w:numFmt w:val="decimal"/>
      <w:lvlText w:val="（%1）"/>
      <w:lvlJc w:val="left"/>
      <w:pPr>
        <w:ind w:left="1133" w:hanging="601"/>
        <w:jc w:val="left"/>
      </w:pPr>
      <w:rPr>
        <w:rFonts w:ascii="宋体" w:eastAsia="宋体" w:hAnsi="宋体" w:cs="宋体" w:hint="default"/>
        <w:w w:val="100"/>
        <w:sz w:val="22"/>
        <w:szCs w:val="22"/>
        <w:lang w:val="zh-CN" w:eastAsia="zh-CN" w:bidi="zh-CN"/>
      </w:rPr>
    </w:lvl>
    <w:lvl w:ilvl="1">
      <w:start w:val="0"/>
      <w:numFmt w:val="bullet"/>
      <w:lvlText w:val="•"/>
      <w:lvlJc w:val="left"/>
      <w:pPr>
        <w:ind w:left="1896" w:hanging="601"/>
      </w:pPr>
      <w:rPr>
        <w:rFonts w:hint="default"/>
        <w:lang w:val="zh-CN" w:eastAsia="zh-CN" w:bidi="zh-CN"/>
      </w:rPr>
    </w:lvl>
    <w:lvl w:ilvl="2">
      <w:start w:val="0"/>
      <w:numFmt w:val="bullet"/>
      <w:lvlText w:val="•"/>
      <w:lvlJc w:val="left"/>
      <w:pPr>
        <w:ind w:left="2653" w:hanging="601"/>
      </w:pPr>
      <w:rPr>
        <w:rFonts w:hint="default"/>
        <w:lang w:val="zh-CN" w:eastAsia="zh-CN" w:bidi="zh-CN"/>
      </w:rPr>
    </w:lvl>
    <w:lvl w:ilvl="3">
      <w:start w:val="0"/>
      <w:numFmt w:val="bullet"/>
      <w:lvlText w:val="•"/>
      <w:lvlJc w:val="left"/>
      <w:pPr>
        <w:ind w:left="3410" w:hanging="601"/>
      </w:pPr>
      <w:rPr>
        <w:rFonts w:hint="default"/>
        <w:lang w:val="zh-CN" w:eastAsia="zh-CN" w:bidi="zh-CN"/>
      </w:rPr>
    </w:lvl>
    <w:lvl w:ilvl="4">
      <w:start w:val="0"/>
      <w:numFmt w:val="bullet"/>
      <w:lvlText w:val="•"/>
      <w:lvlJc w:val="left"/>
      <w:pPr>
        <w:ind w:left="4167" w:hanging="601"/>
      </w:pPr>
      <w:rPr>
        <w:rFonts w:hint="default"/>
        <w:lang w:val="zh-CN" w:eastAsia="zh-CN" w:bidi="zh-CN"/>
      </w:rPr>
    </w:lvl>
    <w:lvl w:ilvl="5">
      <w:start w:val="0"/>
      <w:numFmt w:val="bullet"/>
      <w:lvlText w:val="•"/>
      <w:lvlJc w:val="left"/>
      <w:pPr>
        <w:ind w:left="4924" w:hanging="601"/>
      </w:pPr>
      <w:rPr>
        <w:rFonts w:hint="default"/>
        <w:lang w:val="zh-CN" w:eastAsia="zh-CN" w:bidi="zh-CN"/>
      </w:rPr>
    </w:lvl>
    <w:lvl w:ilvl="6">
      <w:start w:val="0"/>
      <w:numFmt w:val="bullet"/>
      <w:lvlText w:val="•"/>
      <w:lvlJc w:val="left"/>
      <w:pPr>
        <w:ind w:left="5681" w:hanging="601"/>
      </w:pPr>
      <w:rPr>
        <w:rFonts w:hint="default"/>
        <w:lang w:val="zh-CN" w:eastAsia="zh-CN" w:bidi="zh-CN"/>
      </w:rPr>
    </w:lvl>
    <w:lvl w:ilvl="7">
      <w:start w:val="0"/>
      <w:numFmt w:val="bullet"/>
      <w:lvlText w:val="•"/>
      <w:lvlJc w:val="left"/>
      <w:pPr>
        <w:ind w:left="6438" w:hanging="601"/>
      </w:pPr>
      <w:rPr>
        <w:rFonts w:hint="default"/>
        <w:lang w:val="zh-CN" w:eastAsia="zh-CN" w:bidi="zh-CN"/>
      </w:rPr>
    </w:lvl>
    <w:lvl w:ilvl="8">
      <w:start w:val="0"/>
      <w:numFmt w:val="bullet"/>
      <w:lvlText w:val="•"/>
      <w:lvlJc w:val="left"/>
      <w:pPr>
        <w:ind w:left="7195" w:hanging="601"/>
      </w:pPr>
      <w:rPr>
        <w:rFonts w:hint="default"/>
        <w:lang w:val="zh-CN" w:eastAsia="zh-CN" w:bidi="zh-CN"/>
      </w:rPr>
    </w:lvl>
  </w:abstractNum>
  <w:abstractNum w:abstractNumId="5">
    <w:nsid w:val="A750D230"/>
    <w:multiLevelType w:val="multilevel"/>
    <w:tmpl w:val="A750D230"/>
    <w:lvl w:ilvl="0">
      <w:start w:val="0"/>
      <w:numFmt w:val="decimal"/>
      <w:lvlText w:val="%1"/>
      <w:lvlJc w:val="left"/>
      <w:pPr>
        <w:ind w:left="1325" w:hanging="541"/>
        <w:jc w:val="left"/>
      </w:pPr>
      <w:rPr>
        <w:rFonts w:hint="default"/>
        <w:lang w:val="zh-CN" w:eastAsia="zh-CN" w:bidi="zh-CN"/>
      </w:rPr>
    </w:lvl>
    <w:lvl w:ilvl="1">
      <w:start w:val="3"/>
      <w:numFmt w:val="decimalZero"/>
      <w:lvlText w:val="%1.%2"/>
      <w:lvlJc w:val="left"/>
      <w:pPr>
        <w:ind w:left="1325" w:hanging="541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2"/>
        <w:szCs w:val="22"/>
        <w:lang w:val="zh-CN" w:eastAsia="zh-CN" w:bidi="zh-CN"/>
      </w:rPr>
    </w:lvl>
    <w:lvl w:ilvl="2">
      <w:start w:val="1"/>
      <w:numFmt w:val="decimal"/>
      <w:lvlText w:val="（%3）"/>
      <w:lvlJc w:val="left"/>
      <w:pPr>
        <w:ind w:left="1822" w:hanging="601"/>
        <w:jc w:val="left"/>
      </w:pPr>
      <w:rPr>
        <w:rFonts w:ascii="宋体" w:eastAsia="宋体" w:hAnsi="宋体" w:cs="宋体" w:hint="default"/>
        <w:w w:val="100"/>
        <w:sz w:val="22"/>
        <w:szCs w:val="22"/>
        <w:lang w:val="zh-CN" w:eastAsia="zh-CN" w:bidi="zh-CN"/>
      </w:rPr>
    </w:lvl>
    <w:lvl w:ilvl="3">
      <w:start w:val="0"/>
      <w:numFmt w:val="bullet"/>
      <w:lvlText w:val="•"/>
      <w:lvlJc w:val="left"/>
      <w:pPr>
        <w:ind w:left="3555" w:hanging="601"/>
      </w:pPr>
      <w:rPr>
        <w:rFonts w:hint="default"/>
        <w:lang w:val="zh-CN" w:eastAsia="zh-CN" w:bidi="zh-CN"/>
      </w:rPr>
    </w:lvl>
    <w:lvl w:ilvl="4">
      <w:start w:val="0"/>
      <w:numFmt w:val="bullet"/>
      <w:lvlText w:val="•"/>
      <w:lvlJc w:val="left"/>
      <w:pPr>
        <w:ind w:left="4423" w:hanging="601"/>
      </w:pPr>
      <w:rPr>
        <w:rFonts w:hint="default"/>
        <w:lang w:val="zh-CN" w:eastAsia="zh-CN" w:bidi="zh-CN"/>
      </w:rPr>
    </w:lvl>
    <w:lvl w:ilvl="5">
      <w:start w:val="0"/>
      <w:numFmt w:val="bullet"/>
      <w:lvlText w:val="•"/>
      <w:lvlJc w:val="left"/>
      <w:pPr>
        <w:ind w:left="5291" w:hanging="601"/>
      </w:pPr>
      <w:rPr>
        <w:rFonts w:hint="default"/>
        <w:lang w:val="zh-CN" w:eastAsia="zh-CN" w:bidi="zh-CN"/>
      </w:rPr>
    </w:lvl>
    <w:lvl w:ilvl="6">
      <w:start w:val="0"/>
      <w:numFmt w:val="bullet"/>
      <w:lvlText w:val="•"/>
      <w:lvlJc w:val="left"/>
      <w:pPr>
        <w:ind w:left="6158" w:hanging="601"/>
      </w:pPr>
      <w:rPr>
        <w:rFonts w:hint="default"/>
        <w:lang w:val="zh-CN" w:eastAsia="zh-CN" w:bidi="zh-CN"/>
      </w:rPr>
    </w:lvl>
    <w:lvl w:ilvl="7">
      <w:start w:val="0"/>
      <w:numFmt w:val="bullet"/>
      <w:lvlText w:val="•"/>
      <w:lvlJc w:val="left"/>
      <w:pPr>
        <w:ind w:left="7026" w:hanging="601"/>
      </w:pPr>
      <w:rPr>
        <w:rFonts w:hint="default"/>
        <w:lang w:val="zh-CN" w:eastAsia="zh-CN" w:bidi="zh-CN"/>
      </w:rPr>
    </w:lvl>
    <w:lvl w:ilvl="8">
      <w:start w:val="0"/>
      <w:numFmt w:val="bullet"/>
      <w:lvlText w:val="•"/>
      <w:lvlJc w:val="left"/>
      <w:pPr>
        <w:ind w:left="7894" w:hanging="601"/>
      </w:pPr>
      <w:rPr>
        <w:rFonts w:hint="default"/>
        <w:lang w:val="zh-CN" w:eastAsia="zh-CN" w:bidi="zh-CN"/>
      </w:rPr>
    </w:lvl>
  </w:abstractNum>
  <w:abstractNum w:abstractNumId="6">
    <w:nsid w:val="A904AA35"/>
    <w:multiLevelType w:val="multilevel"/>
    <w:tmpl w:val="A904AA35"/>
    <w:lvl w:ilvl="0">
      <w:start w:val="2"/>
      <w:numFmt w:val="decimal"/>
      <w:lvlText w:val="（%1）"/>
      <w:lvlJc w:val="left"/>
      <w:pPr>
        <w:ind w:left="1068" w:hanging="580"/>
        <w:jc w:val="left"/>
      </w:pPr>
      <w:rPr>
        <w:rFonts w:ascii="宋体" w:eastAsia="宋体" w:hAnsi="宋体" w:cs="宋体" w:hint="default"/>
        <w:spacing w:val="-12"/>
        <w:w w:val="100"/>
        <w:sz w:val="22"/>
        <w:szCs w:val="22"/>
        <w:lang w:val="zh-CN" w:eastAsia="zh-CN" w:bidi="zh-CN"/>
      </w:rPr>
    </w:lvl>
    <w:lvl w:ilvl="1">
      <w:start w:val="0"/>
      <w:numFmt w:val="bullet"/>
      <w:lvlText w:val="•"/>
      <w:lvlJc w:val="left"/>
      <w:pPr>
        <w:ind w:left="1824" w:hanging="580"/>
      </w:pPr>
      <w:rPr>
        <w:rFonts w:hint="default"/>
        <w:lang w:val="zh-CN" w:eastAsia="zh-CN" w:bidi="zh-CN"/>
      </w:rPr>
    </w:lvl>
    <w:lvl w:ilvl="2">
      <w:start w:val="0"/>
      <w:numFmt w:val="bullet"/>
      <w:lvlText w:val="•"/>
      <w:lvlJc w:val="left"/>
      <w:pPr>
        <w:ind w:left="2589" w:hanging="580"/>
      </w:pPr>
      <w:rPr>
        <w:rFonts w:hint="default"/>
        <w:lang w:val="zh-CN" w:eastAsia="zh-CN" w:bidi="zh-CN"/>
      </w:rPr>
    </w:lvl>
    <w:lvl w:ilvl="3">
      <w:start w:val="0"/>
      <w:numFmt w:val="bullet"/>
      <w:lvlText w:val="•"/>
      <w:lvlJc w:val="left"/>
      <w:pPr>
        <w:ind w:left="3354" w:hanging="580"/>
      </w:pPr>
      <w:rPr>
        <w:rFonts w:hint="default"/>
        <w:lang w:val="zh-CN" w:eastAsia="zh-CN" w:bidi="zh-CN"/>
      </w:rPr>
    </w:lvl>
    <w:lvl w:ilvl="4">
      <w:start w:val="0"/>
      <w:numFmt w:val="bullet"/>
      <w:lvlText w:val="•"/>
      <w:lvlJc w:val="left"/>
      <w:pPr>
        <w:ind w:left="4119" w:hanging="580"/>
      </w:pPr>
      <w:rPr>
        <w:rFonts w:hint="default"/>
        <w:lang w:val="zh-CN" w:eastAsia="zh-CN" w:bidi="zh-CN"/>
      </w:rPr>
    </w:lvl>
    <w:lvl w:ilvl="5">
      <w:start w:val="0"/>
      <w:numFmt w:val="bullet"/>
      <w:lvlText w:val="•"/>
      <w:lvlJc w:val="left"/>
      <w:pPr>
        <w:ind w:left="4884" w:hanging="580"/>
      </w:pPr>
      <w:rPr>
        <w:rFonts w:hint="default"/>
        <w:lang w:val="zh-CN" w:eastAsia="zh-CN" w:bidi="zh-CN"/>
      </w:rPr>
    </w:lvl>
    <w:lvl w:ilvl="6">
      <w:start w:val="0"/>
      <w:numFmt w:val="bullet"/>
      <w:lvlText w:val="•"/>
      <w:lvlJc w:val="left"/>
      <w:pPr>
        <w:ind w:left="5649" w:hanging="580"/>
      </w:pPr>
      <w:rPr>
        <w:rFonts w:hint="default"/>
        <w:lang w:val="zh-CN" w:eastAsia="zh-CN" w:bidi="zh-CN"/>
      </w:rPr>
    </w:lvl>
    <w:lvl w:ilvl="7">
      <w:start w:val="0"/>
      <w:numFmt w:val="bullet"/>
      <w:lvlText w:val="•"/>
      <w:lvlJc w:val="left"/>
      <w:pPr>
        <w:ind w:left="6414" w:hanging="580"/>
      </w:pPr>
      <w:rPr>
        <w:rFonts w:hint="default"/>
        <w:lang w:val="zh-CN" w:eastAsia="zh-CN" w:bidi="zh-CN"/>
      </w:rPr>
    </w:lvl>
    <w:lvl w:ilvl="8">
      <w:start w:val="0"/>
      <w:numFmt w:val="bullet"/>
      <w:lvlText w:val="•"/>
      <w:lvlJc w:val="left"/>
      <w:pPr>
        <w:ind w:left="7179" w:hanging="580"/>
      </w:pPr>
      <w:rPr>
        <w:rFonts w:hint="default"/>
        <w:lang w:val="zh-CN" w:eastAsia="zh-CN" w:bidi="zh-CN"/>
      </w:rPr>
    </w:lvl>
  </w:abstractNum>
  <w:abstractNum w:abstractNumId="7">
    <w:nsid w:val="BB01E1DA"/>
    <w:multiLevelType w:val="multilevel"/>
    <w:tmpl w:val="BB01E1DA"/>
    <w:lvl w:ilvl="0">
      <w:start w:val="1"/>
      <w:numFmt w:val="decimal"/>
      <w:lvlText w:val="（%1）"/>
      <w:lvlJc w:val="left"/>
      <w:pPr>
        <w:ind w:left="696" w:hanging="624"/>
        <w:jc w:val="left"/>
      </w:pPr>
      <w:rPr>
        <w:rFonts w:ascii="宋体" w:eastAsia="宋体" w:hAnsi="宋体" w:cs="宋体" w:hint="default"/>
        <w:spacing w:val="7"/>
        <w:w w:val="100"/>
        <w:sz w:val="22"/>
        <w:szCs w:val="22"/>
        <w:lang w:val="zh-CN" w:eastAsia="zh-CN" w:bidi="zh-CN"/>
      </w:rPr>
    </w:lvl>
    <w:lvl w:ilvl="1">
      <w:start w:val="0"/>
      <w:numFmt w:val="bullet"/>
      <w:lvlText w:val="•"/>
      <w:lvlJc w:val="left"/>
      <w:pPr>
        <w:ind w:left="1593" w:hanging="624"/>
      </w:pPr>
      <w:rPr>
        <w:rFonts w:hint="default"/>
        <w:lang w:val="zh-CN" w:eastAsia="zh-CN" w:bidi="zh-CN"/>
      </w:rPr>
    </w:lvl>
    <w:lvl w:ilvl="2">
      <w:start w:val="0"/>
      <w:numFmt w:val="bullet"/>
      <w:lvlText w:val="•"/>
      <w:lvlJc w:val="left"/>
      <w:pPr>
        <w:ind w:left="2486" w:hanging="624"/>
      </w:pPr>
      <w:rPr>
        <w:rFonts w:hint="default"/>
        <w:lang w:val="zh-CN" w:eastAsia="zh-CN" w:bidi="zh-CN"/>
      </w:rPr>
    </w:lvl>
    <w:lvl w:ilvl="3">
      <w:start w:val="0"/>
      <w:numFmt w:val="bullet"/>
      <w:lvlText w:val="•"/>
      <w:lvlJc w:val="left"/>
      <w:pPr>
        <w:ind w:left="3379" w:hanging="624"/>
      </w:pPr>
      <w:rPr>
        <w:rFonts w:hint="default"/>
        <w:lang w:val="zh-CN" w:eastAsia="zh-CN" w:bidi="zh-CN"/>
      </w:rPr>
    </w:lvl>
    <w:lvl w:ilvl="4">
      <w:start w:val="0"/>
      <w:numFmt w:val="bullet"/>
      <w:lvlText w:val="•"/>
      <w:lvlJc w:val="left"/>
      <w:pPr>
        <w:ind w:left="4272" w:hanging="624"/>
      </w:pPr>
      <w:rPr>
        <w:rFonts w:hint="default"/>
        <w:lang w:val="zh-CN" w:eastAsia="zh-CN" w:bidi="zh-CN"/>
      </w:rPr>
    </w:lvl>
    <w:lvl w:ilvl="5">
      <w:start w:val="0"/>
      <w:numFmt w:val="bullet"/>
      <w:lvlText w:val="•"/>
      <w:lvlJc w:val="left"/>
      <w:pPr>
        <w:ind w:left="5165" w:hanging="624"/>
      </w:pPr>
      <w:rPr>
        <w:rFonts w:hint="default"/>
        <w:lang w:val="zh-CN" w:eastAsia="zh-CN" w:bidi="zh-CN"/>
      </w:rPr>
    </w:lvl>
    <w:lvl w:ilvl="6">
      <w:start w:val="0"/>
      <w:numFmt w:val="bullet"/>
      <w:lvlText w:val="•"/>
      <w:lvlJc w:val="left"/>
      <w:pPr>
        <w:ind w:left="6058" w:hanging="624"/>
      </w:pPr>
      <w:rPr>
        <w:rFonts w:hint="default"/>
        <w:lang w:val="zh-CN" w:eastAsia="zh-CN" w:bidi="zh-CN"/>
      </w:rPr>
    </w:lvl>
    <w:lvl w:ilvl="7">
      <w:start w:val="0"/>
      <w:numFmt w:val="bullet"/>
      <w:lvlText w:val="•"/>
      <w:lvlJc w:val="left"/>
      <w:pPr>
        <w:ind w:left="6951" w:hanging="624"/>
      </w:pPr>
      <w:rPr>
        <w:rFonts w:hint="default"/>
        <w:lang w:val="zh-CN" w:eastAsia="zh-CN" w:bidi="zh-CN"/>
      </w:rPr>
    </w:lvl>
    <w:lvl w:ilvl="8">
      <w:start w:val="0"/>
      <w:numFmt w:val="bullet"/>
      <w:lvlText w:val="•"/>
      <w:lvlJc w:val="left"/>
      <w:pPr>
        <w:ind w:left="7844" w:hanging="624"/>
      </w:pPr>
      <w:rPr>
        <w:rFonts w:hint="default"/>
        <w:lang w:val="zh-CN" w:eastAsia="zh-CN" w:bidi="zh-CN"/>
      </w:rPr>
    </w:lvl>
  </w:abstractNum>
  <w:abstractNum w:abstractNumId="8">
    <w:nsid w:val="BBB9C840"/>
    <w:multiLevelType w:val="multilevel"/>
    <w:tmpl w:val="BBB9C840"/>
    <w:lvl w:ilvl="0">
      <w:start w:val="1"/>
      <w:numFmt w:val="decimal"/>
      <w:lvlText w:val="%1）"/>
      <w:lvlJc w:val="left"/>
      <w:pPr>
        <w:ind w:left="1625" w:hanging="36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zh-CN" w:eastAsia="zh-CN" w:bidi="zh-CN"/>
      </w:rPr>
    </w:lvl>
    <w:lvl w:ilvl="1">
      <w:start w:val="0"/>
      <w:numFmt w:val="bullet"/>
      <w:lvlText w:val="•"/>
      <w:lvlJc w:val="left"/>
      <w:pPr>
        <w:ind w:left="2421" w:hanging="361"/>
      </w:pPr>
      <w:rPr>
        <w:rFonts w:hint="default"/>
        <w:lang w:val="zh-CN" w:eastAsia="zh-CN" w:bidi="zh-CN"/>
      </w:rPr>
    </w:lvl>
    <w:lvl w:ilvl="2">
      <w:start w:val="0"/>
      <w:numFmt w:val="bullet"/>
      <w:lvlText w:val="•"/>
      <w:lvlJc w:val="left"/>
      <w:pPr>
        <w:ind w:left="3222" w:hanging="361"/>
      </w:pPr>
      <w:rPr>
        <w:rFonts w:hint="default"/>
        <w:lang w:val="zh-CN" w:eastAsia="zh-CN" w:bidi="zh-CN"/>
      </w:rPr>
    </w:lvl>
    <w:lvl w:ilvl="3">
      <w:start w:val="0"/>
      <w:numFmt w:val="bullet"/>
      <w:lvlText w:val="•"/>
      <w:lvlJc w:val="left"/>
      <w:pPr>
        <w:ind w:left="4023" w:hanging="361"/>
      </w:pPr>
      <w:rPr>
        <w:rFonts w:hint="default"/>
        <w:lang w:val="zh-CN" w:eastAsia="zh-CN" w:bidi="zh-CN"/>
      </w:rPr>
    </w:lvl>
    <w:lvl w:ilvl="4">
      <w:start w:val="0"/>
      <w:numFmt w:val="bullet"/>
      <w:lvlText w:val="•"/>
      <w:lvlJc w:val="left"/>
      <w:pPr>
        <w:ind w:left="4824" w:hanging="361"/>
      </w:pPr>
      <w:rPr>
        <w:rFonts w:hint="default"/>
        <w:lang w:val="zh-CN" w:eastAsia="zh-CN" w:bidi="zh-CN"/>
      </w:rPr>
    </w:lvl>
    <w:lvl w:ilvl="5">
      <w:start w:val="0"/>
      <w:numFmt w:val="bullet"/>
      <w:lvlText w:val="•"/>
      <w:lvlJc w:val="left"/>
      <w:pPr>
        <w:ind w:left="5625" w:hanging="361"/>
      </w:pPr>
      <w:rPr>
        <w:rFonts w:hint="default"/>
        <w:lang w:val="zh-CN" w:eastAsia="zh-CN" w:bidi="zh-CN"/>
      </w:rPr>
    </w:lvl>
    <w:lvl w:ilvl="6">
      <w:start w:val="0"/>
      <w:numFmt w:val="bullet"/>
      <w:lvlText w:val="•"/>
      <w:lvlJc w:val="left"/>
      <w:pPr>
        <w:ind w:left="6426" w:hanging="361"/>
      </w:pPr>
      <w:rPr>
        <w:rFonts w:hint="default"/>
        <w:lang w:val="zh-CN" w:eastAsia="zh-CN" w:bidi="zh-CN"/>
      </w:rPr>
    </w:lvl>
    <w:lvl w:ilvl="7">
      <w:start w:val="0"/>
      <w:numFmt w:val="bullet"/>
      <w:lvlText w:val="•"/>
      <w:lvlJc w:val="left"/>
      <w:pPr>
        <w:ind w:left="7227" w:hanging="361"/>
      </w:pPr>
      <w:rPr>
        <w:rFonts w:hint="default"/>
        <w:lang w:val="zh-CN" w:eastAsia="zh-CN" w:bidi="zh-CN"/>
      </w:rPr>
    </w:lvl>
    <w:lvl w:ilvl="8">
      <w:start w:val="0"/>
      <w:numFmt w:val="bullet"/>
      <w:lvlText w:val="•"/>
      <w:lvlJc w:val="left"/>
      <w:pPr>
        <w:ind w:left="8028" w:hanging="361"/>
      </w:pPr>
      <w:rPr>
        <w:rFonts w:hint="default"/>
        <w:lang w:val="zh-CN" w:eastAsia="zh-CN" w:bidi="zh-CN"/>
      </w:rPr>
    </w:lvl>
  </w:abstractNum>
  <w:abstractNum w:abstractNumId="9">
    <w:nsid w:val="BCB7EA04"/>
    <w:multiLevelType w:val="multilevel"/>
    <w:tmpl w:val="BCB7EA04"/>
    <w:lvl w:ilvl="0">
      <w:start w:val="2"/>
      <w:numFmt w:val="decimal"/>
      <w:lvlText w:val="%1）"/>
      <w:lvlJc w:val="left"/>
      <w:pPr>
        <w:ind w:left="1625" w:hanging="36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zh-CN" w:eastAsia="zh-CN" w:bidi="zh-CN"/>
      </w:rPr>
    </w:lvl>
    <w:lvl w:ilvl="1">
      <w:start w:val="0"/>
      <w:numFmt w:val="bullet"/>
      <w:lvlText w:val="•"/>
      <w:lvlJc w:val="left"/>
      <w:pPr>
        <w:ind w:left="2421" w:hanging="361"/>
      </w:pPr>
      <w:rPr>
        <w:rFonts w:hint="default"/>
        <w:lang w:val="zh-CN" w:eastAsia="zh-CN" w:bidi="zh-CN"/>
      </w:rPr>
    </w:lvl>
    <w:lvl w:ilvl="2">
      <w:start w:val="0"/>
      <w:numFmt w:val="bullet"/>
      <w:lvlText w:val="•"/>
      <w:lvlJc w:val="left"/>
      <w:pPr>
        <w:ind w:left="3222" w:hanging="361"/>
      </w:pPr>
      <w:rPr>
        <w:rFonts w:hint="default"/>
        <w:lang w:val="zh-CN" w:eastAsia="zh-CN" w:bidi="zh-CN"/>
      </w:rPr>
    </w:lvl>
    <w:lvl w:ilvl="3">
      <w:start w:val="0"/>
      <w:numFmt w:val="bullet"/>
      <w:lvlText w:val="•"/>
      <w:lvlJc w:val="left"/>
      <w:pPr>
        <w:ind w:left="4023" w:hanging="361"/>
      </w:pPr>
      <w:rPr>
        <w:rFonts w:hint="default"/>
        <w:lang w:val="zh-CN" w:eastAsia="zh-CN" w:bidi="zh-CN"/>
      </w:rPr>
    </w:lvl>
    <w:lvl w:ilvl="4">
      <w:start w:val="0"/>
      <w:numFmt w:val="bullet"/>
      <w:lvlText w:val="•"/>
      <w:lvlJc w:val="left"/>
      <w:pPr>
        <w:ind w:left="4824" w:hanging="361"/>
      </w:pPr>
      <w:rPr>
        <w:rFonts w:hint="default"/>
        <w:lang w:val="zh-CN" w:eastAsia="zh-CN" w:bidi="zh-CN"/>
      </w:rPr>
    </w:lvl>
    <w:lvl w:ilvl="5">
      <w:start w:val="0"/>
      <w:numFmt w:val="bullet"/>
      <w:lvlText w:val="•"/>
      <w:lvlJc w:val="left"/>
      <w:pPr>
        <w:ind w:left="5625" w:hanging="361"/>
      </w:pPr>
      <w:rPr>
        <w:rFonts w:hint="default"/>
        <w:lang w:val="zh-CN" w:eastAsia="zh-CN" w:bidi="zh-CN"/>
      </w:rPr>
    </w:lvl>
    <w:lvl w:ilvl="6">
      <w:start w:val="0"/>
      <w:numFmt w:val="bullet"/>
      <w:lvlText w:val="•"/>
      <w:lvlJc w:val="left"/>
      <w:pPr>
        <w:ind w:left="6426" w:hanging="361"/>
      </w:pPr>
      <w:rPr>
        <w:rFonts w:hint="default"/>
        <w:lang w:val="zh-CN" w:eastAsia="zh-CN" w:bidi="zh-CN"/>
      </w:rPr>
    </w:lvl>
    <w:lvl w:ilvl="7">
      <w:start w:val="0"/>
      <w:numFmt w:val="bullet"/>
      <w:lvlText w:val="•"/>
      <w:lvlJc w:val="left"/>
      <w:pPr>
        <w:ind w:left="7227" w:hanging="361"/>
      </w:pPr>
      <w:rPr>
        <w:rFonts w:hint="default"/>
        <w:lang w:val="zh-CN" w:eastAsia="zh-CN" w:bidi="zh-CN"/>
      </w:rPr>
    </w:lvl>
    <w:lvl w:ilvl="8">
      <w:start w:val="0"/>
      <w:numFmt w:val="bullet"/>
      <w:lvlText w:val="•"/>
      <w:lvlJc w:val="left"/>
      <w:pPr>
        <w:ind w:left="8028" w:hanging="361"/>
      </w:pPr>
      <w:rPr>
        <w:rFonts w:hint="default"/>
        <w:lang w:val="zh-CN" w:eastAsia="zh-CN" w:bidi="zh-CN"/>
      </w:rPr>
    </w:lvl>
  </w:abstractNum>
  <w:abstractNum w:abstractNumId="10">
    <w:nsid w:val="BEDBFA51"/>
    <w:multiLevelType w:val="multilevel"/>
    <w:tmpl w:val="BEDBFA51"/>
    <w:lvl w:ilvl="0">
      <w:start w:val="0"/>
      <w:numFmt w:val="bullet"/>
      <w:lvlText w:val=""/>
      <w:lvlJc w:val="left"/>
      <w:pPr>
        <w:ind w:left="335" w:hanging="215"/>
      </w:pPr>
      <w:rPr>
        <w:rFonts w:ascii="Wingdings" w:eastAsia="Wingdings" w:hAnsi="Wingdings" w:cs="Wingdings" w:hint="default"/>
        <w:spacing w:val="-3"/>
        <w:w w:val="100"/>
        <w:sz w:val="22"/>
        <w:szCs w:val="22"/>
        <w:lang w:val="zh-CN" w:eastAsia="zh-CN" w:bidi="zh-CN"/>
      </w:rPr>
    </w:lvl>
    <w:lvl w:ilvl="1">
      <w:start w:val="0"/>
      <w:numFmt w:val="bullet"/>
      <w:lvlText w:val="•"/>
      <w:lvlJc w:val="left"/>
      <w:pPr>
        <w:ind w:left="560" w:hanging="215"/>
      </w:pPr>
      <w:rPr>
        <w:rFonts w:hint="default"/>
        <w:lang w:val="zh-CN" w:eastAsia="zh-CN" w:bidi="zh-CN"/>
      </w:rPr>
    </w:lvl>
    <w:lvl w:ilvl="2">
      <w:start w:val="0"/>
      <w:numFmt w:val="bullet"/>
      <w:lvlText w:val="•"/>
      <w:lvlJc w:val="left"/>
      <w:pPr>
        <w:ind w:left="781" w:hanging="215"/>
      </w:pPr>
      <w:rPr>
        <w:rFonts w:hint="default"/>
        <w:lang w:val="zh-CN" w:eastAsia="zh-CN" w:bidi="zh-CN"/>
      </w:rPr>
    </w:lvl>
    <w:lvl w:ilvl="3">
      <w:start w:val="0"/>
      <w:numFmt w:val="bullet"/>
      <w:lvlText w:val="•"/>
      <w:lvlJc w:val="left"/>
      <w:pPr>
        <w:ind w:left="1001" w:hanging="215"/>
      </w:pPr>
      <w:rPr>
        <w:rFonts w:hint="default"/>
        <w:lang w:val="zh-CN" w:eastAsia="zh-CN" w:bidi="zh-CN"/>
      </w:rPr>
    </w:lvl>
    <w:lvl w:ilvl="4">
      <w:start w:val="0"/>
      <w:numFmt w:val="bullet"/>
      <w:lvlText w:val="•"/>
      <w:lvlJc w:val="left"/>
      <w:pPr>
        <w:ind w:left="1222" w:hanging="215"/>
      </w:pPr>
      <w:rPr>
        <w:rFonts w:hint="default"/>
        <w:lang w:val="zh-CN" w:eastAsia="zh-CN" w:bidi="zh-CN"/>
      </w:rPr>
    </w:lvl>
    <w:lvl w:ilvl="5">
      <w:start w:val="0"/>
      <w:numFmt w:val="bullet"/>
      <w:lvlText w:val="•"/>
      <w:lvlJc w:val="left"/>
      <w:pPr>
        <w:ind w:left="1442" w:hanging="215"/>
      </w:pPr>
      <w:rPr>
        <w:rFonts w:hint="default"/>
        <w:lang w:val="zh-CN" w:eastAsia="zh-CN" w:bidi="zh-CN"/>
      </w:rPr>
    </w:lvl>
    <w:lvl w:ilvl="6">
      <w:start w:val="0"/>
      <w:numFmt w:val="bullet"/>
      <w:lvlText w:val="•"/>
      <w:lvlJc w:val="left"/>
      <w:pPr>
        <w:ind w:left="1663" w:hanging="215"/>
      </w:pPr>
      <w:rPr>
        <w:rFonts w:hint="default"/>
        <w:lang w:val="zh-CN" w:eastAsia="zh-CN" w:bidi="zh-CN"/>
      </w:rPr>
    </w:lvl>
    <w:lvl w:ilvl="7">
      <w:start w:val="0"/>
      <w:numFmt w:val="bullet"/>
      <w:lvlText w:val="•"/>
      <w:lvlJc w:val="left"/>
      <w:pPr>
        <w:ind w:left="1883" w:hanging="215"/>
      </w:pPr>
      <w:rPr>
        <w:rFonts w:hint="default"/>
        <w:lang w:val="zh-CN" w:eastAsia="zh-CN" w:bidi="zh-CN"/>
      </w:rPr>
    </w:lvl>
    <w:lvl w:ilvl="8">
      <w:start w:val="0"/>
      <w:numFmt w:val="bullet"/>
      <w:lvlText w:val="•"/>
      <w:lvlJc w:val="left"/>
      <w:pPr>
        <w:ind w:left="2104" w:hanging="215"/>
      </w:pPr>
      <w:rPr>
        <w:rFonts w:hint="default"/>
        <w:lang w:val="zh-CN" w:eastAsia="zh-CN" w:bidi="zh-CN"/>
      </w:rPr>
    </w:lvl>
  </w:abstractNum>
  <w:abstractNum w:abstractNumId="11">
    <w:nsid w:val="EB1B02D4"/>
    <w:multiLevelType w:val="multilevel"/>
    <w:tmpl w:val="EB1B02D4"/>
    <w:lvl w:ilvl="0">
      <w:start w:val="1"/>
      <w:numFmt w:val="decimal"/>
      <w:lvlText w:val="%1）"/>
      <w:lvlJc w:val="left"/>
      <w:pPr>
        <w:ind w:left="893" w:hanging="36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zh-CN" w:eastAsia="zh-CN" w:bidi="zh-CN"/>
      </w:rPr>
    </w:lvl>
    <w:lvl w:ilvl="1">
      <w:start w:val="0"/>
      <w:numFmt w:val="bullet"/>
      <w:lvlText w:val="•"/>
      <w:lvlJc w:val="left"/>
      <w:pPr>
        <w:ind w:left="1690" w:hanging="361"/>
      </w:pPr>
      <w:rPr>
        <w:rFonts w:hint="default"/>
        <w:lang w:val="zh-CN" w:eastAsia="zh-CN" w:bidi="zh-CN"/>
      </w:rPr>
    </w:lvl>
    <w:lvl w:ilvl="2">
      <w:start w:val="0"/>
      <w:numFmt w:val="bullet"/>
      <w:lvlText w:val="•"/>
      <w:lvlJc w:val="left"/>
      <w:pPr>
        <w:ind w:left="2480" w:hanging="361"/>
      </w:pPr>
      <w:rPr>
        <w:rFonts w:hint="default"/>
        <w:lang w:val="zh-CN" w:eastAsia="zh-CN" w:bidi="zh-CN"/>
      </w:rPr>
    </w:lvl>
    <w:lvl w:ilvl="3">
      <w:start w:val="0"/>
      <w:numFmt w:val="bullet"/>
      <w:lvlText w:val="•"/>
      <w:lvlJc w:val="left"/>
      <w:pPr>
        <w:ind w:left="3270" w:hanging="361"/>
      </w:pPr>
      <w:rPr>
        <w:rFonts w:hint="default"/>
        <w:lang w:val="zh-CN" w:eastAsia="zh-CN" w:bidi="zh-CN"/>
      </w:rPr>
    </w:lvl>
    <w:lvl w:ilvl="4">
      <w:start w:val="0"/>
      <w:numFmt w:val="bullet"/>
      <w:lvlText w:val="•"/>
      <w:lvlJc w:val="left"/>
      <w:pPr>
        <w:ind w:left="4060" w:hanging="361"/>
      </w:pPr>
      <w:rPr>
        <w:rFonts w:hint="default"/>
        <w:lang w:val="zh-CN" w:eastAsia="zh-CN" w:bidi="zh-CN"/>
      </w:rPr>
    </w:lvl>
    <w:lvl w:ilvl="5">
      <w:start w:val="0"/>
      <w:numFmt w:val="bullet"/>
      <w:lvlText w:val="•"/>
      <w:lvlJc w:val="left"/>
      <w:pPr>
        <w:ind w:left="4850" w:hanging="361"/>
      </w:pPr>
      <w:rPr>
        <w:rFonts w:hint="default"/>
        <w:lang w:val="zh-CN" w:eastAsia="zh-CN" w:bidi="zh-CN"/>
      </w:rPr>
    </w:lvl>
    <w:lvl w:ilvl="6">
      <w:start w:val="0"/>
      <w:numFmt w:val="bullet"/>
      <w:lvlText w:val="•"/>
      <w:lvlJc w:val="left"/>
      <w:pPr>
        <w:ind w:left="5640" w:hanging="361"/>
      </w:pPr>
      <w:rPr>
        <w:rFonts w:hint="default"/>
        <w:lang w:val="zh-CN" w:eastAsia="zh-CN" w:bidi="zh-CN"/>
      </w:rPr>
    </w:lvl>
    <w:lvl w:ilvl="7">
      <w:start w:val="0"/>
      <w:numFmt w:val="bullet"/>
      <w:lvlText w:val="•"/>
      <w:lvlJc w:val="left"/>
      <w:pPr>
        <w:ind w:left="6430" w:hanging="361"/>
      </w:pPr>
      <w:rPr>
        <w:rFonts w:hint="default"/>
        <w:lang w:val="zh-CN" w:eastAsia="zh-CN" w:bidi="zh-CN"/>
      </w:rPr>
    </w:lvl>
    <w:lvl w:ilvl="8">
      <w:start w:val="0"/>
      <w:numFmt w:val="bullet"/>
      <w:lvlText w:val="•"/>
      <w:lvlJc w:val="left"/>
      <w:pPr>
        <w:ind w:left="7220" w:hanging="361"/>
      </w:pPr>
      <w:rPr>
        <w:rFonts w:hint="default"/>
        <w:lang w:val="zh-CN" w:eastAsia="zh-CN" w:bidi="zh-CN"/>
      </w:rPr>
    </w:lvl>
  </w:abstractNum>
  <w:abstractNum w:abstractNumId="12">
    <w:nsid w:val="F3B956F0"/>
    <w:multiLevelType w:val="multilevel"/>
    <w:tmpl w:val="F3B956F0"/>
    <w:lvl w:ilvl="0">
      <w:start w:val="0"/>
      <w:numFmt w:val="bullet"/>
      <w:lvlText w:val=""/>
      <w:lvlJc w:val="left"/>
      <w:pPr>
        <w:ind w:left="335" w:hanging="215"/>
      </w:pPr>
      <w:rPr>
        <w:rFonts w:ascii="Wingdings" w:eastAsia="Wingdings" w:hAnsi="Wingdings" w:cs="Wingdings" w:hint="default"/>
        <w:spacing w:val="-3"/>
        <w:w w:val="100"/>
        <w:sz w:val="22"/>
        <w:szCs w:val="22"/>
        <w:lang w:val="zh-CN" w:eastAsia="zh-CN" w:bidi="zh-CN"/>
      </w:rPr>
    </w:lvl>
    <w:lvl w:ilvl="1">
      <w:start w:val="0"/>
      <w:numFmt w:val="bullet"/>
      <w:lvlText w:val="•"/>
      <w:lvlJc w:val="left"/>
      <w:pPr>
        <w:ind w:left="560" w:hanging="215"/>
      </w:pPr>
      <w:rPr>
        <w:rFonts w:hint="default"/>
        <w:lang w:val="zh-CN" w:eastAsia="zh-CN" w:bidi="zh-CN"/>
      </w:rPr>
    </w:lvl>
    <w:lvl w:ilvl="2">
      <w:start w:val="0"/>
      <w:numFmt w:val="bullet"/>
      <w:lvlText w:val="•"/>
      <w:lvlJc w:val="left"/>
      <w:pPr>
        <w:ind w:left="781" w:hanging="215"/>
      </w:pPr>
      <w:rPr>
        <w:rFonts w:hint="default"/>
        <w:lang w:val="zh-CN" w:eastAsia="zh-CN" w:bidi="zh-CN"/>
      </w:rPr>
    </w:lvl>
    <w:lvl w:ilvl="3">
      <w:start w:val="0"/>
      <w:numFmt w:val="bullet"/>
      <w:lvlText w:val="•"/>
      <w:lvlJc w:val="left"/>
      <w:pPr>
        <w:ind w:left="1001" w:hanging="215"/>
      </w:pPr>
      <w:rPr>
        <w:rFonts w:hint="default"/>
        <w:lang w:val="zh-CN" w:eastAsia="zh-CN" w:bidi="zh-CN"/>
      </w:rPr>
    </w:lvl>
    <w:lvl w:ilvl="4">
      <w:start w:val="0"/>
      <w:numFmt w:val="bullet"/>
      <w:lvlText w:val="•"/>
      <w:lvlJc w:val="left"/>
      <w:pPr>
        <w:ind w:left="1222" w:hanging="215"/>
      </w:pPr>
      <w:rPr>
        <w:rFonts w:hint="default"/>
        <w:lang w:val="zh-CN" w:eastAsia="zh-CN" w:bidi="zh-CN"/>
      </w:rPr>
    </w:lvl>
    <w:lvl w:ilvl="5">
      <w:start w:val="0"/>
      <w:numFmt w:val="bullet"/>
      <w:lvlText w:val="•"/>
      <w:lvlJc w:val="left"/>
      <w:pPr>
        <w:ind w:left="1442" w:hanging="215"/>
      </w:pPr>
      <w:rPr>
        <w:rFonts w:hint="default"/>
        <w:lang w:val="zh-CN" w:eastAsia="zh-CN" w:bidi="zh-CN"/>
      </w:rPr>
    </w:lvl>
    <w:lvl w:ilvl="6">
      <w:start w:val="0"/>
      <w:numFmt w:val="bullet"/>
      <w:lvlText w:val="•"/>
      <w:lvlJc w:val="left"/>
      <w:pPr>
        <w:ind w:left="1663" w:hanging="215"/>
      </w:pPr>
      <w:rPr>
        <w:rFonts w:hint="default"/>
        <w:lang w:val="zh-CN" w:eastAsia="zh-CN" w:bidi="zh-CN"/>
      </w:rPr>
    </w:lvl>
    <w:lvl w:ilvl="7">
      <w:start w:val="0"/>
      <w:numFmt w:val="bullet"/>
      <w:lvlText w:val="•"/>
      <w:lvlJc w:val="left"/>
      <w:pPr>
        <w:ind w:left="1883" w:hanging="215"/>
      </w:pPr>
      <w:rPr>
        <w:rFonts w:hint="default"/>
        <w:lang w:val="zh-CN" w:eastAsia="zh-CN" w:bidi="zh-CN"/>
      </w:rPr>
    </w:lvl>
    <w:lvl w:ilvl="8">
      <w:start w:val="0"/>
      <w:numFmt w:val="bullet"/>
      <w:lvlText w:val="•"/>
      <w:lvlJc w:val="left"/>
      <w:pPr>
        <w:ind w:left="2104" w:hanging="215"/>
      </w:pPr>
      <w:rPr>
        <w:rFonts w:hint="default"/>
        <w:lang w:val="zh-CN" w:eastAsia="zh-CN" w:bidi="zh-CN"/>
      </w:rPr>
    </w:lvl>
  </w:abstractNum>
  <w:abstractNum w:abstractNumId="13">
    <w:nsid w:val="0A97485F"/>
    <w:multiLevelType w:val="multilevel"/>
    <w:tmpl w:val="0A97485F"/>
    <w:lvl w:ilvl="0">
      <w:start w:val="1"/>
      <w:numFmt w:val="decimal"/>
      <w:lvlText w:val="（%1）"/>
      <w:lvlJc w:val="left"/>
      <w:pPr>
        <w:ind w:left="1023" w:hanging="577"/>
        <w:jc w:val="left"/>
      </w:pPr>
      <w:rPr>
        <w:rFonts w:ascii="宋体" w:eastAsia="宋体" w:hAnsi="宋体" w:cs="宋体" w:hint="default"/>
        <w:spacing w:val="-12"/>
        <w:w w:val="100"/>
        <w:sz w:val="22"/>
        <w:szCs w:val="22"/>
        <w:lang w:val="zh-CN" w:eastAsia="zh-CN" w:bidi="zh-CN"/>
      </w:rPr>
    </w:lvl>
    <w:lvl w:ilvl="1">
      <w:start w:val="0"/>
      <w:numFmt w:val="bullet"/>
      <w:lvlText w:val="•"/>
      <w:lvlJc w:val="left"/>
      <w:pPr>
        <w:ind w:left="1798" w:hanging="577"/>
      </w:pPr>
      <w:rPr>
        <w:rFonts w:hint="default"/>
        <w:lang w:val="zh-CN" w:eastAsia="zh-CN" w:bidi="zh-CN"/>
      </w:rPr>
    </w:lvl>
    <w:lvl w:ilvl="2">
      <w:start w:val="0"/>
      <w:numFmt w:val="bullet"/>
      <w:lvlText w:val="•"/>
      <w:lvlJc w:val="left"/>
      <w:pPr>
        <w:ind w:left="2576" w:hanging="577"/>
      </w:pPr>
      <w:rPr>
        <w:rFonts w:hint="default"/>
        <w:lang w:val="zh-CN" w:eastAsia="zh-CN" w:bidi="zh-CN"/>
      </w:rPr>
    </w:lvl>
    <w:lvl w:ilvl="3">
      <w:start w:val="0"/>
      <w:numFmt w:val="bullet"/>
      <w:lvlText w:val="•"/>
      <w:lvlJc w:val="left"/>
      <w:pPr>
        <w:ind w:left="3354" w:hanging="577"/>
      </w:pPr>
      <w:rPr>
        <w:rFonts w:hint="default"/>
        <w:lang w:val="zh-CN" w:eastAsia="zh-CN" w:bidi="zh-CN"/>
      </w:rPr>
    </w:lvl>
    <w:lvl w:ilvl="4">
      <w:start w:val="0"/>
      <w:numFmt w:val="bullet"/>
      <w:lvlText w:val="•"/>
      <w:lvlJc w:val="left"/>
      <w:pPr>
        <w:ind w:left="4132" w:hanging="577"/>
      </w:pPr>
      <w:rPr>
        <w:rFonts w:hint="default"/>
        <w:lang w:val="zh-CN" w:eastAsia="zh-CN" w:bidi="zh-CN"/>
      </w:rPr>
    </w:lvl>
    <w:lvl w:ilvl="5">
      <w:start w:val="0"/>
      <w:numFmt w:val="bullet"/>
      <w:lvlText w:val="•"/>
      <w:lvlJc w:val="left"/>
      <w:pPr>
        <w:ind w:left="4910" w:hanging="577"/>
      </w:pPr>
      <w:rPr>
        <w:rFonts w:hint="default"/>
        <w:lang w:val="zh-CN" w:eastAsia="zh-CN" w:bidi="zh-CN"/>
      </w:rPr>
    </w:lvl>
    <w:lvl w:ilvl="6">
      <w:start w:val="0"/>
      <w:numFmt w:val="bullet"/>
      <w:lvlText w:val="•"/>
      <w:lvlJc w:val="left"/>
      <w:pPr>
        <w:ind w:left="5688" w:hanging="577"/>
      </w:pPr>
      <w:rPr>
        <w:rFonts w:hint="default"/>
        <w:lang w:val="zh-CN" w:eastAsia="zh-CN" w:bidi="zh-CN"/>
      </w:rPr>
    </w:lvl>
    <w:lvl w:ilvl="7">
      <w:start w:val="0"/>
      <w:numFmt w:val="bullet"/>
      <w:lvlText w:val="•"/>
      <w:lvlJc w:val="left"/>
      <w:pPr>
        <w:ind w:left="6466" w:hanging="577"/>
      </w:pPr>
      <w:rPr>
        <w:rFonts w:hint="default"/>
        <w:lang w:val="zh-CN" w:eastAsia="zh-CN" w:bidi="zh-CN"/>
      </w:rPr>
    </w:lvl>
    <w:lvl w:ilvl="8">
      <w:start w:val="0"/>
      <w:numFmt w:val="bullet"/>
      <w:lvlText w:val="•"/>
      <w:lvlJc w:val="left"/>
      <w:pPr>
        <w:ind w:left="7244" w:hanging="577"/>
      </w:pPr>
      <w:rPr>
        <w:rFonts w:hint="default"/>
        <w:lang w:val="zh-CN" w:eastAsia="zh-CN" w:bidi="zh-CN"/>
      </w:rPr>
    </w:lvl>
  </w:abstractNum>
  <w:abstractNum w:abstractNumId="14">
    <w:nsid w:val="0FB7FDF6"/>
    <w:multiLevelType w:val="multilevel"/>
    <w:tmpl w:val="0FB7FDF6"/>
    <w:lvl w:ilvl="0">
      <w:start w:val="3"/>
      <w:numFmt w:val="decimal"/>
      <w:lvlText w:val="（%1）"/>
      <w:lvlJc w:val="left"/>
      <w:pPr>
        <w:ind w:left="1822" w:hanging="601"/>
        <w:jc w:val="left"/>
      </w:pPr>
      <w:rPr>
        <w:rFonts w:ascii="宋体" w:eastAsia="宋体" w:hAnsi="宋体" w:cs="宋体" w:hint="default"/>
        <w:spacing w:val="-2"/>
        <w:w w:val="100"/>
        <w:position w:val="2"/>
        <w:sz w:val="22"/>
        <w:szCs w:val="22"/>
        <w:lang w:val="zh-CN" w:eastAsia="zh-CN" w:bidi="zh-CN"/>
      </w:rPr>
    </w:lvl>
    <w:lvl w:ilvl="1">
      <w:start w:val="0"/>
      <w:numFmt w:val="bullet"/>
      <w:lvlText w:val="•"/>
      <w:lvlJc w:val="left"/>
      <w:pPr>
        <w:ind w:left="2601" w:hanging="601"/>
      </w:pPr>
      <w:rPr>
        <w:rFonts w:hint="default"/>
        <w:lang w:val="zh-CN" w:eastAsia="zh-CN" w:bidi="zh-CN"/>
      </w:rPr>
    </w:lvl>
    <w:lvl w:ilvl="2">
      <w:start w:val="0"/>
      <w:numFmt w:val="bullet"/>
      <w:lvlText w:val="•"/>
      <w:lvlJc w:val="left"/>
      <w:pPr>
        <w:ind w:left="3382" w:hanging="601"/>
      </w:pPr>
      <w:rPr>
        <w:rFonts w:hint="default"/>
        <w:lang w:val="zh-CN" w:eastAsia="zh-CN" w:bidi="zh-CN"/>
      </w:rPr>
    </w:lvl>
    <w:lvl w:ilvl="3">
      <w:start w:val="0"/>
      <w:numFmt w:val="bullet"/>
      <w:lvlText w:val="•"/>
      <w:lvlJc w:val="left"/>
      <w:pPr>
        <w:ind w:left="4163" w:hanging="601"/>
      </w:pPr>
      <w:rPr>
        <w:rFonts w:hint="default"/>
        <w:lang w:val="zh-CN" w:eastAsia="zh-CN" w:bidi="zh-CN"/>
      </w:rPr>
    </w:lvl>
    <w:lvl w:ilvl="4">
      <w:start w:val="0"/>
      <w:numFmt w:val="bullet"/>
      <w:lvlText w:val="•"/>
      <w:lvlJc w:val="left"/>
      <w:pPr>
        <w:ind w:left="4944" w:hanging="601"/>
      </w:pPr>
      <w:rPr>
        <w:rFonts w:hint="default"/>
        <w:lang w:val="zh-CN" w:eastAsia="zh-CN" w:bidi="zh-CN"/>
      </w:rPr>
    </w:lvl>
    <w:lvl w:ilvl="5">
      <w:start w:val="0"/>
      <w:numFmt w:val="bullet"/>
      <w:lvlText w:val="•"/>
      <w:lvlJc w:val="left"/>
      <w:pPr>
        <w:ind w:left="5725" w:hanging="601"/>
      </w:pPr>
      <w:rPr>
        <w:rFonts w:hint="default"/>
        <w:lang w:val="zh-CN" w:eastAsia="zh-CN" w:bidi="zh-CN"/>
      </w:rPr>
    </w:lvl>
    <w:lvl w:ilvl="6">
      <w:start w:val="0"/>
      <w:numFmt w:val="bullet"/>
      <w:lvlText w:val="•"/>
      <w:lvlJc w:val="left"/>
      <w:pPr>
        <w:ind w:left="6506" w:hanging="601"/>
      </w:pPr>
      <w:rPr>
        <w:rFonts w:hint="default"/>
        <w:lang w:val="zh-CN" w:eastAsia="zh-CN" w:bidi="zh-CN"/>
      </w:rPr>
    </w:lvl>
    <w:lvl w:ilvl="7">
      <w:start w:val="0"/>
      <w:numFmt w:val="bullet"/>
      <w:lvlText w:val="•"/>
      <w:lvlJc w:val="left"/>
      <w:pPr>
        <w:ind w:left="7287" w:hanging="601"/>
      </w:pPr>
      <w:rPr>
        <w:rFonts w:hint="default"/>
        <w:lang w:val="zh-CN" w:eastAsia="zh-CN" w:bidi="zh-CN"/>
      </w:rPr>
    </w:lvl>
    <w:lvl w:ilvl="8">
      <w:start w:val="0"/>
      <w:numFmt w:val="bullet"/>
      <w:lvlText w:val="•"/>
      <w:lvlJc w:val="left"/>
      <w:pPr>
        <w:ind w:left="8068" w:hanging="601"/>
      </w:pPr>
      <w:rPr>
        <w:rFonts w:hint="default"/>
        <w:lang w:val="zh-CN" w:eastAsia="zh-CN" w:bidi="zh-CN"/>
      </w:rPr>
    </w:lvl>
  </w:abstractNum>
  <w:abstractNum w:abstractNumId="15">
    <w:nsid w:val="2ED48100"/>
    <w:multiLevelType w:val="multilevel"/>
    <w:tmpl w:val="2ED48100"/>
    <w:lvl w:ilvl="0">
      <w:start w:val="3"/>
      <w:numFmt w:val="decimal"/>
      <w:lvlText w:val="（%1）"/>
      <w:lvlJc w:val="left"/>
      <w:pPr>
        <w:ind w:left="1023" w:hanging="577"/>
        <w:jc w:val="left"/>
      </w:pPr>
      <w:rPr>
        <w:rFonts w:ascii="宋体" w:eastAsia="宋体" w:hAnsi="宋体" w:cs="宋体" w:hint="default"/>
        <w:spacing w:val="-12"/>
        <w:w w:val="100"/>
        <w:sz w:val="22"/>
        <w:szCs w:val="22"/>
        <w:lang w:val="zh-CN" w:eastAsia="zh-CN" w:bidi="zh-CN"/>
      </w:rPr>
    </w:lvl>
    <w:lvl w:ilvl="1">
      <w:start w:val="0"/>
      <w:numFmt w:val="bullet"/>
      <w:lvlText w:val="•"/>
      <w:lvlJc w:val="left"/>
      <w:pPr>
        <w:ind w:left="1798" w:hanging="577"/>
      </w:pPr>
      <w:rPr>
        <w:rFonts w:hint="default"/>
        <w:lang w:val="zh-CN" w:eastAsia="zh-CN" w:bidi="zh-CN"/>
      </w:rPr>
    </w:lvl>
    <w:lvl w:ilvl="2">
      <w:start w:val="0"/>
      <w:numFmt w:val="bullet"/>
      <w:lvlText w:val="•"/>
      <w:lvlJc w:val="left"/>
      <w:pPr>
        <w:ind w:left="2576" w:hanging="577"/>
      </w:pPr>
      <w:rPr>
        <w:rFonts w:hint="default"/>
        <w:lang w:val="zh-CN" w:eastAsia="zh-CN" w:bidi="zh-CN"/>
      </w:rPr>
    </w:lvl>
    <w:lvl w:ilvl="3">
      <w:start w:val="0"/>
      <w:numFmt w:val="bullet"/>
      <w:lvlText w:val="•"/>
      <w:lvlJc w:val="left"/>
      <w:pPr>
        <w:ind w:left="3354" w:hanging="577"/>
      </w:pPr>
      <w:rPr>
        <w:rFonts w:hint="default"/>
        <w:lang w:val="zh-CN" w:eastAsia="zh-CN" w:bidi="zh-CN"/>
      </w:rPr>
    </w:lvl>
    <w:lvl w:ilvl="4">
      <w:start w:val="0"/>
      <w:numFmt w:val="bullet"/>
      <w:lvlText w:val="•"/>
      <w:lvlJc w:val="left"/>
      <w:pPr>
        <w:ind w:left="4132" w:hanging="577"/>
      </w:pPr>
      <w:rPr>
        <w:rFonts w:hint="default"/>
        <w:lang w:val="zh-CN" w:eastAsia="zh-CN" w:bidi="zh-CN"/>
      </w:rPr>
    </w:lvl>
    <w:lvl w:ilvl="5">
      <w:start w:val="0"/>
      <w:numFmt w:val="bullet"/>
      <w:lvlText w:val="•"/>
      <w:lvlJc w:val="left"/>
      <w:pPr>
        <w:ind w:left="4910" w:hanging="577"/>
      </w:pPr>
      <w:rPr>
        <w:rFonts w:hint="default"/>
        <w:lang w:val="zh-CN" w:eastAsia="zh-CN" w:bidi="zh-CN"/>
      </w:rPr>
    </w:lvl>
    <w:lvl w:ilvl="6">
      <w:start w:val="0"/>
      <w:numFmt w:val="bullet"/>
      <w:lvlText w:val="•"/>
      <w:lvlJc w:val="left"/>
      <w:pPr>
        <w:ind w:left="5688" w:hanging="577"/>
      </w:pPr>
      <w:rPr>
        <w:rFonts w:hint="default"/>
        <w:lang w:val="zh-CN" w:eastAsia="zh-CN" w:bidi="zh-CN"/>
      </w:rPr>
    </w:lvl>
    <w:lvl w:ilvl="7">
      <w:start w:val="0"/>
      <w:numFmt w:val="bullet"/>
      <w:lvlText w:val="•"/>
      <w:lvlJc w:val="left"/>
      <w:pPr>
        <w:ind w:left="6466" w:hanging="577"/>
      </w:pPr>
      <w:rPr>
        <w:rFonts w:hint="default"/>
        <w:lang w:val="zh-CN" w:eastAsia="zh-CN" w:bidi="zh-CN"/>
      </w:rPr>
    </w:lvl>
    <w:lvl w:ilvl="8">
      <w:start w:val="0"/>
      <w:numFmt w:val="bullet"/>
      <w:lvlText w:val="•"/>
      <w:lvlJc w:val="left"/>
      <w:pPr>
        <w:ind w:left="7244" w:hanging="577"/>
      </w:pPr>
      <w:rPr>
        <w:rFonts w:hint="default"/>
        <w:lang w:val="zh-CN" w:eastAsia="zh-CN" w:bidi="zh-CN"/>
      </w:rPr>
    </w:lvl>
  </w:abstractNum>
  <w:abstractNum w:abstractNumId="16">
    <w:nsid w:val="38BD5B66"/>
    <w:multiLevelType w:val="multilevel"/>
    <w:tmpl w:val="38BD5B66"/>
    <w:lvl w:ilvl="0">
      <w:start w:val="1"/>
      <w:numFmt w:val="decimal"/>
      <w:lvlText w:val="（%1）"/>
      <w:lvlJc w:val="left"/>
      <w:pPr>
        <w:ind w:left="1822" w:hanging="601"/>
        <w:jc w:val="left"/>
      </w:pPr>
      <w:rPr>
        <w:rFonts w:ascii="宋体" w:eastAsia="宋体" w:hAnsi="宋体" w:cs="宋体" w:hint="default"/>
        <w:w w:val="100"/>
        <w:sz w:val="22"/>
        <w:szCs w:val="22"/>
        <w:lang w:val="zh-CN" w:eastAsia="zh-CN" w:bidi="zh-CN"/>
      </w:rPr>
    </w:lvl>
    <w:lvl w:ilvl="1">
      <w:start w:val="0"/>
      <w:numFmt w:val="bullet"/>
      <w:lvlText w:val="•"/>
      <w:lvlJc w:val="left"/>
      <w:pPr>
        <w:ind w:left="2601" w:hanging="601"/>
      </w:pPr>
      <w:rPr>
        <w:rFonts w:hint="default"/>
        <w:lang w:val="zh-CN" w:eastAsia="zh-CN" w:bidi="zh-CN"/>
      </w:rPr>
    </w:lvl>
    <w:lvl w:ilvl="2">
      <w:start w:val="0"/>
      <w:numFmt w:val="bullet"/>
      <w:lvlText w:val="•"/>
      <w:lvlJc w:val="left"/>
      <w:pPr>
        <w:ind w:left="3382" w:hanging="601"/>
      </w:pPr>
      <w:rPr>
        <w:rFonts w:hint="default"/>
        <w:lang w:val="zh-CN" w:eastAsia="zh-CN" w:bidi="zh-CN"/>
      </w:rPr>
    </w:lvl>
    <w:lvl w:ilvl="3">
      <w:start w:val="0"/>
      <w:numFmt w:val="bullet"/>
      <w:lvlText w:val="•"/>
      <w:lvlJc w:val="left"/>
      <w:pPr>
        <w:ind w:left="4163" w:hanging="601"/>
      </w:pPr>
      <w:rPr>
        <w:rFonts w:hint="default"/>
        <w:lang w:val="zh-CN" w:eastAsia="zh-CN" w:bidi="zh-CN"/>
      </w:rPr>
    </w:lvl>
    <w:lvl w:ilvl="4">
      <w:start w:val="0"/>
      <w:numFmt w:val="bullet"/>
      <w:lvlText w:val="•"/>
      <w:lvlJc w:val="left"/>
      <w:pPr>
        <w:ind w:left="4944" w:hanging="601"/>
      </w:pPr>
      <w:rPr>
        <w:rFonts w:hint="default"/>
        <w:lang w:val="zh-CN" w:eastAsia="zh-CN" w:bidi="zh-CN"/>
      </w:rPr>
    </w:lvl>
    <w:lvl w:ilvl="5">
      <w:start w:val="0"/>
      <w:numFmt w:val="bullet"/>
      <w:lvlText w:val="•"/>
      <w:lvlJc w:val="left"/>
      <w:pPr>
        <w:ind w:left="5725" w:hanging="601"/>
      </w:pPr>
      <w:rPr>
        <w:rFonts w:hint="default"/>
        <w:lang w:val="zh-CN" w:eastAsia="zh-CN" w:bidi="zh-CN"/>
      </w:rPr>
    </w:lvl>
    <w:lvl w:ilvl="6">
      <w:start w:val="0"/>
      <w:numFmt w:val="bullet"/>
      <w:lvlText w:val="•"/>
      <w:lvlJc w:val="left"/>
      <w:pPr>
        <w:ind w:left="6506" w:hanging="601"/>
      </w:pPr>
      <w:rPr>
        <w:rFonts w:hint="default"/>
        <w:lang w:val="zh-CN" w:eastAsia="zh-CN" w:bidi="zh-CN"/>
      </w:rPr>
    </w:lvl>
    <w:lvl w:ilvl="7">
      <w:start w:val="0"/>
      <w:numFmt w:val="bullet"/>
      <w:lvlText w:val="•"/>
      <w:lvlJc w:val="left"/>
      <w:pPr>
        <w:ind w:left="7287" w:hanging="601"/>
      </w:pPr>
      <w:rPr>
        <w:rFonts w:hint="default"/>
        <w:lang w:val="zh-CN" w:eastAsia="zh-CN" w:bidi="zh-CN"/>
      </w:rPr>
    </w:lvl>
    <w:lvl w:ilvl="8">
      <w:start w:val="0"/>
      <w:numFmt w:val="bullet"/>
      <w:lvlText w:val="•"/>
      <w:lvlJc w:val="left"/>
      <w:pPr>
        <w:ind w:left="8068" w:hanging="601"/>
      </w:pPr>
      <w:rPr>
        <w:rFonts w:hint="default"/>
        <w:lang w:val="zh-CN" w:eastAsia="zh-CN" w:bidi="zh-CN"/>
      </w:rPr>
    </w:lvl>
  </w:abstractNum>
  <w:abstractNum w:abstractNumId="17">
    <w:nsid w:val="5CFE3973"/>
    <w:multiLevelType w:val="multilevel"/>
    <w:tmpl w:val="5CFE3973"/>
    <w:lvl w:ilvl="0">
      <w:start w:val="1"/>
      <w:numFmt w:val="decimal"/>
      <w:lvlText w:val="%1）"/>
      <w:lvlJc w:val="left"/>
      <w:pPr>
        <w:ind w:left="894" w:hanging="36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zh-CN" w:eastAsia="zh-CN" w:bidi="zh-CN"/>
      </w:rPr>
    </w:lvl>
    <w:lvl w:ilvl="1">
      <w:start w:val="0"/>
      <w:numFmt w:val="bullet"/>
      <w:lvlText w:val="•"/>
      <w:lvlJc w:val="left"/>
      <w:pPr>
        <w:ind w:left="1633" w:hanging="361"/>
      </w:pPr>
      <w:rPr>
        <w:rFonts w:hint="default"/>
        <w:lang w:val="zh-CN" w:eastAsia="zh-CN" w:bidi="zh-CN"/>
      </w:rPr>
    </w:lvl>
    <w:lvl w:ilvl="2">
      <w:start w:val="0"/>
      <w:numFmt w:val="bullet"/>
      <w:lvlText w:val="•"/>
      <w:lvlJc w:val="left"/>
      <w:pPr>
        <w:ind w:left="2367" w:hanging="361"/>
      </w:pPr>
      <w:rPr>
        <w:rFonts w:hint="default"/>
        <w:lang w:val="zh-CN" w:eastAsia="zh-CN" w:bidi="zh-CN"/>
      </w:rPr>
    </w:lvl>
    <w:lvl w:ilvl="3">
      <w:start w:val="0"/>
      <w:numFmt w:val="bullet"/>
      <w:lvlText w:val="•"/>
      <w:lvlJc w:val="left"/>
      <w:pPr>
        <w:ind w:left="3101" w:hanging="361"/>
      </w:pPr>
      <w:rPr>
        <w:rFonts w:hint="default"/>
        <w:lang w:val="zh-CN" w:eastAsia="zh-CN" w:bidi="zh-CN"/>
      </w:rPr>
    </w:lvl>
    <w:lvl w:ilvl="4">
      <w:start w:val="0"/>
      <w:numFmt w:val="bullet"/>
      <w:lvlText w:val="•"/>
      <w:lvlJc w:val="left"/>
      <w:pPr>
        <w:ind w:left="3834" w:hanging="361"/>
      </w:pPr>
      <w:rPr>
        <w:rFonts w:hint="default"/>
        <w:lang w:val="zh-CN" w:eastAsia="zh-CN" w:bidi="zh-CN"/>
      </w:rPr>
    </w:lvl>
    <w:lvl w:ilvl="5">
      <w:start w:val="0"/>
      <w:numFmt w:val="bullet"/>
      <w:lvlText w:val="•"/>
      <w:lvlJc w:val="left"/>
      <w:pPr>
        <w:ind w:left="4568" w:hanging="361"/>
      </w:pPr>
      <w:rPr>
        <w:rFonts w:hint="default"/>
        <w:lang w:val="zh-CN" w:eastAsia="zh-CN" w:bidi="zh-CN"/>
      </w:rPr>
    </w:lvl>
    <w:lvl w:ilvl="6">
      <w:start w:val="0"/>
      <w:numFmt w:val="bullet"/>
      <w:lvlText w:val="•"/>
      <w:lvlJc w:val="left"/>
      <w:pPr>
        <w:ind w:left="5302" w:hanging="361"/>
      </w:pPr>
      <w:rPr>
        <w:rFonts w:hint="default"/>
        <w:lang w:val="zh-CN" w:eastAsia="zh-CN" w:bidi="zh-CN"/>
      </w:rPr>
    </w:lvl>
    <w:lvl w:ilvl="7">
      <w:start w:val="0"/>
      <w:numFmt w:val="bullet"/>
      <w:lvlText w:val="•"/>
      <w:lvlJc w:val="left"/>
      <w:pPr>
        <w:ind w:left="6035" w:hanging="361"/>
      </w:pPr>
      <w:rPr>
        <w:rFonts w:hint="default"/>
        <w:lang w:val="zh-CN" w:eastAsia="zh-CN" w:bidi="zh-CN"/>
      </w:rPr>
    </w:lvl>
    <w:lvl w:ilvl="8">
      <w:start w:val="0"/>
      <w:numFmt w:val="bullet"/>
      <w:lvlText w:val="•"/>
      <w:lvlJc w:val="left"/>
      <w:pPr>
        <w:ind w:left="6769" w:hanging="361"/>
      </w:pPr>
      <w:rPr>
        <w:rFonts w:hint="default"/>
        <w:lang w:val="zh-CN" w:eastAsia="zh-CN" w:bidi="zh-CN"/>
      </w:rPr>
    </w:lvl>
  </w:abstractNum>
  <w:abstractNum w:abstractNumId="18">
    <w:nsid w:val="603A41D5"/>
    <w:multiLevelType w:val="multilevel"/>
    <w:tmpl w:val="603A41D5"/>
    <w:lvl w:ilvl="0">
      <w:start w:val="1"/>
      <w:numFmt w:val="decimal"/>
      <w:lvlText w:val="（%1）"/>
      <w:lvlJc w:val="left"/>
      <w:pPr>
        <w:ind w:left="1867" w:hanging="603"/>
        <w:jc w:val="left"/>
      </w:pPr>
      <w:rPr>
        <w:rFonts w:ascii="宋体" w:eastAsia="宋体" w:hAnsi="宋体" w:cs="宋体" w:hint="default"/>
        <w:b/>
        <w:bCs/>
        <w:w w:val="99"/>
        <w:sz w:val="22"/>
        <w:szCs w:val="22"/>
        <w:lang w:val="zh-CN" w:eastAsia="zh-CN" w:bidi="zh-CN"/>
      </w:rPr>
    </w:lvl>
    <w:lvl w:ilvl="1">
      <w:start w:val="0"/>
      <w:numFmt w:val="bullet"/>
      <w:lvlText w:val="•"/>
      <w:lvlJc w:val="left"/>
      <w:pPr>
        <w:ind w:left="2637" w:hanging="603"/>
      </w:pPr>
      <w:rPr>
        <w:rFonts w:hint="default"/>
        <w:lang w:val="zh-CN" w:eastAsia="zh-CN" w:bidi="zh-CN"/>
      </w:rPr>
    </w:lvl>
    <w:lvl w:ilvl="2">
      <w:start w:val="0"/>
      <w:numFmt w:val="bullet"/>
      <w:lvlText w:val="•"/>
      <w:lvlJc w:val="left"/>
      <w:pPr>
        <w:ind w:left="3414" w:hanging="603"/>
      </w:pPr>
      <w:rPr>
        <w:rFonts w:hint="default"/>
        <w:lang w:val="zh-CN" w:eastAsia="zh-CN" w:bidi="zh-CN"/>
      </w:rPr>
    </w:lvl>
    <w:lvl w:ilvl="3">
      <w:start w:val="0"/>
      <w:numFmt w:val="bullet"/>
      <w:lvlText w:val="•"/>
      <w:lvlJc w:val="left"/>
      <w:pPr>
        <w:ind w:left="4191" w:hanging="603"/>
      </w:pPr>
      <w:rPr>
        <w:rFonts w:hint="default"/>
        <w:lang w:val="zh-CN" w:eastAsia="zh-CN" w:bidi="zh-CN"/>
      </w:rPr>
    </w:lvl>
    <w:lvl w:ilvl="4">
      <w:start w:val="0"/>
      <w:numFmt w:val="bullet"/>
      <w:lvlText w:val="•"/>
      <w:lvlJc w:val="left"/>
      <w:pPr>
        <w:ind w:left="4968" w:hanging="603"/>
      </w:pPr>
      <w:rPr>
        <w:rFonts w:hint="default"/>
        <w:lang w:val="zh-CN" w:eastAsia="zh-CN" w:bidi="zh-CN"/>
      </w:rPr>
    </w:lvl>
    <w:lvl w:ilvl="5">
      <w:start w:val="0"/>
      <w:numFmt w:val="bullet"/>
      <w:lvlText w:val="•"/>
      <w:lvlJc w:val="left"/>
      <w:pPr>
        <w:ind w:left="5745" w:hanging="603"/>
      </w:pPr>
      <w:rPr>
        <w:rFonts w:hint="default"/>
        <w:lang w:val="zh-CN" w:eastAsia="zh-CN" w:bidi="zh-CN"/>
      </w:rPr>
    </w:lvl>
    <w:lvl w:ilvl="6">
      <w:start w:val="0"/>
      <w:numFmt w:val="bullet"/>
      <w:lvlText w:val="•"/>
      <w:lvlJc w:val="left"/>
      <w:pPr>
        <w:ind w:left="6522" w:hanging="603"/>
      </w:pPr>
      <w:rPr>
        <w:rFonts w:hint="default"/>
        <w:lang w:val="zh-CN" w:eastAsia="zh-CN" w:bidi="zh-CN"/>
      </w:rPr>
    </w:lvl>
    <w:lvl w:ilvl="7">
      <w:start w:val="0"/>
      <w:numFmt w:val="bullet"/>
      <w:lvlText w:val="•"/>
      <w:lvlJc w:val="left"/>
      <w:pPr>
        <w:ind w:left="7299" w:hanging="603"/>
      </w:pPr>
      <w:rPr>
        <w:rFonts w:hint="default"/>
        <w:lang w:val="zh-CN" w:eastAsia="zh-CN" w:bidi="zh-CN"/>
      </w:rPr>
    </w:lvl>
    <w:lvl w:ilvl="8">
      <w:start w:val="0"/>
      <w:numFmt w:val="bullet"/>
      <w:lvlText w:val="•"/>
      <w:lvlJc w:val="left"/>
      <w:pPr>
        <w:ind w:left="8076" w:hanging="603"/>
      </w:pPr>
      <w:rPr>
        <w:rFonts w:hint="default"/>
        <w:lang w:val="zh-CN" w:eastAsia="zh-CN" w:bidi="zh-CN"/>
      </w:rPr>
    </w:lvl>
  </w:abstractNum>
  <w:abstractNum w:abstractNumId="19">
    <w:nsid w:val="6F600250"/>
    <w:multiLevelType w:val="multilevel"/>
    <w:tmpl w:val="6F600250"/>
    <w:lvl w:ilvl="0">
      <w:start w:val="1"/>
      <w:numFmt w:val="decimal"/>
      <w:lvlText w:val="（%1）"/>
      <w:lvlJc w:val="left"/>
      <w:pPr>
        <w:ind w:left="784" w:hanging="632"/>
        <w:jc w:val="left"/>
      </w:pPr>
      <w:rPr>
        <w:rFonts w:ascii="宋体" w:eastAsia="宋体" w:hAnsi="宋体" w:cs="宋体" w:hint="default"/>
        <w:spacing w:val="9"/>
        <w:w w:val="100"/>
        <w:sz w:val="22"/>
        <w:szCs w:val="22"/>
        <w:lang w:val="zh-CN" w:eastAsia="zh-CN" w:bidi="zh-CN"/>
      </w:rPr>
    </w:lvl>
    <w:lvl w:ilvl="1">
      <w:start w:val="0"/>
      <w:numFmt w:val="bullet"/>
      <w:lvlText w:val="•"/>
      <w:lvlJc w:val="left"/>
      <w:pPr>
        <w:ind w:left="1665" w:hanging="632"/>
      </w:pPr>
      <w:rPr>
        <w:rFonts w:hint="default"/>
        <w:lang w:val="zh-CN" w:eastAsia="zh-CN" w:bidi="zh-CN"/>
      </w:rPr>
    </w:lvl>
    <w:lvl w:ilvl="2">
      <w:start w:val="0"/>
      <w:numFmt w:val="bullet"/>
      <w:lvlText w:val="•"/>
      <w:lvlJc w:val="left"/>
      <w:pPr>
        <w:ind w:left="2550" w:hanging="632"/>
      </w:pPr>
      <w:rPr>
        <w:rFonts w:hint="default"/>
        <w:lang w:val="zh-CN" w:eastAsia="zh-CN" w:bidi="zh-CN"/>
      </w:rPr>
    </w:lvl>
    <w:lvl w:ilvl="3">
      <w:start w:val="0"/>
      <w:numFmt w:val="bullet"/>
      <w:lvlText w:val="•"/>
      <w:lvlJc w:val="left"/>
      <w:pPr>
        <w:ind w:left="3435" w:hanging="632"/>
      </w:pPr>
      <w:rPr>
        <w:rFonts w:hint="default"/>
        <w:lang w:val="zh-CN" w:eastAsia="zh-CN" w:bidi="zh-CN"/>
      </w:rPr>
    </w:lvl>
    <w:lvl w:ilvl="4">
      <w:start w:val="0"/>
      <w:numFmt w:val="bullet"/>
      <w:lvlText w:val="•"/>
      <w:lvlJc w:val="left"/>
      <w:pPr>
        <w:ind w:left="4320" w:hanging="632"/>
      </w:pPr>
      <w:rPr>
        <w:rFonts w:hint="default"/>
        <w:lang w:val="zh-CN" w:eastAsia="zh-CN" w:bidi="zh-CN"/>
      </w:rPr>
    </w:lvl>
    <w:lvl w:ilvl="5">
      <w:start w:val="0"/>
      <w:numFmt w:val="bullet"/>
      <w:lvlText w:val="•"/>
      <w:lvlJc w:val="left"/>
      <w:pPr>
        <w:ind w:left="5205" w:hanging="632"/>
      </w:pPr>
      <w:rPr>
        <w:rFonts w:hint="default"/>
        <w:lang w:val="zh-CN" w:eastAsia="zh-CN" w:bidi="zh-CN"/>
      </w:rPr>
    </w:lvl>
    <w:lvl w:ilvl="6">
      <w:start w:val="0"/>
      <w:numFmt w:val="bullet"/>
      <w:lvlText w:val="•"/>
      <w:lvlJc w:val="left"/>
      <w:pPr>
        <w:ind w:left="6090" w:hanging="632"/>
      </w:pPr>
      <w:rPr>
        <w:rFonts w:hint="default"/>
        <w:lang w:val="zh-CN" w:eastAsia="zh-CN" w:bidi="zh-CN"/>
      </w:rPr>
    </w:lvl>
    <w:lvl w:ilvl="7">
      <w:start w:val="0"/>
      <w:numFmt w:val="bullet"/>
      <w:lvlText w:val="•"/>
      <w:lvlJc w:val="left"/>
      <w:pPr>
        <w:ind w:left="6975" w:hanging="632"/>
      </w:pPr>
      <w:rPr>
        <w:rFonts w:hint="default"/>
        <w:lang w:val="zh-CN" w:eastAsia="zh-CN" w:bidi="zh-CN"/>
      </w:rPr>
    </w:lvl>
    <w:lvl w:ilvl="8">
      <w:start w:val="0"/>
      <w:numFmt w:val="bullet"/>
      <w:lvlText w:val="•"/>
      <w:lvlJc w:val="left"/>
      <w:pPr>
        <w:ind w:left="7860" w:hanging="632"/>
      </w:pPr>
      <w:rPr>
        <w:rFonts w:hint="default"/>
        <w:lang w:val="zh-CN" w:eastAsia="zh-CN" w:bidi="zh-CN"/>
      </w:rPr>
    </w:lvl>
  </w:abstractNum>
  <w:abstractNum w:abstractNumId="20">
    <w:nsid w:val="7321C756"/>
    <w:multiLevelType w:val="multilevel"/>
    <w:tmpl w:val="7321C756"/>
    <w:lvl w:ilvl="0">
      <w:start w:val="1"/>
      <w:numFmt w:val="decimal"/>
      <w:lvlText w:val="%1）"/>
      <w:lvlJc w:val="left"/>
      <w:pPr>
        <w:ind w:left="893" w:hanging="36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zh-CN" w:eastAsia="zh-CN" w:bidi="zh-CN"/>
      </w:rPr>
    </w:lvl>
    <w:lvl w:ilvl="1">
      <w:start w:val="0"/>
      <w:numFmt w:val="bullet"/>
      <w:lvlText w:val="•"/>
      <w:lvlJc w:val="left"/>
      <w:pPr>
        <w:ind w:left="1690" w:hanging="361"/>
      </w:pPr>
      <w:rPr>
        <w:rFonts w:hint="default"/>
        <w:lang w:val="zh-CN" w:eastAsia="zh-CN" w:bidi="zh-CN"/>
      </w:rPr>
    </w:lvl>
    <w:lvl w:ilvl="2">
      <w:start w:val="0"/>
      <w:numFmt w:val="bullet"/>
      <w:lvlText w:val="•"/>
      <w:lvlJc w:val="left"/>
      <w:pPr>
        <w:ind w:left="2480" w:hanging="361"/>
      </w:pPr>
      <w:rPr>
        <w:rFonts w:hint="default"/>
        <w:lang w:val="zh-CN" w:eastAsia="zh-CN" w:bidi="zh-CN"/>
      </w:rPr>
    </w:lvl>
    <w:lvl w:ilvl="3">
      <w:start w:val="0"/>
      <w:numFmt w:val="bullet"/>
      <w:lvlText w:val="•"/>
      <w:lvlJc w:val="left"/>
      <w:pPr>
        <w:ind w:left="3270" w:hanging="361"/>
      </w:pPr>
      <w:rPr>
        <w:rFonts w:hint="default"/>
        <w:lang w:val="zh-CN" w:eastAsia="zh-CN" w:bidi="zh-CN"/>
      </w:rPr>
    </w:lvl>
    <w:lvl w:ilvl="4">
      <w:start w:val="0"/>
      <w:numFmt w:val="bullet"/>
      <w:lvlText w:val="•"/>
      <w:lvlJc w:val="left"/>
      <w:pPr>
        <w:ind w:left="4060" w:hanging="361"/>
      </w:pPr>
      <w:rPr>
        <w:rFonts w:hint="default"/>
        <w:lang w:val="zh-CN" w:eastAsia="zh-CN" w:bidi="zh-CN"/>
      </w:rPr>
    </w:lvl>
    <w:lvl w:ilvl="5">
      <w:start w:val="0"/>
      <w:numFmt w:val="bullet"/>
      <w:lvlText w:val="•"/>
      <w:lvlJc w:val="left"/>
      <w:pPr>
        <w:ind w:left="4850" w:hanging="361"/>
      </w:pPr>
      <w:rPr>
        <w:rFonts w:hint="default"/>
        <w:lang w:val="zh-CN" w:eastAsia="zh-CN" w:bidi="zh-CN"/>
      </w:rPr>
    </w:lvl>
    <w:lvl w:ilvl="6">
      <w:start w:val="0"/>
      <w:numFmt w:val="bullet"/>
      <w:lvlText w:val="•"/>
      <w:lvlJc w:val="left"/>
      <w:pPr>
        <w:ind w:left="5640" w:hanging="361"/>
      </w:pPr>
      <w:rPr>
        <w:rFonts w:hint="default"/>
        <w:lang w:val="zh-CN" w:eastAsia="zh-CN" w:bidi="zh-CN"/>
      </w:rPr>
    </w:lvl>
    <w:lvl w:ilvl="7">
      <w:start w:val="0"/>
      <w:numFmt w:val="bullet"/>
      <w:lvlText w:val="•"/>
      <w:lvlJc w:val="left"/>
      <w:pPr>
        <w:ind w:left="6430" w:hanging="361"/>
      </w:pPr>
      <w:rPr>
        <w:rFonts w:hint="default"/>
        <w:lang w:val="zh-CN" w:eastAsia="zh-CN" w:bidi="zh-CN"/>
      </w:rPr>
    </w:lvl>
    <w:lvl w:ilvl="8">
      <w:start w:val="0"/>
      <w:numFmt w:val="bullet"/>
      <w:lvlText w:val="•"/>
      <w:lvlJc w:val="left"/>
      <w:pPr>
        <w:ind w:left="7220" w:hanging="361"/>
      </w:pPr>
      <w:rPr>
        <w:rFonts w:hint="default"/>
        <w:lang w:val="zh-CN" w:eastAsia="zh-CN" w:bidi="zh-CN"/>
      </w:rPr>
    </w:lvl>
  </w:abstractNum>
  <w:abstractNum w:abstractNumId="21">
    <w:nsid w:val="7DD08836"/>
    <w:multiLevelType w:val="multilevel"/>
    <w:tmpl w:val="0A97485F"/>
    <w:lvl w:ilvl="0">
      <w:start w:val="1"/>
      <w:numFmt w:val="decimal"/>
      <w:lvlText w:val="（%1）"/>
      <w:lvlJc w:val="left"/>
      <w:pPr>
        <w:ind w:left="1023" w:hanging="577"/>
        <w:jc w:val="left"/>
      </w:pPr>
      <w:rPr>
        <w:rFonts w:ascii="宋体" w:eastAsia="宋体" w:hAnsi="宋体" w:cs="宋体" w:hint="default"/>
        <w:spacing w:val="-12"/>
        <w:w w:val="100"/>
        <w:sz w:val="22"/>
        <w:szCs w:val="22"/>
        <w:lang w:val="zh-CN" w:eastAsia="zh-CN" w:bidi="zh-CN"/>
      </w:rPr>
    </w:lvl>
    <w:lvl w:ilvl="1">
      <w:start w:val="0"/>
      <w:numFmt w:val="bullet"/>
      <w:lvlText w:val="•"/>
      <w:lvlJc w:val="left"/>
      <w:pPr>
        <w:ind w:left="1798" w:hanging="577"/>
      </w:pPr>
      <w:rPr>
        <w:rFonts w:hint="default"/>
        <w:lang w:val="zh-CN" w:eastAsia="zh-CN" w:bidi="zh-CN"/>
      </w:rPr>
    </w:lvl>
    <w:lvl w:ilvl="2">
      <w:start w:val="0"/>
      <w:numFmt w:val="bullet"/>
      <w:lvlText w:val="•"/>
      <w:lvlJc w:val="left"/>
      <w:pPr>
        <w:ind w:left="2576" w:hanging="577"/>
      </w:pPr>
      <w:rPr>
        <w:rFonts w:hint="default"/>
        <w:lang w:val="zh-CN" w:eastAsia="zh-CN" w:bidi="zh-CN"/>
      </w:rPr>
    </w:lvl>
    <w:lvl w:ilvl="3">
      <w:start w:val="0"/>
      <w:numFmt w:val="bullet"/>
      <w:lvlText w:val="•"/>
      <w:lvlJc w:val="left"/>
      <w:pPr>
        <w:ind w:left="3354" w:hanging="577"/>
      </w:pPr>
      <w:rPr>
        <w:rFonts w:hint="default"/>
        <w:lang w:val="zh-CN" w:eastAsia="zh-CN" w:bidi="zh-CN"/>
      </w:rPr>
    </w:lvl>
    <w:lvl w:ilvl="4">
      <w:start w:val="0"/>
      <w:numFmt w:val="bullet"/>
      <w:lvlText w:val="•"/>
      <w:lvlJc w:val="left"/>
      <w:pPr>
        <w:ind w:left="4132" w:hanging="577"/>
      </w:pPr>
      <w:rPr>
        <w:rFonts w:hint="default"/>
        <w:lang w:val="zh-CN" w:eastAsia="zh-CN" w:bidi="zh-CN"/>
      </w:rPr>
    </w:lvl>
    <w:lvl w:ilvl="5">
      <w:start w:val="0"/>
      <w:numFmt w:val="bullet"/>
      <w:lvlText w:val="•"/>
      <w:lvlJc w:val="left"/>
      <w:pPr>
        <w:ind w:left="4910" w:hanging="577"/>
      </w:pPr>
      <w:rPr>
        <w:rFonts w:hint="default"/>
        <w:lang w:val="zh-CN" w:eastAsia="zh-CN" w:bidi="zh-CN"/>
      </w:rPr>
    </w:lvl>
    <w:lvl w:ilvl="6">
      <w:start w:val="0"/>
      <w:numFmt w:val="bullet"/>
      <w:lvlText w:val="•"/>
      <w:lvlJc w:val="left"/>
      <w:pPr>
        <w:ind w:left="5688" w:hanging="577"/>
      </w:pPr>
      <w:rPr>
        <w:rFonts w:hint="default"/>
        <w:lang w:val="zh-CN" w:eastAsia="zh-CN" w:bidi="zh-CN"/>
      </w:rPr>
    </w:lvl>
    <w:lvl w:ilvl="7">
      <w:start w:val="0"/>
      <w:numFmt w:val="bullet"/>
      <w:lvlText w:val="•"/>
      <w:lvlJc w:val="left"/>
      <w:pPr>
        <w:ind w:left="6466" w:hanging="577"/>
      </w:pPr>
      <w:rPr>
        <w:rFonts w:hint="default"/>
        <w:lang w:val="zh-CN" w:eastAsia="zh-CN" w:bidi="zh-CN"/>
      </w:rPr>
    </w:lvl>
    <w:lvl w:ilvl="8">
      <w:start w:val="0"/>
      <w:numFmt w:val="bullet"/>
      <w:lvlText w:val="•"/>
      <w:lvlJc w:val="left"/>
      <w:pPr>
        <w:ind w:left="7244" w:hanging="577"/>
      </w:pPr>
      <w:rPr>
        <w:rFonts w:hint="default"/>
        <w:lang w:val="zh-CN" w:eastAsia="zh-CN" w:bidi="zh-CN"/>
      </w:rPr>
    </w:lvl>
  </w:abstractNum>
  <w:abstractNum w:abstractNumId="22">
    <w:nsid w:val="7F5F03EB"/>
    <w:multiLevelType w:val="multilevel"/>
    <w:tmpl w:val="7F5F03EB"/>
    <w:lvl w:ilvl="0">
      <w:start w:val="1"/>
      <w:numFmt w:val="decimal"/>
      <w:lvlText w:val="（%1）"/>
      <w:lvlJc w:val="left"/>
      <w:pPr>
        <w:ind w:left="1865" w:hanging="601"/>
        <w:jc w:val="left"/>
      </w:pPr>
      <w:rPr>
        <w:rFonts w:ascii="宋体" w:eastAsia="宋体" w:hAnsi="宋体" w:cs="宋体" w:hint="default"/>
        <w:w w:val="100"/>
        <w:sz w:val="22"/>
        <w:szCs w:val="22"/>
        <w:lang w:val="zh-CN" w:eastAsia="zh-CN" w:bidi="zh-CN"/>
      </w:rPr>
    </w:lvl>
    <w:lvl w:ilvl="1">
      <w:start w:val="0"/>
      <w:numFmt w:val="bullet"/>
      <w:lvlText w:val="•"/>
      <w:lvlJc w:val="left"/>
      <w:pPr>
        <w:ind w:left="2637" w:hanging="601"/>
      </w:pPr>
      <w:rPr>
        <w:rFonts w:hint="default"/>
        <w:lang w:val="zh-CN" w:eastAsia="zh-CN" w:bidi="zh-CN"/>
      </w:rPr>
    </w:lvl>
    <w:lvl w:ilvl="2">
      <w:start w:val="0"/>
      <w:numFmt w:val="bullet"/>
      <w:lvlText w:val="•"/>
      <w:lvlJc w:val="left"/>
      <w:pPr>
        <w:ind w:left="3414" w:hanging="601"/>
      </w:pPr>
      <w:rPr>
        <w:rFonts w:hint="default"/>
        <w:lang w:val="zh-CN" w:eastAsia="zh-CN" w:bidi="zh-CN"/>
      </w:rPr>
    </w:lvl>
    <w:lvl w:ilvl="3">
      <w:start w:val="0"/>
      <w:numFmt w:val="bullet"/>
      <w:lvlText w:val="•"/>
      <w:lvlJc w:val="left"/>
      <w:pPr>
        <w:ind w:left="4191" w:hanging="601"/>
      </w:pPr>
      <w:rPr>
        <w:rFonts w:hint="default"/>
        <w:lang w:val="zh-CN" w:eastAsia="zh-CN" w:bidi="zh-CN"/>
      </w:rPr>
    </w:lvl>
    <w:lvl w:ilvl="4">
      <w:start w:val="0"/>
      <w:numFmt w:val="bullet"/>
      <w:lvlText w:val="•"/>
      <w:lvlJc w:val="left"/>
      <w:pPr>
        <w:ind w:left="4968" w:hanging="601"/>
      </w:pPr>
      <w:rPr>
        <w:rFonts w:hint="default"/>
        <w:lang w:val="zh-CN" w:eastAsia="zh-CN" w:bidi="zh-CN"/>
      </w:rPr>
    </w:lvl>
    <w:lvl w:ilvl="5">
      <w:start w:val="0"/>
      <w:numFmt w:val="bullet"/>
      <w:lvlText w:val="•"/>
      <w:lvlJc w:val="left"/>
      <w:pPr>
        <w:ind w:left="5745" w:hanging="601"/>
      </w:pPr>
      <w:rPr>
        <w:rFonts w:hint="default"/>
        <w:lang w:val="zh-CN" w:eastAsia="zh-CN" w:bidi="zh-CN"/>
      </w:rPr>
    </w:lvl>
    <w:lvl w:ilvl="6">
      <w:start w:val="0"/>
      <w:numFmt w:val="bullet"/>
      <w:lvlText w:val="•"/>
      <w:lvlJc w:val="left"/>
      <w:pPr>
        <w:ind w:left="6522" w:hanging="601"/>
      </w:pPr>
      <w:rPr>
        <w:rFonts w:hint="default"/>
        <w:lang w:val="zh-CN" w:eastAsia="zh-CN" w:bidi="zh-CN"/>
      </w:rPr>
    </w:lvl>
    <w:lvl w:ilvl="7">
      <w:start w:val="0"/>
      <w:numFmt w:val="bullet"/>
      <w:lvlText w:val="•"/>
      <w:lvlJc w:val="left"/>
      <w:pPr>
        <w:ind w:left="7299" w:hanging="601"/>
      </w:pPr>
      <w:rPr>
        <w:rFonts w:hint="default"/>
        <w:lang w:val="zh-CN" w:eastAsia="zh-CN" w:bidi="zh-CN"/>
      </w:rPr>
    </w:lvl>
    <w:lvl w:ilvl="8">
      <w:start w:val="0"/>
      <w:numFmt w:val="bullet"/>
      <w:lvlText w:val="•"/>
      <w:lvlJc w:val="left"/>
      <w:pPr>
        <w:ind w:left="8076" w:hanging="601"/>
      </w:pPr>
      <w:rPr>
        <w:rFonts w:hint="default"/>
        <w:lang w:val="zh-CN" w:eastAsia="zh-CN" w:bidi="zh-CN"/>
      </w:rPr>
    </w:lvl>
  </w:abstractNum>
  <w:num w:numId="1">
    <w:abstractNumId w:val="12"/>
  </w:num>
  <w:num w:numId="2">
    <w:abstractNumId w:val="2"/>
  </w:num>
  <w:num w:numId="3">
    <w:abstractNumId w:val="10"/>
  </w:num>
  <w:num w:numId="4">
    <w:abstractNumId w:val="3"/>
  </w:num>
  <w:num w:numId="5">
    <w:abstractNumId w:val="11"/>
  </w:num>
  <w:num w:numId="6">
    <w:abstractNumId w:val="20"/>
  </w:num>
  <w:num w:numId="7">
    <w:abstractNumId w:val="15"/>
  </w:num>
  <w:num w:numId="8">
    <w:abstractNumId w:val="7"/>
  </w:num>
  <w:num w:numId="9">
    <w:abstractNumId w:val="13"/>
  </w:num>
  <w:num w:numId="10">
    <w:abstractNumId w:val="0"/>
  </w:num>
  <w:num w:numId="11">
    <w:abstractNumId w:val="14"/>
  </w:num>
  <w:num w:numId="12">
    <w:abstractNumId w:val="1"/>
  </w:num>
  <w:num w:numId="13">
    <w:abstractNumId w:val="6"/>
  </w:num>
  <w:num w:numId="14">
    <w:abstractNumId w:val="5"/>
  </w:num>
  <w:num w:numId="15">
    <w:abstractNumId w:val="16"/>
  </w:num>
  <w:num w:numId="16">
    <w:abstractNumId w:val="22"/>
  </w:num>
  <w:num w:numId="17">
    <w:abstractNumId w:val="19"/>
  </w:num>
  <w:num w:numId="18">
    <w:abstractNumId w:val="18"/>
  </w:num>
  <w:num w:numId="19">
    <w:abstractNumId w:val="8"/>
  </w:num>
  <w:num w:numId="20">
    <w:abstractNumId w:val="4"/>
  </w:num>
  <w:num w:numId="21">
    <w:abstractNumId w:val="9"/>
  </w:num>
  <w:num w:numId="22">
    <w:abstractNumId w:val="17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4269268B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1" w:unhideWhenUsed="0" w:qFormat="1"/>
    <w:lsdException w:name="heading 1" w:semiHidden="0" w:uiPriority="1" w:unhideWhenUsed="0" w:qFormat="1"/>
    <w:lsdException w:name="heading 2" w:semiHidden="0" w:uiPriority="1" w:unhideWhenUsed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1"/>
    <w:lsdException w:name="Body Text" w:semiHidden="0" w:uiPriority="1" w:unhideWhenUsed="0" w:qFormat="1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1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eastAsia="宋体" w:hAnsi="宋体" w:cs="宋体"/>
      <w:sz w:val="22"/>
      <w:szCs w:val="22"/>
      <w:lang w:val="zh-CN" w:eastAsia="zh-CN" w:bidi="zh-CN"/>
    </w:rPr>
  </w:style>
  <w:style w:type="paragraph" w:styleId="Heading1">
    <w:name w:val="heading 1"/>
    <w:basedOn w:val="Normal"/>
    <w:next w:val="Normal"/>
    <w:uiPriority w:val="1"/>
    <w:qFormat/>
    <w:pPr>
      <w:spacing w:before="3"/>
      <w:ind w:left="1486"/>
      <w:jc w:val="center"/>
      <w:outlineLvl w:val="0"/>
    </w:pPr>
    <w:rPr>
      <w:rFonts w:ascii="黑体" w:eastAsia="黑体" w:hAnsi="黑体" w:cs="黑体"/>
      <w:sz w:val="30"/>
      <w:szCs w:val="30"/>
      <w:lang w:val="zh-CN" w:eastAsia="zh-CN" w:bidi="zh-CN"/>
    </w:rPr>
  </w:style>
  <w:style w:type="paragraph" w:styleId="Heading2">
    <w:name w:val="heading 2"/>
    <w:basedOn w:val="Normal"/>
    <w:next w:val="Normal"/>
    <w:uiPriority w:val="1"/>
    <w:qFormat/>
    <w:pPr>
      <w:ind w:left="118"/>
      <w:outlineLvl w:val="1"/>
    </w:pPr>
    <w:rPr>
      <w:rFonts w:ascii="宋体" w:eastAsia="宋体" w:hAnsi="宋体" w:cs="宋体"/>
      <w:b/>
      <w:bCs/>
      <w:sz w:val="24"/>
      <w:szCs w:val="24"/>
      <w:lang w:val="zh-CN" w:eastAsia="zh-CN" w:bidi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uiPriority w:val="1"/>
    <w:qFormat/>
    <w:rPr>
      <w:rFonts w:ascii="宋体" w:eastAsia="宋体" w:hAnsi="宋体" w:cs="宋体"/>
      <w:sz w:val="24"/>
      <w:szCs w:val="24"/>
      <w:lang w:val="zh-CN" w:eastAsia="zh-CN" w:bidi="zh-CN"/>
    </w:rPr>
  </w:style>
  <w:style w:type="table" w:customStyle="1" w:styleId="TableNormal0">
    <w:name w:val="Table Normal_0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1"/>
    <w:qFormat/>
    <w:pPr>
      <w:ind w:left="784" w:firstLine="480"/>
    </w:pPr>
    <w:rPr>
      <w:rFonts w:ascii="宋体" w:eastAsia="宋体" w:hAnsi="宋体" w:cs="宋体"/>
      <w:lang w:val="zh-CN" w:eastAsia="zh-CN" w:bidi="zh-CN"/>
    </w:rPr>
  </w:style>
  <w:style w:type="paragraph" w:customStyle="1" w:styleId="TableParagraph">
    <w:name w:val="Table Paragraph"/>
    <w:basedOn w:val="Normal"/>
    <w:uiPriority w:val="1"/>
    <w:qFormat/>
    <w:rPr>
      <w:rFonts w:ascii="宋体" w:eastAsia="宋体" w:hAnsi="宋体" w:cs="宋体"/>
      <w:lang w:val="zh-CN" w:eastAsia="zh-CN" w:bidi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6.xml" /><Relationship Id="rId11" Type="http://schemas.openxmlformats.org/officeDocument/2006/relationships/footer" Target="footer7.xml" /><Relationship Id="rId12" Type="http://schemas.openxmlformats.org/officeDocument/2006/relationships/footer" Target="footer8.xml" /><Relationship Id="rId13" Type="http://schemas.openxmlformats.org/officeDocument/2006/relationships/footer" Target="footer9.xml" /><Relationship Id="rId14" Type="http://schemas.openxmlformats.org/officeDocument/2006/relationships/footer" Target="footer10.xml" /><Relationship Id="rId15" Type="http://schemas.openxmlformats.org/officeDocument/2006/relationships/footer" Target="footer11.xml" /><Relationship Id="rId16" Type="http://schemas.openxmlformats.org/officeDocument/2006/relationships/footer" Target="footer12.xml" /><Relationship Id="rId17" Type="http://schemas.openxmlformats.org/officeDocument/2006/relationships/image" Target="media/image1.png" /><Relationship Id="rId18" Type="http://schemas.openxmlformats.org/officeDocument/2006/relationships/image" Target="media/image2.png" /><Relationship Id="rId19" Type="http://schemas.openxmlformats.org/officeDocument/2006/relationships/footer" Target="footer13.xml" /><Relationship Id="rId2" Type="http://schemas.openxmlformats.org/officeDocument/2006/relationships/webSettings" Target="webSettings.xml" /><Relationship Id="rId20" Type="http://schemas.openxmlformats.org/officeDocument/2006/relationships/image" Target="media/image3.png" /><Relationship Id="rId21" Type="http://schemas.openxmlformats.org/officeDocument/2006/relationships/footer" Target="footer14.xml" /><Relationship Id="rId22" Type="http://schemas.openxmlformats.org/officeDocument/2006/relationships/image" Target="media/image4.png" /><Relationship Id="rId23" Type="http://schemas.openxmlformats.org/officeDocument/2006/relationships/image" Target="media/image5.png" /><Relationship Id="rId24" Type="http://schemas.openxmlformats.org/officeDocument/2006/relationships/footer" Target="footer15.xml" /><Relationship Id="rId25" Type="http://schemas.openxmlformats.org/officeDocument/2006/relationships/image" Target="media/image6.png" /><Relationship Id="rId26" Type="http://schemas.openxmlformats.org/officeDocument/2006/relationships/image" Target="media/image7.png" /><Relationship Id="rId27" Type="http://schemas.openxmlformats.org/officeDocument/2006/relationships/footer" Target="footer16.xml" /><Relationship Id="rId28" Type="http://schemas.openxmlformats.org/officeDocument/2006/relationships/footer" Target="footer17.xml" /><Relationship Id="rId29" Type="http://schemas.openxmlformats.org/officeDocument/2006/relationships/footer" Target="footer18.xml" /><Relationship Id="rId3" Type="http://schemas.openxmlformats.org/officeDocument/2006/relationships/fontTable" Target="fontTable.xml" /><Relationship Id="rId30" Type="http://schemas.openxmlformats.org/officeDocument/2006/relationships/footer" Target="footer19.xml" /><Relationship Id="rId31" Type="http://schemas.openxmlformats.org/officeDocument/2006/relationships/footer" Target="footer20.xml" /><Relationship Id="rId32" Type="http://schemas.openxmlformats.org/officeDocument/2006/relationships/footer" Target="footer21.xml" /><Relationship Id="rId33" Type="http://schemas.openxmlformats.org/officeDocument/2006/relationships/hyperlink" Target="https://d.book118.com/195200002040011124" TargetMode="External" /><Relationship Id="rId34" Type="http://schemas.openxmlformats.org/officeDocument/2006/relationships/footer" Target="footer22.xml" /><Relationship Id="rId35" Type="http://schemas.openxmlformats.org/officeDocument/2006/relationships/theme" Target="theme/theme1.xml" /><Relationship Id="rId36" Type="http://schemas.openxmlformats.org/officeDocument/2006/relationships/numbering" Target="numbering.xml" /><Relationship Id="rId37" Type="http://schemas.openxmlformats.org/officeDocument/2006/relationships/styles" Target="styles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footer" Target="footer4.xml" /><Relationship Id="rId9" Type="http://schemas.openxmlformats.org/officeDocument/2006/relationships/footer" Target="footer5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2049"/>
    <customShpInfo spid="_x0000_s2050"/>
    <customShpInfo spid="_x0000_s2051"/>
    <customShpInfo spid="_x0000_s2052"/>
    <customShpInfo spid="_x0000_s2053"/>
    <customShpInfo spid="_x0000_s2054"/>
    <customShpInfo spid="_x0000_s1026"/>
    <customShpInfo spid="_x0000_s1027"/>
    <customShpInfo spid="_x0000_s1029"/>
    <customShpInfo spid="_x0000_s1030"/>
    <customShpInfo spid="_x0000_s1031"/>
    <customShpInfo spid="_x0000_s1028"/>
    <customShpInfo spid="_x0000_s1032"/>
    <customShpInfo spid="_x0000_s1033"/>
    <customShpInfo spid="_x0000_s1035"/>
    <customShpInfo spid="_x0000_s1036"/>
    <customShpInfo spid="_x0000_s1037"/>
    <customShpInfo spid="_x0000_s1034"/>
    <customShpInfo spid="_x0000_s1039"/>
    <customShpInfo spid="_x0000_s1040"/>
    <customShpInfo spid="_x0000_s1041"/>
    <customShpInfo spid="_x0000_s1038"/>
    <customShpInfo spid="_x0000_s1043"/>
    <customShpInfo spid="_x0000_s1044"/>
    <customShpInfo spid="_x0000_s1045"/>
    <customShpInfo spid="_x0000_s1042"/>
    <customShpInfo spid="_x0000_s1046"/>
    <customShpInfo spid="_x0000_s1047"/>
    <customShpInfo spid="_x0000_s1048"/>
    <customShpInfo spid="_x0000_s1049"/>
    <customShpInfo spid="_x0000_s1050"/>
    <customShpInfo spid="_x0000_s1051"/>
    <customShpInfo spid="_x0000_s1052"/>
    <customShpInfo spid="_x0000_s1053"/>
    <customShpInfo spid="_x0000_s1055"/>
    <customShpInfo spid="_x0000_s1056"/>
    <customShpInfo spid="_x0000_s1057"/>
    <customShpInfo spid="_x0000_s1054"/>
    <customShpInfo spid="_x0000_s1059"/>
    <customShpInfo spid="_x0000_s1060"/>
    <customShpInfo spid="_x0000_s1061"/>
    <customShpInfo spid="_x0000_s1062"/>
    <customShpInfo spid="_x0000_s1058"/>
    <customShpInfo spid="_x0000_s1064"/>
    <customShpInfo spid="_x0000_s1065"/>
    <customShpInfo spid="_x0000_s1066"/>
    <customShpInfo spid="_x0000_s1063"/>
    <customShpInfo spid="_x0000_s1068"/>
    <customShpInfo spid="_x0000_s1069"/>
    <customShpInfo spid="_x0000_s1070"/>
    <customShpInfo spid="_x0000_s1067"/>
    <customShpInfo spid="_x0000_s1072"/>
    <customShpInfo spid="_x0000_s1073"/>
    <customShpInfo spid="_x0000_s1074"/>
    <customShpInfo spid="_x0000_s1071"/>
    <customShpInfo spid="_x0000_s1075"/>
    <customShpInfo spid="_x0000_s1076"/>
    <customShpInfo spid="_x0000_s1077"/>
    <customShpInfo spid="_x0000_s1079"/>
    <customShpInfo spid="_x0000_s1080"/>
    <customShpInfo spid="_x0000_s1081"/>
    <customShpInfo spid="_x0000_s1082"/>
    <customShpInfo spid="_x0000_s1078"/>
    <customShpInfo spid="_x0000_s1084"/>
    <customShpInfo spid="_x0000_s1085"/>
    <customShpInfo spid="_x0000_s1086"/>
    <customShpInfo spid="_x0000_s1083"/>
    <customShpInfo spid="_x0000_s1088"/>
    <customShpInfo spid="_x0000_s1089"/>
    <customShpInfo spid="_x0000_s1090"/>
    <customShpInfo spid="_x0000_s1087"/>
    <customShpInfo spid="_x0000_s1092"/>
    <customShpInfo spid="_x0000_s1093"/>
    <customShpInfo spid="_x0000_s1094"/>
    <customShpInfo spid="_x0000_s1091"/>
    <customShpInfo spid="_x0000_s1095"/>
    <customShpInfo spid="_x0000_s1096"/>
    <customShpInfo spid="_x0000_s1098"/>
    <customShpInfo spid="_x0000_s1099"/>
    <customShpInfo spid="_x0000_s1100"/>
    <customShpInfo spid="_x0000_s1097"/>
    <customShpInfo spid="_x0000_s1102"/>
    <customShpInfo spid="_x0000_s1103"/>
    <customShpInfo spid="_x0000_s1104"/>
    <customShpInfo spid="_x0000_s1101"/>
    <customShpInfo spid="_x0000_s1106"/>
    <customShpInfo spid="_x0000_s1107"/>
    <customShpInfo spid="_x0000_s1108"/>
    <customShpInfo spid="_x0000_s1105"/>
    <customShpInfo spid="_x0000_s1110"/>
    <customShpInfo spid="_x0000_s1111"/>
    <customShpInfo spid="_x0000_s1112"/>
    <customShpInfo spid="_x0000_s1109"/>
    <customShpInfo spid="_x0000_s1114"/>
    <customShpInfo spid="_x0000_s1115"/>
    <customShpInfo spid="_x0000_s1116"/>
    <customShpInfo spid="_x0000_s1113"/>
    <customShpInfo spid="_x0000_s1118"/>
    <customShpInfo spid="_x0000_s1119"/>
    <customShpInfo spid="_x0000_s1120"/>
    <customShpInfo spid="_x0000_s1117"/>
    <customShpInfo spid="_x0000_s1121"/>
    <customShpInfo spid="_x0000_s1123"/>
    <customShpInfo spid="_x0000_s1124"/>
    <customShpInfo spid="_x0000_s1125"/>
    <customShpInfo spid="_x0000_s1122"/>
    <customShpInfo spid="_x0000_s1127"/>
    <customShpInfo spid="_x0000_s1128"/>
    <customShpInfo spid="_x0000_s1129"/>
    <customShpInfo spid="_x0000_s1130"/>
    <customShpInfo spid="_x0000_s1126"/>
    <customShpInfo spid="_x0000_s1131"/>
    <customShpInfo spid="_x0000_s1133"/>
    <customShpInfo spid="_x0000_s1134"/>
    <customShpInfo spid="_x0000_s1135"/>
    <customShpInfo spid="_x0000_s1132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附件2</dc:title>
  <dc:creator>lhj</dc:creator>
  <cp:lastModifiedBy>龙风呈祥</cp:lastModifiedBy>
  <cp:revision>0</cp:revision>
  <dcterms:created xsi:type="dcterms:W3CDTF">2024-03-04T03:42:00Z</dcterms:created>
  <dcterms:modified xsi:type="dcterms:W3CDTF">2024-03-04T03:45:10Z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2023-08-07T00:00:00Z</vt:filetime>
  </property>
  <property fmtid="{D5CDD505-2E9C-101B-9397-08002B2CF9AE}" pid="3" name="Creator">
    <vt:lpwstr>WPS 文字</vt:lpwstr>
  </property>
  <property fmtid="{D5CDD505-2E9C-101B-9397-08002B2CF9AE}" pid="4" name="ICV">
    <vt:lpwstr>CAAE696399D9443397D16B49755BB204</vt:lpwstr>
  </property>
  <property fmtid="{D5CDD505-2E9C-101B-9397-08002B2CF9AE}" pid="5" name="KSOProductBuildVer">
    <vt:lpwstr>2052-11.1.0.10463</vt:lpwstr>
  </property>
  <property fmtid="{D5CDD505-2E9C-101B-9397-08002B2CF9AE}" pid="6" name="LastSaved">
    <vt:filetime>2024-03-04T00:00:00Z</vt:filetime>
  </property>
</Properties>
</file>