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numPr>
          <w:ilvl w:val="0"/>
          <w:numId w:val="0"/>
        </w:numPr>
        <w:spacing w:line="360" w:lineRule="auto"/>
        <w:ind w:firstLine="0" w:firstLineChars="0"/>
        <w:jc w:val="center"/>
        <w:rPr>
          <w:rFonts w:ascii="黑体" w:eastAsia="黑体" w:hAnsi="黑体" w:cs="黑体" w:hint="eastAsia"/>
          <w:b/>
          <w:color w:val="auto"/>
          <w:sz w:val="32"/>
          <w:szCs w:val="32"/>
        </w:rPr>
      </w:pPr>
      <w:r>
        <w:rPr>
          <w:rFonts w:ascii="黑体" w:eastAsia="黑体" w:hAnsi="黑体" w:cs="黑体" w:hint="eastAsia"/>
          <w:b/>
          <w:color w:val="auto"/>
          <w:sz w:val="32"/>
          <w:szCs w:val="32"/>
          <w:lang w:eastAsia="zh-CN"/>
        </w:rPr>
        <w:t>药学部药事管理相关制度</w:t>
      </w:r>
    </w:p>
    <w:p>
      <w:pPr>
        <w:numPr>
          <w:ilvl w:val="0"/>
          <w:numId w:val="0"/>
        </w:numPr>
        <w:spacing w:line="360" w:lineRule="auto"/>
        <w:ind w:firstLine="0" w:firstLineChars="0"/>
        <w:jc w:val="both"/>
        <w:rPr>
          <w:rFonts w:ascii="黑体" w:eastAsia="黑体" w:hAnsi="黑体" w:cs="黑体" w:hint="eastAsia"/>
          <w:b/>
          <w:color w:val="auto"/>
          <w:sz w:val="28"/>
          <w:szCs w:val="28"/>
        </w:rPr>
      </w:pPr>
      <w:r>
        <w:rPr>
          <w:rFonts w:ascii="黑体" w:eastAsia="黑体" w:hAnsi="黑体" w:cs="黑体" w:hint="eastAsia"/>
          <w:b/>
          <w:color w:val="auto"/>
          <w:sz w:val="28"/>
          <w:szCs w:val="28"/>
          <w:lang w:eastAsia="zh-CN"/>
        </w:rPr>
        <w:t>一、</w:t>
      </w:r>
      <w:r>
        <w:rPr>
          <w:rFonts w:ascii="黑体" w:eastAsia="黑体" w:hAnsi="黑体" w:cs="黑体" w:hint="eastAsia"/>
          <w:b/>
          <w:color w:val="auto"/>
          <w:sz w:val="28"/>
          <w:szCs w:val="28"/>
        </w:rPr>
        <w:t>麻醉药品、</w:t>
      </w:r>
      <w:r>
        <w:rPr>
          <w:rFonts w:ascii="黑体" w:eastAsia="黑体" w:hAnsi="黑体" w:cs="黑体" w:hint="eastAsia"/>
          <w:b/>
          <w:color w:val="auto"/>
          <w:sz w:val="28"/>
          <w:szCs w:val="28"/>
          <w:lang w:eastAsia="zh-CN"/>
        </w:rPr>
        <w:t>第</w:t>
      </w:r>
      <w:r>
        <w:rPr>
          <w:rFonts w:ascii="黑体" w:eastAsia="黑体" w:hAnsi="黑体" w:cs="黑体" w:hint="eastAsia"/>
          <w:b/>
          <w:color w:val="auto"/>
          <w:sz w:val="28"/>
          <w:szCs w:val="28"/>
        </w:rPr>
        <w:t>一类精神药品管理制度</w:t>
      </w:r>
    </w:p>
    <w:p>
      <w:pPr>
        <w:spacing w:line="360" w:lineRule="auto"/>
        <w:rPr>
          <w:rFonts w:ascii="仿宋_GB2312" w:eastAsia="仿宋_GB2312" w:hAnsi="仿宋_GB2312" w:cs="仿宋_GB2312" w:hint="eastAsia"/>
          <w:color w:val="auto"/>
          <w:sz w:val="24"/>
        </w:rPr>
      </w:pPr>
      <w:r>
        <w:rPr>
          <w:rFonts w:ascii="微软雅黑" w:eastAsia="微软雅黑" w:hAnsi="微软雅黑" w:hint="eastAsia"/>
          <w:color w:val="auto"/>
          <w:sz w:val="24"/>
          <w:szCs w:val="24"/>
        </w:rPr>
        <w:t xml:space="preserve">   </w:t>
      </w:r>
      <w:r>
        <w:rPr>
          <w:rFonts w:ascii="微软雅黑" w:eastAsia="微软雅黑" w:hAnsi="微软雅黑" w:hint="eastAsia"/>
          <w:color w:val="auto"/>
          <w:sz w:val="30"/>
          <w:szCs w:val="30"/>
        </w:rPr>
        <w:t xml:space="preserve"> </w:t>
      </w:r>
      <w:r>
        <w:rPr>
          <w:rFonts w:ascii="仿宋_GB2312" w:eastAsia="仿宋_GB2312" w:hAnsi="仿宋_GB2312" w:cs="仿宋_GB2312" w:hint="eastAsia"/>
          <w:color w:val="auto"/>
          <w:sz w:val="24"/>
          <w:szCs w:val="24"/>
        </w:rPr>
        <w:t>根据国务院《麻醉药品和精神药品管理条例》、卫</w:t>
      </w:r>
      <w:r>
        <w:rPr>
          <w:rFonts w:ascii="仿宋_GB2312" w:eastAsia="仿宋_GB2312" w:hAnsi="仿宋_GB2312" w:cs="仿宋_GB2312" w:hint="eastAsia"/>
          <w:color w:val="auto"/>
          <w:sz w:val="24"/>
          <w:szCs w:val="24"/>
          <w:lang w:val="en-US" w:eastAsia="zh-CN"/>
        </w:rPr>
        <w:t>健</w:t>
      </w:r>
      <w:r>
        <w:rPr>
          <w:rFonts w:ascii="仿宋_GB2312" w:eastAsia="仿宋_GB2312" w:hAnsi="仿宋_GB2312" w:cs="仿宋_GB2312" w:hint="eastAsia"/>
          <w:color w:val="auto"/>
          <w:sz w:val="24"/>
          <w:szCs w:val="24"/>
        </w:rPr>
        <w:t>委《医疗机构麻醉药品、第一类精神药品管理规定》，建立由分管院领导负责，医、药、护和保卫等部门参加的麻醉、精神药品管理小组，结合医院实际情况制</w:t>
      </w:r>
      <w:r>
        <w:rPr>
          <w:rFonts w:ascii="仿宋_GB2312" w:eastAsia="仿宋_GB2312" w:hAnsi="仿宋_GB2312" w:cs="仿宋_GB2312" w:hint="eastAsia"/>
          <w:color w:val="auto"/>
          <w:sz w:val="24"/>
          <w:szCs w:val="24"/>
          <w:lang w:eastAsia="zh-CN"/>
        </w:rPr>
        <w:t>定</w:t>
      </w:r>
      <w:r>
        <w:rPr>
          <w:rFonts w:ascii="仿宋_GB2312" w:eastAsia="仿宋_GB2312" w:hAnsi="仿宋_GB2312" w:cs="仿宋_GB2312" w:hint="eastAsia"/>
          <w:color w:val="auto"/>
          <w:sz w:val="24"/>
          <w:szCs w:val="24"/>
        </w:rPr>
        <w:t>麻醉药品、第一类精神药品管理规定和人员职责；定期组织专项检查，保证药品安全及合理用药。</w:t>
      </w:r>
    </w:p>
    <w:p>
      <w:pPr>
        <w:numPr>
          <w:ilvl w:val="0"/>
          <w:numId w:val="1"/>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rPr>
        <w:t xml:space="preserve">“印鉴卡”的管理  </w:t>
      </w:r>
      <w:r>
        <w:rPr>
          <w:rFonts w:ascii="仿宋_GB2312" w:eastAsia="仿宋_GB2312" w:hAnsi="仿宋_GB2312" w:cs="仿宋_GB2312" w:hint="eastAsia"/>
          <w:color w:val="auto"/>
          <w:sz w:val="24"/>
          <w:szCs w:val="24"/>
        </w:rPr>
        <w:t xml:space="preserve"> </w:t>
      </w:r>
    </w:p>
    <w:p>
      <w:pPr>
        <w:numPr>
          <w:ilvl w:val="0"/>
          <w:numId w:val="0"/>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药学部门应当指派专人</w:t>
      </w:r>
      <w:r>
        <w:rPr>
          <w:rFonts w:ascii="仿宋_GB2312" w:eastAsia="仿宋_GB2312" w:hAnsi="仿宋_GB2312" w:cs="仿宋_GB2312" w:hint="eastAsia"/>
          <w:color w:val="auto"/>
          <w:sz w:val="24"/>
          <w:szCs w:val="24"/>
          <w:lang w:eastAsia="zh-CN"/>
        </w:rPr>
        <w:t>根</w:t>
      </w:r>
      <w:r>
        <w:rPr>
          <w:rFonts w:ascii="仿宋_GB2312" w:eastAsia="仿宋_GB2312" w:hAnsi="仿宋_GB2312" w:cs="仿宋_GB2312" w:hint="eastAsia"/>
          <w:color w:val="auto"/>
          <w:sz w:val="24"/>
          <w:szCs w:val="24"/>
        </w:rPr>
        <w:t>据“麻精一药品购用印鉴卡”的申办规定，负责向卫生主管部门申办、换发“印鉴卡”，申报用药计划及变更手续。批准核发的“印鉴卡”由专人保管，除接受检查和购买药品等规定情况外，不得带出医院。</w:t>
      </w:r>
    </w:p>
    <w:p>
      <w:pPr>
        <w:numPr>
          <w:ilvl w:val="0"/>
          <w:numId w:val="1"/>
        </w:numPr>
        <w:spacing w:line="360" w:lineRule="auto"/>
        <w:ind w:left="0" w:firstLine="480" w:leftChars="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 xml:space="preserve">专用保险柜和基数卡的管理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药库贮存麻醉药品、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一类精神药品必须使用专用保险柜，专人负责。各调剂部门与临床用药科室实行基数管理和双人双锁管理，基数</w:t>
      </w:r>
      <w:r>
        <w:rPr>
          <w:rFonts w:ascii="仿宋_GB2312" w:eastAsia="仿宋_GB2312" w:hAnsi="仿宋_GB2312" w:cs="仿宋_GB2312" w:hint="eastAsia"/>
          <w:color w:val="auto"/>
          <w:sz w:val="24"/>
          <w:szCs w:val="24"/>
          <w:lang w:eastAsia="zh-CN"/>
        </w:rPr>
        <w:t>表</w:t>
      </w:r>
      <w:r>
        <w:rPr>
          <w:rFonts w:ascii="仿宋_GB2312" w:eastAsia="仿宋_GB2312" w:hAnsi="仿宋_GB2312" w:cs="仿宋_GB2312" w:hint="eastAsia"/>
          <w:color w:val="auto"/>
          <w:sz w:val="24"/>
          <w:szCs w:val="24"/>
        </w:rPr>
        <w:t>注明所用药品名称、规格、数量，并由各科室指定专人负责基数管理，并做好每日使用登记和交接班记录。各科室临床需求变化时应当及时</w:t>
      </w:r>
      <w:r>
        <w:rPr>
          <w:rFonts w:ascii="仿宋_GB2312" w:eastAsia="仿宋_GB2312" w:hAnsi="仿宋_GB2312" w:cs="仿宋_GB2312" w:hint="eastAsia"/>
          <w:color w:val="auto"/>
          <w:sz w:val="24"/>
          <w:szCs w:val="24"/>
          <w:lang w:eastAsia="zh-CN"/>
        </w:rPr>
        <w:t>申请</w:t>
      </w:r>
      <w:r>
        <w:rPr>
          <w:rFonts w:ascii="仿宋_GB2312" w:eastAsia="仿宋_GB2312" w:hAnsi="仿宋_GB2312" w:cs="仿宋_GB2312" w:hint="eastAsia"/>
          <w:color w:val="auto"/>
          <w:sz w:val="24"/>
          <w:szCs w:val="24"/>
        </w:rPr>
        <w:t>变更基数，专管人员变更时，需在药学部登记备案。</w:t>
      </w:r>
    </w:p>
    <w:p>
      <w:pPr>
        <w:numPr>
          <w:ilvl w:val="0"/>
          <w:numId w:val="1"/>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rPr>
        <w:t xml:space="preserve">药品采购与验收  </w:t>
      </w:r>
      <w:r>
        <w:rPr>
          <w:rFonts w:ascii="仿宋_GB2312" w:eastAsia="仿宋_GB2312" w:hAnsi="仿宋_GB2312" w:cs="仿宋_GB2312" w:hint="eastAsia"/>
          <w:color w:val="auto"/>
          <w:sz w:val="24"/>
          <w:szCs w:val="24"/>
        </w:rPr>
        <w:t xml:space="preserve">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药库特殊药品管理人员根据药品用量和库存情况提出购药计划，报科主任、分管院长审批后，药品采购员向指定的药品经营单位采购药品。药品到达后，必须货到即验，至少双人开箱验收，清点验收到最小包装，入库验收应当采用专簿记录，包括：日期、凭证号、</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r>
        <w:rPr>
          <w:rFonts w:ascii="仿宋_GB2312" w:eastAsia="仿宋_GB2312" w:hAnsi="仿宋_GB2312" w:cs="仿宋_GB2312" w:hint="eastAsia"/>
          <w:color w:val="auto"/>
          <w:sz w:val="24"/>
          <w:szCs w:val="24"/>
        </w:rPr>
        <w:t>、剂型、规格、单位、数量、批号、有效期、生产单位、供货单位、质量情况、验收结论、验收和保管人员签字等内容。在验收中发现缺少、缺损的麻醉药品和第一类精神药品应当双人清点登记，上报科主任和分管院长批准，并加盖公章后再由药品采购</w:t>
      </w:r>
      <w:r>
        <w:rPr>
          <w:rFonts w:ascii="仿宋_GB2312" w:eastAsia="仿宋_GB2312" w:hAnsi="仿宋_GB2312" w:cs="仿宋_GB2312" w:hint="eastAsia"/>
          <w:color w:val="auto"/>
          <w:sz w:val="24"/>
          <w:szCs w:val="24"/>
          <w:lang w:eastAsia="zh-CN"/>
        </w:rPr>
        <w:t>员</w:t>
      </w:r>
      <w:r>
        <w:rPr>
          <w:rFonts w:ascii="仿宋_GB2312" w:eastAsia="仿宋_GB2312" w:hAnsi="仿宋_GB2312" w:cs="仿宋_GB2312" w:hint="eastAsia"/>
          <w:color w:val="auto"/>
          <w:sz w:val="24"/>
          <w:szCs w:val="24"/>
        </w:rPr>
        <w:t>向供货单位查询、处理。验收记录双人签字并核验购药票据凭证无误后，办理入库手续。</w:t>
      </w:r>
    </w:p>
    <w:p>
      <w:pPr>
        <w:spacing w:line="360" w:lineRule="auto"/>
        <w:ind w:firstLine="480" w:firstLineChars="200"/>
        <w:jc w:val="left"/>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（四）</w:t>
      </w:r>
      <w:r>
        <w:rPr>
          <w:rFonts w:ascii="仿宋_GB2312" w:eastAsia="仿宋_GB2312" w:hAnsi="仿宋_GB2312" w:cs="仿宋_GB2312" w:hint="eastAsia"/>
          <w:b w:val="0"/>
          <w:bCs w:val="0"/>
          <w:color w:val="auto"/>
          <w:sz w:val="24"/>
          <w:szCs w:val="24"/>
        </w:rPr>
        <w:t xml:space="preserve">药品储存和保管   </w:t>
      </w:r>
    </w:p>
    <w:p>
      <w:pPr>
        <w:spacing w:line="360" w:lineRule="auto"/>
        <w:ind w:firstLine="480" w:firstLineChars="200"/>
        <w:jc w:val="left"/>
        <w:rPr>
          <w:rFonts w:ascii="仿宋_GB2312" w:eastAsia="仿宋_GB2312" w:hAnsi="仿宋_GB2312" w:cs="仿宋_GB2312" w:hint="eastAsia"/>
          <w:color w:val="auto"/>
          <w:sz w:val="24"/>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仿宋_GB2312" w:eastAsia="仿宋_GB2312" w:hAnsi="仿宋_GB2312" w:cs="仿宋_GB2312" w:hint="eastAsia"/>
          <w:color w:val="auto"/>
          <w:sz w:val="24"/>
          <w:szCs w:val="24"/>
        </w:rPr>
        <w:t>药学部各部门麻醉药品和第一类精神药品应储存于保险柜中，配备专人负责管理工作，实行专人负责、专柜加锁</w:t>
      </w:r>
      <w:r>
        <w:rPr>
          <w:rFonts w:ascii="仿宋_GB2312" w:eastAsia="仿宋_GB2312" w:hAnsi="仿宋_GB2312" w:cs="仿宋_GB2312" w:hint="eastAsia"/>
          <w:color w:val="auto"/>
          <w:sz w:val="24"/>
          <w:szCs w:val="24"/>
          <w:lang w:eastAsia="zh-CN"/>
        </w:rPr>
        <w:t>、</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双人双锁管理。并建立储存麻醉药品和第一类精神药品专用账册，药品入库双人验收，出库双人复核，做到账物相符，专用账册的保存期限在自药品有效期期满之日起不少于5年。专库配备消防灭火设施和工具，有关人员应随时检查防盗报警和消防灭火设施，确保设备完好有效。</w:t>
      </w:r>
    </w:p>
    <w:p>
      <w:pPr>
        <w:spacing w:line="360" w:lineRule="auto"/>
        <w:ind w:firstLine="56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lang w:eastAsia="zh-CN"/>
        </w:rPr>
        <w:t>（五）</w:t>
      </w:r>
      <w:r>
        <w:rPr>
          <w:rFonts w:ascii="仿宋_GB2312" w:eastAsia="仿宋_GB2312" w:hAnsi="仿宋_GB2312" w:cs="仿宋_GB2312" w:hint="eastAsia"/>
          <w:b w:val="0"/>
          <w:bCs w:val="0"/>
          <w:color w:val="auto"/>
          <w:sz w:val="24"/>
          <w:szCs w:val="24"/>
        </w:rPr>
        <w:t>麻醉药品、</w:t>
      </w:r>
      <w:r>
        <w:rPr>
          <w:rFonts w:ascii="仿宋_GB2312" w:eastAsia="仿宋_GB2312" w:hAnsi="仿宋_GB2312" w:cs="仿宋_GB2312" w:hint="eastAsia"/>
          <w:b w:val="0"/>
          <w:bCs w:val="0"/>
          <w:color w:val="auto"/>
          <w:sz w:val="24"/>
          <w:szCs w:val="24"/>
          <w:lang w:eastAsia="zh-CN"/>
        </w:rPr>
        <w:t>第</w:t>
      </w:r>
      <w:r>
        <w:rPr>
          <w:rFonts w:ascii="仿宋_GB2312" w:eastAsia="仿宋_GB2312" w:hAnsi="仿宋_GB2312" w:cs="仿宋_GB2312" w:hint="eastAsia"/>
          <w:b w:val="0"/>
          <w:bCs w:val="0"/>
          <w:color w:val="auto"/>
          <w:sz w:val="24"/>
          <w:szCs w:val="24"/>
        </w:rPr>
        <w:t xml:space="preserve">一类精神药品专用保险柜钥匙备案管理   </w:t>
      </w:r>
      <w:r>
        <w:rPr>
          <w:rFonts w:ascii="仿宋_GB2312" w:eastAsia="仿宋_GB2312" w:hAnsi="仿宋_GB2312" w:cs="仿宋_GB2312" w:hint="eastAsia"/>
          <w:color w:val="auto"/>
          <w:sz w:val="24"/>
          <w:szCs w:val="24"/>
        </w:rPr>
        <w:t xml:space="preserve"> </w:t>
      </w:r>
    </w:p>
    <w:p>
      <w:pPr>
        <w:spacing w:line="360" w:lineRule="auto"/>
        <w:ind w:firstLine="56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存放麻醉药品、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一类精神药品的保险柜实行双人双锁负责制，历任管理人员情况需在药学部备案。</w:t>
      </w:r>
    </w:p>
    <w:p>
      <w:pPr>
        <w:numPr>
          <w:ilvl w:val="0"/>
          <w:numId w:val="0"/>
        </w:numPr>
        <w:spacing w:line="360" w:lineRule="auto"/>
        <w:ind w:left="560" w:leftChars="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lang w:eastAsia="zh-CN"/>
        </w:rPr>
        <w:t>（六）</w:t>
      </w:r>
      <w:r>
        <w:rPr>
          <w:rFonts w:ascii="仿宋_GB2312" w:eastAsia="仿宋_GB2312" w:hAnsi="仿宋_GB2312" w:cs="仿宋_GB2312" w:hint="eastAsia"/>
          <w:b w:val="0"/>
          <w:bCs w:val="0"/>
          <w:color w:val="auto"/>
          <w:sz w:val="24"/>
          <w:szCs w:val="24"/>
        </w:rPr>
        <w:t xml:space="preserve">药品的领发 </w:t>
      </w:r>
      <w:r>
        <w:rPr>
          <w:rFonts w:ascii="仿宋_GB2312" w:eastAsia="仿宋_GB2312" w:hAnsi="仿宋_GB2312" w:cs="仿宋_GB2312" w:hint="eastAsia"/>
          <w:color w:val="auto"/>
          <w:sz w:val="24"/>
          <w:szCs w:val="24"/>
        </w:rPr>
        <w:t xml:space="preserve">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各调剂部门指定专人凭处方和回收的空安瓶或废贴领取麻醉药品、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数量不得超过“基数卡”限定的数量。发药人和领药人需认真核对发药名称、数量、批号、有效期后，签字办理领药手续。领药人员必须亲自运送药品至领药部门并将药品存入专用保险柜、完成入账等相关手续，中途不得停留或办理其他事宜。</w:t>
      </w:r>
    </w:p>
    <w:p>
      <w:pPr>
        <w:numPr>
          <w:ilvl w:val="0"/>
          <w:numId w:val="0"/>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lang w:eastAsia="zh-CN"/>
        </w:rPr>
        <w:t>（七）</w:t>
      </w:r>
      <w:r>
        <w:rPr>
          <w:rFonts w:ascii="仿宋_GB2312" w:eastAsia="仿宋_GB2312" w:hAnsi="仿宋_GB2312" w:cs="仿宋_GB2312" w:hint="eastAsia"/>
          <w:b w:val="0"/>
          <w:bCs w:val="0"/>
          <w:color w:val="auto"/>
          <w:sz w:val="24"/>
          <w:szCs w:val="24"/>
        </w:rPr>
        <w:t xml:space="preserve">调剂部门的药品使用管理  </w:t>
      </w:r>
      <w:r>
        <w:rPr>
          <w:rFonts w:ascii="仿宋_GB2312" w:eastAsia="仿宋_GB2312" w:hAnsi="仿宋_GB2312" w:cs="仿宋_GB2312" w:hint="eastAsia"/>
          <w:color w:val="auto"/>
          <w:sz w:val="24"/>
          <w:szCs w:val="24"/>
        </w:rPr>
        <w:t xml:space="preserve"> </w:t>
      </w:r>
    </w:p>
    <w:p>
      <w:pPr>
        <w:numPr>
          <w:ilvl w:val="0"/>
          <w:numId w:val="0"/>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调剂部门应当指定符合资质的药学专业技术人员管理麻醉药品、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做到“日清日结”，药房设立固定窗口调配麻醉药品、第一类精神药品处方，标示明显，并有专人负责麻醉药品、第一类精神药品调配。处方的调配人、核对人应在处方上双人签字。调配人员应当严格按照麻醉药品、精神药品处方管理规定审核发药。对于用药不合理的处方应当拒绝调配。要防止重复取药，避免套购药品的现象发生。</w:t>
      </w:r>
    </w:p>
    <w:p>
      <w:pPr>
        <w:numPr>
          <w:ilvl w:val="0"/>
          <w:numId w:val="0"/>
        </w:numPr>
        <w:spacing w:line="360" w:lineRule="auto"/>
        <w:ind w:firstLine="480" w:firstLineChars="200"/>
        <w:jc w:val="left"/>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val="en-US" w:eastAsia="zh-CN"/>
        </w:rPr>
        <w:t xml:space="preserve">（八）处方的开具  </w:t>
      </w:r>
    </w:p>
    <w:p>
      <w:pPr>
        <w:numPr>
          <w:ilvl w:val="0"/>
          <w:numId w:val="0"/>
        </w:numPr>
        <w:spacing w:line="360" w:lineRule="auto"/>
        <w:ind w:left="0" w:firstLine="480" w:leftChars="0" w:firstLineChars="200"/>
        <w:jc w:val="left"/>
        <w:rPr>
          <w:rFonts w:ascii="仿宋_GB2312" w:eastAsia="仿宋_GB2312" w:hAnsi="仿宋_GB2312" w:cs="仿宋_GB2312" w:hint="eastAsia"/>
          <w:b/>
          <w:bCs/>
          <w:color w:val="auto"/>
          <w:sz w:val="24"/>
        </w:rPr>
      </w:pPr>
      <w:r>
        <w:rPr>
          <w:rFonts w:ascii="仿宋_GB2312" w:eastAsia="仿宋_GB2312" w:hAnsi="仿宋_GB2312" w:cs="仿宋_GB2312" w:hint="eastAsia"/>
          <w:b w:val="0"/>
          <w:bCs w:val="0"/>
          <w:color w:val="auto"/>
          <w:sz w:val="24"/>
          <w:szCs w:val="24"/>
          <w:lang w:val="en-US" w:eastAsia="zh-CN"/>
        </w:rPr>
        <w:t>执业医师经培训、考核合格后，取得麻醉药品、第一类精神药品处方资格。</w:t>
      </w:r>
      <w:r>
        <w:rPr>
          <w:rFonts w:ascii="仿宋_GB2312" w:eastAsia="仿宋_GB2312" w:hAnsi="仿宋_GB2312" w:cs="仿宋_GB2312" w:hint="eastAsia"/>
          <w:color w:val="auto"/>
          <w:sz w:val="24"/>
          <w:szCs w:val="24"/>
        </w:rPr>
        <w:t>医师应当按照</w:t>
      </w:r>
      <w:r>
        <w:rPr>
          <w:rFonts w:ascii="仿宋_GB2312" w:eastAsia="仿宋_GB2312" w:hAnsi="仿宋_GB2312" w:cs="仿宋_GB2312" w:hint="eastAsia"/>
          <w:color w:val="auto"/>
          <w:sz w:val="24"/>
          <w:szCs w:val="24"/>
          <w:lang w:eastAsia="zh-CN"/>
        </w:rPr>
        <w:t>卫健</w:t>
      </w:r>
      <w:r>
        <w:rPr>
          <w:rFonts w:ascii="仿宋_GB2312" w:eastAsia="仿宋_GB2312" w:hAnsi="仿宋_GB2312" w:cs="仿宋_GB2312" w:hint="eastAsia"/>
          <w:color w:val="auto"/>
          <w:sz w:val="24"/>
          <w:szCs w:val="24"/>
        </w:rPr>
        <w:t>委制定的</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麻醉药品和精神药品临床应用指导原则</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开具麻醉药品、第一类精神药品处方。</w:t>
      </w:r>
    </w:p>
    <w:p>
      <w:pPr>
        <w:numPr>
          <w:ilvl w:val="0"/>
          <w:numId w:val="0"/>
        </w:num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除需长期使用麻醉药品和第一类精神药品的门（急）诊癌症疼痛患者和中、重度慢性疼痛患者外，麻醉药品注射剂仅限于医疗机构内使用。</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门（急）诊癌症疼痛患者和中、重度慢性疼痛患者需长期使用麻醉药品和第一类精神药品的，首诊医师应当亲自诊查患者，建立相应的病历，要求其签署《知情同意书》</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病历中应当留存下列材料复印件：</w:t>
      </w:r>
    </w:p>
    <w:p>
      <w:pPr>
        <w:spacing w:line="360" w:lineRule="auto"/>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（1）二级以上医院开具的</w:t>
      </w:r>
      <w:r>
        <w:rPr>
          <w:rFonts w:ascii="仿宋_GB2312" w:eastAsia="仿宋_GB2312" w:hAnsi="仿宋_GB2312" w:cs="仿宋_GB2312" w:hint="eastAsia"/>
          <w:b w:val="0"/>
          <w:bCs w:val="0"/>
          <w:color w:val="auto"/>
          <w:sz w:val="24"/>
          <w:szCs w:val="24"/>
          <w:lang w:eastAsia="zh-CN"/>
        </w:rPr>
        <w:t>诊断</w:t>
      </w:r>
      <w:r>
        <w:rPr>
          <w:rFonts w:ascii="仿宋_GB2312" w:eastAsia="仿宋_GB2312" w:hAnsi="仿宋_GB2312" w:cs="仿宋_GB2312" w:hint="eastAsia"/>
          <w:color w:val="auto"/>
          <w:sz w:val="24"/>
          <w:szCs w:val="24"/>
        </w:rPr>
        <w:t>证明</w:t>
      </w:r>
      <w:r>
        <w:rPr>
          <w:rFonts w:ascii="仿宋_GB2312" w:eastAsia="仿宋_GB2312" w:hAnsi="仿宋_GB2312" w:cs="仿宋_GB2312" w:hint="eastAsia"/>
          <w:color w:val="auto"/>
          <w:sz w:val="24"/>
          <w:szCs w:val="24"/>
          <w:lang w:eastAsia="zh-CN"/>
        </w:rPr>
        <w:t>；</w:t>
      </w:r>
    </w:p>
    <w:p>
      <w:pPr>
        <w:spacing w:line="360" w:lineRule="auto"/>
        <w:jc w:val="left"/>
        <w:rPr>
          <w:rFonts w:ascii="仿宋_GB2312" w:eastAsia="仿宋_GB2312" w:hAnsi="仿宋_GB2312" w:cs="仿宋_GB2312" w:hint="eastAsia"/>
          <w:color w:val="auto"/>
          <w:sz w:val="24"/>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Ansi="仿宋_GB2312" w:cs="仿宋_GB2312" w:hint="eastAsia"/>
          <w:color w:val="auto"/>
          <w:sz w:val="24"/>
          <w:szCs w:val="24"/>
        </w:rPr>
        <w:t xml:space="preserve">   （2）患者户籍簿、身份证或者其他相关有</w:t>
      </w:r>
      <w:r>
        <w:rPr>
          <w:rFonts w:ascii="仿宋_GB2312" w:eastAsia="仿宋_GB2312" w:hAnsi="仿宋_GB2312" w:cs="仿宋_GB2312" w:hint="eastAsia"/>
          <w:b w:val="0"/>
          <w:bCs w:val="0"/>
          <w:color w:val="auto"/>
          <w:sz w:val="24"/>
          <w:szCs w:val="24"/>
          <w:lang w:eastAsia="zh-CN"/>
        </w:rPr>
        <w:t>效</w:t>
      </w:r>
      <w:r>
        <w:rPr>
          <w:rFonts w:ascii="仿宋_GB2312" w:eastAsia="仿宋_GB2312" w:hAnsi="仿宋_GB2312" w:cs="仿宋_GB2312" w:hint="eastAsia"/>
          <w:color w:val="auto"/>
          <w:sz w:val="24"/>
          <w:szCs w:val="24"/>
        </w:rPr>
        <w:t>身份证明文件；</w:t>
      </w:r>
    </w:p>
    <w:p>
      <w:pPr>
        <w:spacing w:line="360" w:lineRule="auto"/>
        <w:jc w:val="left"/>
        <w:rPr>
          <w:rFonts w:ascii="仿宋_GB2312" w:eastAsia="仿宋_GB2312" w:hAnsi="仿宋_GB2312" w:cs="仿宋_GB2312" w:hint="eastAsia"/>
          <w:b/>
          <w:bCs/>
          <w:color w:val="auto"/>
          <w:sz w:val="24"/>
        </w:rPr>
      </w:pPr>
      <w:r>
        <w:rPr>
          <w:rFonts w:ascii="仿宋_GB2312" w:eastAsia="仿宋_GB2312" w:hAnsi="仿宋_GB2312" w:cs="仿宋_GB2312" w:hint="eastAsia"/>
          <w:color w:val="auto"/>
          <w:sz w:val="24"/>
          <w:szCs w:val="24"/>
        </w:rPr>
        <w:t xml:space="preserve">   （3）</w:t>
      </w:r>
      <w:r>
        <w:rPr>
          <w:rFonts w:ascii="仿宋_GB2312" w:eastAsia="仿宋_GB2312" w:hAnsi="仿宋_GB2312" w:cs="仿宋_GB2312" w:hint="eastAsia"/>
          <w:color w:val="auto"/>
          <w:sz w:val="24"/>
          <w:szCs w:val="24"/>
          <w:lang w:eastAsia="zh-CN"/>
        </w:rPr>
        <w:t>为患者</w:t>
      </w:r>
      <w:r>
        <w:rPr>
          <w:rFonts w:ascii="仿宋_GB2312" w:eastAsia="仿宋_GB2312" w:hAnsi="仿宋_GB2312" w:cs="仿宋_GB2312" w:hint="eastAsia"/>
          <w:color w:val="auto"/>
          <w:sz w:val="24"/>
          <w:szCs w:val="24"/>
        </w:rPr>
        <w:t>代办人员身份证明文件</w:t>
      </w:r>
      <w:r>
        <w:rPr>
          <w:rFonts w:ascii="仿宋_GB2312" w:eastAsia="仿宋_GB2312" w:hAnsi="仿宋_GB2312" w:cs="仿宋_GB2312" w:hint="eastAsia"/>
          <w:color w:val="auto"/>
          <w:sz w:val="24"/>
          <w:szCs w:val="24"/>
          <w:lang w:eastAsia="zh-CN"/>
        </w:rPr>
        <w:t>；</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药学调配人员必须严格执行处方限量规定：</w:t>
      </w:r>
    </w:p>
    <w:p>
      <w:pPr>
        <w:spacing w:line="360" w:lineRule="auto"/>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（1）为门（急）诊开具的麻醉药品注射剂，每张处方为一次常用量；控缓释制剂每张处方不得超过7日常用量；其他剂型每张处方不得超过3日常用量。</w:t>
      </w:r>
    </w:p>
    <w:p>
      <w:pPr>
        <w:spacing w:line="360" w:lineRule="auto"/>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（2）第一类精神药品注射剂，每张处方为一次常用量；控缓释制剂，每张处方不得超过7日常用量；其他剂型每张处方不得超过3日常用量。哌醋甲酯用于治疗儿童多动症时，每张处方不得超过15日常用量。</w:t>
      </w:r>
    </w:p>
    <w:p>
      <w:pPr>
        <w:spacing w:line="360" w:lineRule="auto"/>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w:t>
      </w: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）为门（急）诊癌症疼痛患者和中、重度慢性疼痛者开具的麻醉药品、第一类精神药品注射剂，每张处方不得超过3日</w:t>
      </w:r>
      <w:r>
        <w:rPr>
          <w:rFonts w:ascii="仿宋_GB2312" w:eastAsia="仿宋_GB2312" w:hAnsi="仿宋_GB2312" w:cs="仿宋_GB2312" w:hint="eastAsia"/>
          <w:color w:val="auto"/>
          <w:sz w:val="24"/>
          <w:szCs w:val="24"/>
          <w:lang w:eastAsia="zh-CN"/>
        </w:rPr>
        <w:t>常</w:t>
      </w:r>
      <w:r>
        <w:rPr>
          <w:rFonts w:ascii="仿宋_GB2312" w:eastAsia="仿宋_GB2312" w:hAnsi="仿宋_GB2312" w:cs="仿宋_GB2312" w:hint="eastAsia"/>
          <w:color w:val="auto"/>
          <w:sz w:val="24"/>
          <w:szCs w:val="24"/>
        </w:rPr>
        <w:t>用量；控缓释制剂，每张处方不得超过15日常用量；其他剂型，每张处方不得超过7日常用量。</w:t>
      </w:r>
    </w:p>
    <w:p>
      <w:pPr>
        <w:spacing w:line="360" w:lineRule="auto"/>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w:t>
      </w: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）为住院患者开具的麻醉药品和第一类精神药品处方应当逐日开具，每张处方为一日常用量。盐酸哌替啶处方为一次常用量，仅限于本医疗机构内使用。</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患者使用麻醉药品、第一类精神药品注射剂或者贴剂的，再次调配时，要求患者必须将原批号的空安培或者用过的贴剂交回，并记录收回的空安培或废贴数量，否则不予再次调配。</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各病区、手术室等调配使用麻醉药品、第一类精神药品注射剂时应收回空安培，核对批号和数量，并作好记录。</w:t>
      </w:r>
    </w:p>
    <w:p>
      <w:pPr>
        <w:numPr>
          <w:ilvl w:val="0"/>
          <w:numId w:val="0"/>
        </w:numPr>
        <w:spacing w:line="360" w:lineRule="auto"/>
        <w:ind w:left="420" w:firstLine="240" w:leftChars="200" w:firstLineChars="1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（九）</w:t>
      </w:r>
      <w:r>
        <w:rPr>
          <w:rFonts w:ascii="仿宋_GB2312" w:eastAsia="仿宋_GB2312" w:hAnsi="仿宋_GB2312" w:cs="仿宋_GB2312" w:hint="eastAsia"/>
          <w:b w:val="0"/>
          <w:bCs w:val="0"/>
          <w:color w:val="auto"/>
          <w:sz w:val="24"/>
          <w:szCs w:val="24"/>
        </w:rPr>
        <w:t xml:space="preserve">管账人员交接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一类精神药品管理人员调整时需要在监督人员在场情况下进行交接清点并做好相关记录，交接完成后报存药学部。</w:t>
      </w:r>
    </w:p>
    <w:p>
      <w:pPr>
        <w:numPr>
          <w:ilvl w:val="0"/>
          <w:numId w:val="0"/>
        </w:numPr>
        <w:spacing w:line="360" w:lineRule="auto"/>
        <w:ind w:left="0" w:firstLine="480" w:leftChars="0" w:firstLineChars="200"/>
        <w:rPr>
          <w:rFonts w:ascii="仿宋_GB2312" w:eastAsia="仿宋_GB2312" w:hAnsi="仿宋_GB2312" w:cs="仿宋_GB2312" w:hint="eastAsia"/>
          <w:b/>
          <w:bCs/>
          <w:color w:val="auto"/>
          <w:sz w:val="24"/>
        </w:rPr>
      </w:pPr>
      <w:r>
        <w:rPr>
          <w:rFonts w:ascii="仿宋_GB2312" w:eastAsia="仿宋_GB2312" w:hAnsi="仿宋_GB2312" w:cs="仿宋_GB2312" w:hint="eastAsia"/>
          <w:b w:val="0"/>
          <w:bCs w:val="0"/>
          <w:i w:val="0"/>
          <w:iCs w:val="0"/>
          <w:color w:val="auto"/>
          <w:sz w:val="24"/>
          <w:szCs w:val="24"/>
          <w:lang w:eastAsia="zh-CN"/>
        </w:rPr>
        <w:t>（十）</w:t>
      </w:r>
      <w:r>
        <w:rPr>
          <w:rFonts w:ascii="仿宋_GB2312" w:eastAsia="仿宋_GB2312" w:hAnsi="仿宋_GB2312" w:cs="仿宋_GB2312" w:hint="eastAsia"/>
          <w:b w:val="0"/>
          <w:bCs w:val="0"/>
          <w:i w:val="0"/>
          <w:iCs w:val="0"/>
          <w:color w:val="auto"/>
          <w:sz w:val="24"/>
          <w:szCs w:val="24"/>
        </w:rPr>
        <w:t xml:space="preserve">过期、损坏药品的销毁管理  </w:t>
      </w:r>
      <w:r>
        <w:rPr>
          <w:rFonts w:ascii="仿宋_GB2312" w:eastAsia="仿宋_GB2312" w:hAnsi="仿宋_GB2312" w:cs="仿宋_GB2312" w:hint="eastAsia"/>
          <w:b/>
          <w:bCs/>
          <w:color w:val="auto"/>
          <w:sz w:val="24"/>
          <w:szCs w:val="24"/>
        </w:rPr>
        <w:t xml:space="preserve">  </w:t>
      </w:r>
    </w:p>
    <w:p>
      <w:pPr>
        <w:numPr>
          <w:ilvl w:val="0"/>
          <w:numId w:val="0"/>
        </w:numPr>
        <w:spacing w:line="360" w:lineRule="auto"/>
        <w:ind w:left="0" w:firstLine="480" w:leftChars="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bCs/>
          <w:color w:val="auto"/>
          <w:sz w:val="24"/>
          <w:szCs w:val="24"/>
        </w:rPr>
        <w:t>麻醉药品、</w:t>
      </w:r>
      <w:r>
        <w:rPr>
          <w:rFonts w:ascii="仿宋_GB2312" w:eastAsia="仿宋_GB2312" w:hAnsi="仿宋_GB2312" w:cs="仿宋_GB2312" w:hint="eastAsia"/>
          <w:bCs/>
          <w:color w:val="auto"/>
          <w:sz w:val="24"/>
          <w:szCs w:val="24"/>
          <w:lang w:eastAsia="zh-CN"/>
        </w:rPr>
        <w:t>第</w:t>
      </w:r>
      <w:r>
        <w:rPr>
          <w:rFonts w:ascii="仿宋_GB2312" w:eastAsia="仿宋_GB2312" w:hAnsi="仿宋_GB2312" w:cs="仿宋_GB2312" w:hint="eastAsia"/>
          <w:bCs/>
          <w:color w:val="auto"/>
          <w:sz w:val="24"/>
          <w:szCs w:val="24"/>
        </w:rPr>
        <w:t>一类精神药品管理人员应当定期检查药品有效期和质量情况，保证质量合格。</w:t>
      </w:r>
      <w:r>
        <w:rPr>
          <w:rFonts w:ascii="仿宋_GB2312" w:eastAsia="仿宋_GB2312" w:hAnsi="仿宋_GB2312" w:cs="仿宋_GB2312" w:hint="eastAsia"/>
          <w:color w:val="auto"/>
          <w:sz w:val="24"/>
          <w:szCs w:val="24"/>
        </w:rPr>
        <w:t>对过期、损坏的麻醉药品、第一类精神药品专册登记、定点存放、有</w:t>
      </w:r>
      <w:r>
        <w:rPr>
          <w:rFonts w:ascii="仿宋_GB2312" w:eastAsia="仿宋_GB2312" w:hAnsi="仿宋_GB2312" w:cs="仿宋_GB2312" w:hint="eastAsia"/>
          <w:color w:val="auto"/>
          <w:sz w:val="24"/>
          <w:szCs w:val="24"/>
          <w:lang w:eastAsia="zh-CN"/>
        </w:rPr>
        <w:t>明显</w:t>
      </w:r>
      <w:r>
        <w:rPr>
          <w:rFonts w:ascii="仿宋_GB2312" w:eastAsia="仿宋_GB2312" w:hAnsi="仿宋_GB2312" w:cs="仿宋_GB2312" w:hint="eastAsia"/>
          <w:color w:val="auto"/>
          <w:sz w:val="24"/>
          <w:szCs w:val="24"/>
        </w:rPr>
        <w:t>标识。对过期、损坏的麻精药品和空安</w:t>
      </w:r>
      <w:r>
        <w:rPr>
          <w:rFonts w:ascii="仿宋_GB2312" w:eastAsia="仿宋_GB2312" w:hAnsi="仿宋_GB2312" w:cs="仿宋_GB2312" w:hint="eastAsia"/>
          <w:color w:val="auto"/>
          <w:sz w:val="24"/>
          <w:szCs w:val="24"/>
          <w:lang w:eastAsia="zh-CN"/>
        </w:rPr>
        <w:t>瓿</w:t>
      </w:r>
      <w:r>
        <w:rPr>
          <w:rFonts w:ascii="仿宋_GB2312" w:eastAsia="仿宋_GB2312" w:hAnsi="仿宋_GB2312" w:cs="仿宋_GB2312" w:hint="eastAsia"/>
          <w:color w:val="auto"/>
          <w:sz w:val="24"/>
          <w:szCs w:val="24"/>
        </w:rPr>
        <w:t>、废贴进行销毁时，应向当地卫生行政主管部门和卫生执法监督部门提出申请，并在其监督下进行销毁，并对销毁情况进行登记，任何人无权自行处置。</w:t>
      </w:r>
    </w:p>
    <w:p>
      <w:pPr>
        <w:numPr>
          <w:ilvl w:val="0"/>
          <w:numId w:val="0"/>
        </w:num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lang w:eastAsia="zh-CN"/>
        </w:rPr>
        <w:t>（十一）</w:t>
      </w:r>
      <w:r>
        <w:rPr>
          <w:rFonts w:ascii="仿宋_GB2312" w:eastAsia="仿宋_GB2312" w:hAnsi="仿宋_GB2312" w:cs="仿宋_GB2312" w:hint="eastAsia"/>
          <w:b w:val="0"/>
          <w:bCs w:val="0"/>
          <w:color w:val="auto"/>
          <w:sz w:val="24"/>
          <w:szCs w:val="24"/>
        </w:rPr>
        <w:t xml:space="preserve">药品丢失、被盗案件报告   </w:t>
      </w:r>
      <w:r>
        <w:rPr>
          <w:rFonts w:ascii="仿宋_GB2312" w:eastAsia="仿宋_GB2312" w:hAnsi="仿宋_GB2312" w:cs="仿宋_GB2312" w:hint="eastAsia"/>
          <w:color w:val="auto"/>
          <w:sz w:val="24"/>
          <w:szCs w:val="24"/>
          <w:lang w:val="en-US" w:eastAsia="zh-CN"/>
        </w:rPr>
        <w:t xml:space="preserve">                           </w:t>
      </w:r>
    </w:p>
    <w:p>
      <w:pPr>
        <w:numPr>
          <w:ilvl w:val="0"/>
          <w:numId w:val="0"/>
        </w:numPr>
        <w:spacing w:line="360" w:lineRule="auto"/>
        <w:ind w:left="0" w:firstLine="480" w:leftChars="0" w:firstLineChars="200"/>
        <w:jc w:val="left"/>
        <w:rPr>
          <w:rFonts w:ascii="仿宋_GB2312" w:eastAsia="仿宋_GB2312" w:hAnsi="仿宋_GB2312" w:cs="仿宋_GB2312" w:hint="eastAsia"/>
          <w:color w:val="auto"/>
          <w:sz w:val="24"/>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p>
    <w:p>
      <w:pPr>
        <w:numPr>
          <w:ilvl w:val="0"/>
          <w:numId w:val="0"/>
        </w:numPr>
        <w:spacing w:line="360" w:lineRule="auto"/>
        <w:ind w:left="0" w:firstLine="480" w:leftChars="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如果发生麻醉药品和精神药品被盗、被抢、丢失、冒领、错发或者其他流入非法渠道的情形的，知情人应当立即采取必要的控制措施，及时报告科室主任、医务科、保卫处，同时报分管院领导、所在地卫生行政主管部门、公安局。</w:t>
      </w:r>
    </w:p>
    <w:p>
      <w:pPr>
        <w:numPr>
          <w:ilvl w:val="0"/>
          <w:numId w:val="0"/>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b w:val="0"/>
          <w:bCs w:val="0"/>
          <w:color w:val="auto"/>
          <w:sz w:val="24"/>
          <w:szCs w:val="24"/>
          <w:lang w:eastAsia="zh-CN"/>
        </w:rPr>
        <w:t>（十二）</w:t>
      </w:r>
      <w:r>
        <w:rPr>
          <w:rFonts w:ascii="仿宋_GB2312" w:eastAsia="仿宋_GB2312" w:hAnsi="仿宋_GB2312" w:cs="仿宋_GB2312" w:hint="eastAsia"/>
          <w:b w:val="0"/>
          <w:bCs w:val="0"/>
          <w:color w:val="auto"/>
          <w:sz w:val="24"/>
          <w:szCs w:val="24"/>
        </w:rPr>
        <w:t xml:space="preserve">值班巡查 </w:t>
      </w:r>
      <w:r>
        <w:rPr>
          <w:rFonts w:ascii="仿宋_GB2312" w:eastAsia="仿宋_GB2312" w:hAnsi="仿宋_GB2312" w:cs="仿宋_GB2312" w:hint="eastAsia"/>
          <w:color w:val="auto"/>
          <w:sz w:val="24"/>
          <w:szCs w:val="24"/>
        </w:rPr>
        <w:t xml:space="preserve">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节假日值班人员应当对麻醉药品、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一类精神药品存储设施进行巡查，以保证药品储存、保管处于安全状态。</w:t>
      </w:r>
    </w:p>
    <w:p>
      <w:pPr>
        <w:numPr>
          <w:ilvl w:val="0"/>
          <w:numId w:val="0"/>
        </w:numPr>
        <w:spacing w:line="360" w:lineRule="auto"/>
        <w:ind w:left="0" w:firstLine="480" w:leftChars="0" w:firstLineChars="200"/>
        <w:rPr>
          <w:rFonts w:ascii="黑体" w:eastAsia="黑体" w:hAnsi="黑体" w:cs="黑体" w:hint="eastAsia"/>
          <w:b w:val="0"/>
          <w:bCs w:val="0"/>
          <w:color w:val="auto"/>
          <w:sz w:val="24"/>
        </w:rPr>
      </w:pPr>
      <w:r>
        <w:rPr>
          <w:rFonts w:ascii="仿宋_GB2312" w:eastAsia="仿宋_GB2312" w:hAnsi="仿宋_GB2312" w:cs="仿宋_GB2312" w:hint="eastAsia"/>
          <w:color w:val="auto"/>
          <w:sz w:val="24"/>
          <w:szCs w:val="24"/>
        </w:rPr>
        <w:t xml:space="preserve">    </w:t>
      </w:r>
    </w:p>
    <w:p>
      <w:pPr>
        <w:spacing w:line="360" w:lineRule="auto"/>
        <w:ind w:firstLine="0" w:firstLineChars="0"/>
        <w:jc w:val="both"/>
        <w:rPr>
          <w:rFonts w:asciiTheme="majorEastAsia" w:eastAsiaTheme="majorEastAsia" w:hAnsiTheme="majorEastAsia" w:cstheme="majorEastAsia" w:hint="eastAsia"/>
          <w:b/>
          <w:bCs/>
          <w:color w:val="auto"/>
          <w:sz w:val="28"/>
          <w:szCs w:val="28"/>
        </w:rPr>
      </w:pPr>
      <w:r>
        <w:rPr>
          <w:rFonts w:ascii="黑体" w:eastAsia="黑体" w:hAnsi="黑体" w:cs="黑体" w:hint="eastAsia"/>
          <w:b/>
          <w:bCs/>
          <w:color w:val="auto"/>
          <w:sz w:val="28"/>
          <w:szCs w:val="28"/>
          <w:lang w:eastAsia="zh-CN"/>
        </w:rPr>
        <w:t>二、</w:t>
      </w:r>
      <w:r>
        <w:rPr>
          <w:rFonts w:ascii="黑体" w:eastAsia="黑体" w:hAnsi="黑体" w:cs="黑体" w:hint="eastAsia"/>
          <w:b/>
          <w:bCs/>
          <w:color w:val="auto"/>
          <w:sz w:val="28"/>
          <w:szCs w:val="28"/>
        </w:rPr>
        <w:t>第二类精神药品管理制度</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根据国务院发布的《麻醉药品和精神药品管理条例》，为加强第二类精神药品的安全管理，保障药物</w:t>
      </w:r>
      <w:r>
        <w:rPr>
          <w:rFonts w:ascii="仿宋_GB2312" w:eastAsia="仿宋_GB2312" w:hAnsi="仿宋_GB2312" w:cs="仿宋_GB2312" w:hint="eastAsia"/>
          <w:color w:val="auto"/>
          <w:sz w:val="24"/>
          <w:szCs w:val="24"/>
          <w:lang w:eastAsia="zh-CN"/>
        </w:rPr>
        <w:t>安全</w:t>
      </w:r>
      <w:r>
        <w:rPr>
          <w:rFonts w:ascii="仿宋_GB2312" w:eastAsia="仿宋_GB2312" w:hAnsi="仿宋_GB2312" w:cs="仿宋_GB2312" w:hint="eastAsia"/>
          <w:color w:val="auto"/>
          <w:sz w:val="24"/>
          <w:szCs w:val="24"/>
        </w:rPr>
        <w:t>合理应用，按照</w:t>
      </w:r>
      <w:r>
        <w:rPr>
          <w:rFonts w:ascii="仿宋_GB2312" w:eastAsia="仿宋_GB2312" w:hAnsi="仿宋_GB2312" w:cs="仿宋_GB2312" w:hint="eastAsia"/>
          <w:color w:val="auto"/>
          <w:sz w:val="24"/>
          <w:szCs w:val="24"/>
          <w:lang w:eastAsia="zh-CN"/>
        </w:rPr>
        <w:t>《处方管理办法》等</w:t>
      </w:r>
      <w:r>
        <w:rPr>
          <w:rFonts w:ascii="仿宋_GB2312" w:eastAsia="仿宋_GB2312" w:hAnsi="仿宋_GB2312" w:cs="仿宋_GB2312" w:hint="eastAsia"/>
          <w:color w:val="auto"/>
          <w:sz w:val="24"/>
          <w:szCs w:val="24"/>
        </w:rPr>
        <w:t>法规的有关要求，结合医院药品管理的实际情况，制</w:t>
      </w:r>
      <w:r>
        <w:rPr>
          <w:rFonts w:ascii="仿宋_GB2312" w:eastAsia="仿宋_GB2312" w:hAnsi="仿宋_GB2312" w:cs="仿宋_GB2312" w:hint="eastAsia"/>
          <w:color w:val="auto"/>
          <w:sz w:val="24"/>
          <w:szCs w:val="24"/>
          <w:lang w:eastAsia="zh-CN"/>
        </w:rPr>
        <w:t>定</w:t>
      </w:r>
      <w:r>
        <w:rPr>
          <w:rFonts w:ascii="仿宋_GB2312" w:eastAsia="仿宋_GB2312" w:hAnsi="仿宋_GB2312" w:cs="仿宋_GB2312" w:hint="eastAsia"/>
          <w:color w:val="auto"/>
          <w:sz w:val="24"/>
          <w:szCs w:val="24"/>
        </w:rPr>
        <w:t>相关管理规定。</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（一）</w:t>
      </w:r>
      <w:r>
        <w:rPr>
          <w:rFonts w:ascii="仿宋_GB2312" w:eastAsia="仿宋_GB2312" w:hAnsi="仿宋_GB2312" w:cs="仿宋_GB2312" w:hint="eastAsia"/>
          <w:color w:val="auto"/>
          <w:sz w:val="24"/>
          <w:szCs w:val="24"/>
        </w:rPr>
        <w:t>定点采购。采购第二类精神药品，应当从药品监督管理部门批准的具有第二类精神药品经营资质企业购买。</w:t>
      </w:r>
    </w:p>
    <w:p>
      <w:pPr>
        <w:spacing w:line="360" w:lineRule="auto"/>
        <w:ind w:right="-197" w:firstLine="480" w:rightChars="-94"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（二）</w:t>
      </w:r>
      <w:r>
        <w:rPr>
          <w:rFonts w:ascii="仿宋_GB2312" w:eastAsia="仿宋_GB2312" w:hAnsi="仿宋_GB2312" w:cs="仿宋_GB2312" w:hint="eastAsia"/>
          <w:color w:val="auto"/>
          <w:sz w:val="24"/>
          <w:szCs w:val="24"/>
        </w:rPr>
        <w:t>双人验收。根据临床用药需求制定采购计划，购入药品双人验收，查验购药凭证，清点药品数量，检查药品质量，详细记录相关信息。</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color w:val="auto"/>
          <w:sz w:val="24"/>
          <w:szCs w:val="24"/>
          <w:lang w:eastAsia="zh-CN"/>
        </w:rPr>
        <w:t>（三）</w:t>
      </w:r>
      <w:r>
        <w:rPr>
          <w:rFonts w:ascii="仿宋_GB2312" w:eastAsia="仿宋_GB2312" w:hAnsi="仿宋_GB2312" w:cs="仿宋_GB2312" w:hint="eastAsia"/>
          <w:color w:val="auto"/>
          <w:sz w:val="24"/>
          <w:szCs w:val="24"/>
        </w:rPr>
        <w:t>专柜加锁储存。</w:t>
      </w:r>
      <w:r>
        <w:rPr>
          <w:rFonts w:ascii="仿宋_GB2312" w:eastAsia="仿宋_GB2312" w:hAnsi="仿宋_GB2312" w:cs="仿宋_GB2312" w:hint="eastAsia"/>
          <w:color w:val="auto"/>
          <w:sz w:val="24"/>
          <w:szCs w:val="24"/>
          <w:lang w:eastAsia="zh-CN"/>
        </w:rPr>
        <w:t>并</w:t>
      </w:r>
      <w:r>
        <w:rPr>
          <w:rFonts w:ascii="仿宋_GB2312" w:eastAsia="仿宋_GB2312" w:hAnsi="仿宋_GB2312" w:cs="仿宋_GB2312" w:hint="eastAsia"/>
          <w:b w:val="0"/>
          <w:bCs w:val="0"/>
          <w:i w:val="0"/>
          <w:caps w:val="0"/>
          <w:color w:val="auto"/>
          <w:spacing w:val="0"/>
          <w:sz w:val="24"/>
          <w:szCs w:val="24"/>
          <w:shd w:val="clear" w:color="auto" w:fill="FFFFFF"/>
        </w:rPr>
        <w:t>有明显</w:t>
      </w:r>
      <w:r>
        <w:rPr>
          <w:rFonts w:ascii="仿宋_GB2312" w:eastAsia="仿宋_GB2312" w:hAnsi="仿宋_GB2312" w:cs="仿宋_GB2312" w:hint="eastAsia"/>
          <w:b w:val="0"/>
          <w:bCs w:val="0"/>
          <w:i w:val="0"/>
          <w:caps w:val="0"/>
          <w:color w:val="auto"/>
          <w:spacing w:val="0"/>
          <w:sz w:val="24"/>
          <w:szCs w:val="24"/>
          <w:shd w:val="clear" w:color="auto" w:fill="FFFFFF"/>
          <w:lang w:eastAsia="zh-CN"/>
        </w:rPr>
        <w:t>的精二药品</w:t>
      </w:r>
      <w:r>
        <w:rPr>
          <w:rFonts w:ascii="仿宋_GB2312" w:eastAsia="仿宋_GB2312" w:hAnsi="仿宋_GB2312" w:cs="仿宋_GB2312" w:hint="eastAsia"/>
          <w:b w:val="0"/>
          <w:bCs w:val="0"/>
          <w:i w:val="0"/>
          <w:caps w:val="0"/>
          <w:color w:val="auto"/>
          <w:spacing w:val="0"/>
          <w:sz w:val="24"/>
          <w:szCs w:val="24"/>
          <w:shd w:val="clear" w:color="auto" w:fill="FFFFFF"/>
        </w:rPr>
        <w:t>标</w:t>
      </w:r>
      <w:r>
        <w:rPr>
          <w:rFonts w:ascii="仿宋_GB2312" w:eastAsia="仿宋_GB2312" w:hAnsi="仿宋_GB2312" w:cs="仿宋_GB2312" w:hint="eastAsia"/>
          <w:b w:val="0"/>
          <w:bCs w:val="0"/>
          <w:i w:val="0"/>
          <w:caps w:val="0"/>
          <w:color w:val="auto"/>
          <w:spacing w:val="0"/>
          <w:sz w:val="24"/>
          <w:szCs w:val="24"/>
          <w:shd w:val="clear" w:color="auto" w:fill="FFFFFF"/>
          <w:lang w:eastAsia="zh-CN"/>
        </w:rPr>
        <w:t>识</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储存药品</w:t>
      </w:r>
      <w:r>
        <w:rPr>
          <w:rFonts w:ascii="仿宋_GB2312" w:eastAsia="仿宋_GB2312" w:hAnsi="仿宋_GB2312" w:cs="仿宋_GB2312" w:hint="eastAsia"/>
          <w:b w:val="0"/>
          <w:bCs w:val="0"/>
          <w:color w:val="auto"/>
          <w:sz w:val="24"/>
          <w:szCs w:val="24"/>
          <w:lang w:eastAsia="zh-CN"/>
        </w:rPr>
        <w:t>库柜</w:t>
      </w:r>
      <w:r>
        <w:rPr>
          <w:rFonts w:ascii="仿宋_GB2312" w:eastAsia="仿宋_GB2312" w:hAnsi="仿宋_GB2312" w:cs="仿宋_GB2312" w:hint="eastAsia"/>
          <w:b w:val="0"/>
          <w:bCs w:val="0"/>
          <w:i w:val="0"/>
          <w:caps w:val="0"/>
          <w:color w:val="auto"/>
          <w:spacing w:val="0"/>
          <w:sz w:val="24"/>
          <w:szCs w:val="24"/>
          <w:shd w:val="clear" w:color="auto" w:fill="FFFFFF"/>
        </w:rPr>
        <w:t>应具有防火、防盗等安全设施</w:t>
      </w:r>
      <w:r>
        <w:rPr>
          <w:rFonts w:ascii="仿宋_GB2312" w:eastAsia="仿宋_GB2312" w:hAnsi="仿宋_GB2312" w:cs="仿宋_GB2312" w:hint="eastAsia"/>
          <w:b w:val="0"/>
          <w:bCs w:val="0"/>
          <w:i w:val="0"/>
          <w:caps w:val="0"/>
          <w:color w:val="auto"/>
          <w:spacing w:val="0"/>
          <w:sz w:val="24"/>
          <w:szCs w:val="24"/>
          <w:shd w:val="clear" w:color="auto" w:fill="FFFFFF"/>
          <w:lang w:eastAsia="zh-CN"/>
        </w:rPr>
        <w:t>设备。</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color w:val="auto"/>
          <w:sz w:val="24"/>
          <w:szCs w:val="24"/>
          <w:lang w:eastAsia="zh-CN"/>
        </w:rPr>
        <w:t>（四）</w:t>
      </w:r>
      <w:r>
        <w:rPr>
          <w:rFonts w:ascii="仿宋_GB2312" w:eastAsia="仿宋_GB2312" w:hAnsi="仿宋_GB2312" w:cs="仿宋_GB2312" w:hint="eastAsia"/>
          <w:color w:val="auto"/>
          <w:sz w:val="24"/>
          <w:szCs w:val="24"/>
        </w:rPr>
        <w:t>专用账目管理。调剂部门使用药品要做到“日清日结”</w:t>
      </w:r>
      <w:r>
        <w:rPr>
          <w:rFonts w:ascii="仿宋_GB2312" w:eastAsia="仿宋_GB2312" w:hAnsi="仿宋_GB2312" w:cs="仿宋_GB2312" w:hint="eastAsia"/>
          <w:b w:val="0"/>
          <w:bCs w:val="0"/>
          <w:color w:val="auto"/>
          <w:sz w:val="24"/>
          <w:szCs w:val="24"/>
          <w:lang w:eastAsia="zh-CN"/>
        </w:rPr>
        <w:t>专账记录、</w:t>
      </w:r>
      <w:r>
        <w:rPr>
          <w:rFonts w:ascii="仿宋_GB2312" w:eastAsia="仿宋_GB2312" w:hAnsi="仿宋_GB2312" w:cs="仿宋_GB2312" w:hint="eastAsia"/>
          <w:b w:val="0"/>
          <w:bCs w:val="0"/>
          <w:color w:val="auto"/>
          <w:sz w:val="24"/>
          <w:szCs w:val="24"/>
        </w:rPr>
        <w:t>定期盘点，做到账</w:t>
      </w:r>
      <w:r>
        <w:rPr>
          <w:rFonts w:ascii="仿宋_GB2312" w:eastAsia="仿宋_GB2312" w:hAnsi="仿宋_GB2312" w:cs="仿宋_GB2312" w:hint="eastAsia"/>
          <w:b w:val="0"/>
          <w:bCs w:val="0"/>
          <w:color w:val="auto"/>
          <w:sz w:val="24"/>
          <w:szCs w:val="24"/>
          <w:lang w:eastAsia="zh-CN"/>
        </w:rPr>
        <w:t>物</w:t>
      </w:r>
      <w:r>
        <w:rPr>
          <w:rFonts w:ascii="仿宋_GB2312" w:eastAsia="仿宋_GB2312" w:hAnsi="仿宋_GB2312" w:cs="仿宋_GB2312" w:hint="eastAsia"/>
          <w:b w:val="0"/>
          <w:bCs w:val="0"/>
          <w:color w:val="auto"/>
          <w:sz w:val="24"/>
          <w:szCs w:val="24"/>
        </w:rPr>
        <w:t>相符。</w:t>
      </w:r>
      <w:r>
        <w:rPr>
          <w:rFonts w:ascii="仿宋_GB2312" w:eastAsia="仿宋_GB2312" w:hAnsi="仿宋_GB2312" w:cs="仿宋_GB2312" w:hint="eastAsia"/>
          <w:b w:val="0"/>
          <w:bCs w:val="0"/>
          <w:i w:val="0"/>
          <w:caps w:val="0"/>
          <w:color w:val="auto"/>
          <w:spacing w:val="0"/>
          <w:sz w:val="24"/>
          <w:szCs w:val="24"/>
          <w:shd w:val="clear" w:color="auto" w:fill="FFFFFF"/>
        </w:rPr>
        <w:t>专用账册的保存期限应当自药品有效期满之日起不少于5年</w:t>
      </w:r>
      <w:r>
        <w:rPr>
          <w:rFonts w:ascii="仿宋_GB2312" w:eastAsia="仿宋_GB2312" w:hAnsi="仿宋_GB2312" w:cs="仿宋_GB2312" w:hint="eastAsia"/>
          <w:b w:val="0"/>
          <w:bCs w:val="0"/>
          <w:i w:val="0"/>
          <w:caps w:val="0"/>
          <w:color w:val="auto"/>
          <w:spacing w:val="0"/>
          <w:sz w:val="24"/>
          <w:szCs w:val="24"/>
          <w:shd w:val="clear" w:color="auto" w:fill="FFFFFF"/>
          <w:lang w:eastAsia="zh-CN"/>
        </w:rPr>
        <w:t>。</w:t>
      </w:r>
      <w:r>
        <w:rPr>
          <w:rFonts w:ascii="仿宋_GB2312" w:eastAsia="仿宋_GB2312" w:hAnsi="仿宋_GB2312" w:cs="仿宋_GB2312" w:hint="eastAsia"/>
          <w:b w:val="0"/>
          <w:bCs w:val="0"/>
          <w:i w:val="0"/>
          <w:caps w:val="0"/>
          <w:color w:val="auto"/>
          <w:spacing w:val="0"/>
          <w:sz w:val="24"/>
          <w:szCs w:val="24"/>
          <w:shd w:val="clear" w:color="auto" w:fill="FFFFFF"/>
        </w:rPr>
        <w:t> </w:t>
      </w:r>
      <w:r>
        <w:rPr>
          <w:rFonts w:ascii="仿宋_GB2312" w:eastAsia="仿宋_GB2312" w:hAnsi="仿宋_GB2312" w:cs="仿宋_GB2312" w:hint="eastAsia"/>
          <w:b w:val="0"/>
          <w:bCs w:val="0"/>
          <w:color w:val="auto"/>
          <w:sz w:val="24"/>
          <w:szCs w:val="24"/>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（五）</w:t>
      </w:r>
      <w:r>
        <w:rPr>
          <w:rFonts w:ascii="仿宋_GB2312" w:eastAsia="仿宋_GB2312" w:hAnsi="仿宋_GB2312" w:cs="仿宋_GB2312" w:hint="eastAsia"/>
          <w:color w:val="auto"/>
          <w:sz w:val="24"/>
          <w:szCs w:val="24"/>
        </w:rPr>
        <w:t>定期检查药品质量。对过期、损坏的药品要</w:t>
      </w:r>
      <w:r>
        <w:rPr>
          <w:rFonts w:ascii="仿宋_GB2312" w:eastAsia="仿宋_GB2312" w:hAnsi="仿宋_GB2312" w:cs="仿宋_GB2312" w:hint="eastAsia"/>
          <w:b w:val="0"/>
          <w:bCs w:val="0"/>
          <w:i w:val="0"/>
          <w:caps w:val="0"/>
          <w:color w:val="auto"/>
          <w:spacing w:val="0"/>
          <w:sz w:val="24"/>
          <w:szCs w:val="24"/>
          <w:shd w:val="clear" w:color="auto" w:fill="FFFFFF"/>
        </w:rPr>
        <w:t>立即停止使用</w:t>
      </w:r>
      <w:r>
        <w:rPr>
          <w:rFonts w:ascii="仿宋_GB2312" w:eastAsia="仿宋_GB2312" w:hAnsi="仿宋_GB2312" w:cs="仿宋_GB2312" w:hint="eastAsia"/>
          <w:b w:val="0"/>
          <w:bCs w:val="0"/>
          <w:i w:val="0"/>
          <w:caps w:val="0"/>
          <w:color w:val="auto"/>
          <w:spacing w:val="0"/>
          <w:sz w:val="24"/>
          <w:szCs w:val="24"/>
          <w:shd w:val="clear" w:color="auto" w:fill="FFFFFF"/>
          <w:lang w:eastAsia="zh-CN"/>
        </w:rPr>
        <w:t>，同时填写《不合格药品登记表》，</w:t>
      </w:r>
      <w:r>
        <w:rPr>
          <w:rFonts w:ascii="仿宋_GB2312" w:eastAsia="仿宋_GB2312" w:hAnsi="仿宋_GB2312" w:cs="仿宋_GB2312" w:hint="eastAsia"/>
          <w:b w:val="0"/>
          <w:bCs w:val="0"/>
          <w:color w:val="auto"/>
          <w:sz w:val="24"/>
          <w:szCs w:val="24"/>
          <w:lang w:eastAsia="zh-CN"/>
        </w:rPr>
        <w:t>统一收集定期交于总务科并建立交接登记本</w:t>
      </w:r>
      <w:r>
        <w:rPr>
          <w:rFonts w:ascii="仿宋_GB2312" w:eastAsia="仿宋_GB2312" w:hAnsi="仿宋_GB2312" w:cs="仿宋_GB2312" w:hint="eastAsia"/>
          <w:color w:val="auto"/>
          <w:sz w:val="24"/>
          <w:szCs w:val="24"/>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b w:val="0"/>
          <w:bCs w:val="0"/>
          <w:i w:val="0"/>
          <w:caps w:val="0"/>
          <w:color w:val="auto"/>
          <w:spacing w:val="0"/>
          <w:sz w:val="24"/>
          <w:szCs w:val="24"/>
          <w:shd w:val="clear" w:color="auto" w:fill="FFFFFF"/>
          <w:lang w:eastAsia="zh-CN"/>
        </w:rPr>
        <w:t>（六）</w:t>
      </w:r>
      <w:r>
        <w:rPr>
          <w:rFonts w:ascii="仿宋_GB2312" w:eastAsia="仿宋_GB2312" w:hAnsi="仿宋_GB2312" w:cs="仿宋_GB2312" w:hint="eastAsia"/>
          <w:b w:val="0"/>
          <w:bCs w:val="0"/>
          <w:i w:val="0"/>
          <w:caps w:val="0"/>
          <w:color w:val="auto"/>
          <w:spacing w:val="0"/>
          <w:sz w:val="24"/>
          <w:szCs w:val="24"/>
          <w:shd w:val="clear" w:color="auto" w:fill="FFFFFF"/>
        </w:rPr>
        <w:t>开具</w:t>
      </w:r>
      <w:r>
        <w:rPr>
          <w:rFonts w:ascii="仿宋_GB2312" w:eastAsia="仿宋_GB2312" w:hAnsi="仿宋_GB2312" w:cs="仿宋_GB2312" w:hint="eastAsia"/>
          <w:b w:val="0"/>
          <w:bCs w:val="0"/>
          <w:i w:val="0"/>
          <w:caps w:val="0"/>
          <w:color w:val="auto"/>
          <w:spacing w:val="0"/>
          <w:sz w:val="24"/>
          <w:szCs w:val="24"/>
          <w:shd w:val="clear" w:color="auto" w:fill="FFFFFF"/>
          <w:lang w:eastAsia="zh-CN"/>
        </w:rPr>
        <w:t>第</w:t>
      </w:r>
      <w:r>
        <w:rPr>
          <w:rFonts w:ascii="仿宋_GB2312" w:eastAsia="仿宋_GB2312" w:hAnsi="仿宋_GB2312" w:cs="仿宋_GB2312" w:hint="eastAsia"/>
          <w:b w:val="0"/>
          <w:bCs w:val="0"/>
          <w:i w:val="0"/>
          <w:caps w:val="0"/>
          <w:color w:val="auto"/>
          <w:spacing w:val="0"/>
          <w:sz w:val="24"/>
          <w:szCs w:val="24"/>
          <w:shd w:val="clear" w:color="auto" w:fill="FFFFFF"/>
        </w:rPr>
        <w:t>二类精神药品应使用专用处方。处方应书写完整、字迹清晰</w:t>
      </w:r>
      <w:r>
        <w:rPr>
          <w:rFonts w:ascii="仿宋_GB2312" w:eastAsia="仿宋_GB2312" w:hAnsi="仿宋_GB2312" w:cs="仿宋_GB2312" w:hint="eastAsia"/>
          <w:b w:val="0"/>
          <w:bCs w:val="0"/>
          <w:color w:val="auto"/>
          <w:sz w:val="24"/>
          <w:szCs w:val="24"/>
        </w:rPr>
        <w:t>，处</w:t>
      </w:r>
      <w:r>
        <w:rPr>
          <w:rFonts w:ascii="仿宋_GB2312" w:eastAsia="仿宋_GB2312" w:hAnsi="仿宋_GB2312" w:cs="仿宋_GB2312" w:hint="eastAsia"/>
          <w:color w:val="auto"/>
          <w:sz w:val="24"/>
          <w:szCs w:val="24"/>
        </w:rPr>
        <w:t>方至少保存2年。</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（七）</w:t>
      </w:r>
      <w:r>
        <w:rPr>
          <w:rFonts w:ascii="仿宋_GB2312" w:eastAsia="仿宋_GB2312" w:hAnsi="仿宋_GB2312" w:cs="仿宋_GB2312" w:hint="eastAsia"/>
          <w:color w:val="auto"/>
          <w:sz w:val="24"/>
          <w:szCs w:val="24"/>
        </w:rPr>
        <w:t>认真审核处方，促进合理用药。严格按照规定的药品适应症、用法、用量使用药品，</w:t>
      </w:r>
      <w:r>
        <w:rPr>
          <w:rFonts w:ascii="仿宋_GB2312" w:eastAsia="仿宋_GB2312" w:hAnsi="仿宋_GB2312" w:cs="仿宋_GB2312" w:hint="eastAsia"/>
          <w:color w:val="auto"/>
          <w:sz w:val="24"/>
          <w:szCs w:val="24"/>
          <w:lang w:eastAsia="zh-CN"/>
        </w:rPr>
        <w:t>做</w:t>
      </w:r>
      <w:r>
        <w:rPr>
          <w:rFonts w:ascii="仿宋_GB2312" w:eastAsia="仿宋_GB2312" w:hAnsi="仿宋_GB2312" w:cs="仿宋_GB2312" w:hint="eastAsia"/>
          <w:color w:val="auto"/>
          <w:sz w:val="24"/>
          <w:szCs w:val="24"/>
        </w:rPr>
        <w:t>好用药指导</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b w:val="0"/>
          <w:bCs w:val="0"/>
          <w:i w:val="0"/>
          <w:caps w:val="0"/>
          <w:color w:val="auto"/>
          <w:spacing w:val="0"/>
          <w:sz w:val="24"/>
          <w:szCs w:val="24"/>
          <w:shd w:val="clear" w:color="auto" w:fill="FFFFFF"/>
        </w:rPr>
        <w:t>第二类精神药品处方一般不得超过7日用量</w:t>
      </w:r>
      <w:r>
        <w:rPr>
          <w:rFonts w:ascii="仿宋_GB2312" w:eastAsia="仿宋_GB2312" w:hAnsi="仿宋_GB2312" w:cs="仿宋_GB2312" w:hint="eastAsia"/>
          <w:b w:val="0"/>
          <w:bCs w:val="0"/>
          <w:i w:val="0"/>
          <w:caps w:val="0"/>
          <w:color w:val="auto"/>
          <w:spacing w:val="0"/>
          <w:sz w:val="24"/>
          <w:szCs w:val="24"/>
          <w:shd w:val="clear" w:color="auto" w:fill="FFFFFF"/>
          <w:lang w:eastAsia="zh-CN"/>
        </w:rPr>
        <w:t>，</w:t>
      </w:r>
      <w:r>
        <w:rPr>
          <w:rFonts w:ascii="仿宋_GB2312" w:eastAsia="仿宋_GB2312" w:hAnsi="仿宋_GB2312" w:cs="仿宋_GB2312" w:hint="eastAsia"/>
          <w:b w:val="0"/>
          <w:bCs w:val="0"/>
          <w:i w:val="0"/>
          <w:caps w:val="0"/>
          <w:color w:val="auto"/>
          <w:spacing w:val="0"/>
          <w:sz w:val="24"/>
          <w:szCs w:val="24"/>
          <w:shd w:val="clear" w:color="auto" w:fill="FFFFFF"/>
        </w:rPr>
        <w:t>对于慢性病、老年病或某些特殊情况，处方用量可适当延长，但医师应当注明理由。</w:t>
      </w:r>
      <w:r>
        <w:rPr>
          <w:rFonts w:ascii="仿宋_GB2312" w:eastAsia="仿宋_GB2312" w:hAnsi="仿宋_GB2312" w:cs="仿宋_GB2312" w:hint="eastAsia"/>
          <w:b w:val="0"/>
          <w:bCs w:val="0"/>
          <w:color w:val="auto"/>
          <w:sz w:val="24"/>
          <w:szCs w:val="24"/>
          <w:lang w:eastAsia="zh-CN"/>
        </w:rPr>
        <w:t>药师调配处方</w:t>
      </w:r>
      <w:r>
        <w:rPr>
          <w:rFonts w:ascii="仿宋_GB2312" w:eastAsia="仿宋_GB2312" w:hAnsi="仿宋_GB2312" w:cs="仿宋_GB2312" w:hint="eastAsia"/>
          <w:b w:val="0"/>
          <w:bCs w:val="0"/>
          <w:color w:val="auto"/>
          <w:sz w:val="24"/>
          <w:szCs w:val="24"/>
        </w:rPr>
        <w:t>应当仔细</w:t>
      </w:r>
      <w:r>
        <w:rPr>
          <w:rFonts w:ascii="仿宋_GB2312" w:eastAsia="仿宋_GB2312" w:hAnsi="仿宋_GB2312" w:cs="仿宋_GB2312" w:hint="eastAsia"/>
          <w:b w:val="0"/>
          <w:bCs w:val="0"/>
          <w:color w:val="auto"/>
          <w:sz w:val="24"/>
          <w:szCs w:val="24"/>
          <w:lang w:eastAsia="zh-CN"/>
        </w:rPr>
        <w:t>审核</w:t>
      </w:r>
      <w:r>
        <w:rPr>
          <w:rFonts w:ascii="仿宋_GB2312" w:eastAsia="仿宋_GB2312" w:hAnsi="仿宋_GB2312" w:cs="仿宋_GB2312" w:hint="eastAsia"/>
          <w:b w:val="0"/>
          <w:bCs w:val="0"/>
          <w:color w:val="auto"/>
          <w:sz w:val="24"/>
          <w:szCs w:val="24"/>
        </w:rPr>
        <w:t>，做到“四查十对”</w:t>
      </w:r>
      <w:r>
        <w:rPr>
          <w:rFonts w:ascii="仿宋_GB2312" w:eastAsia="仿宋_GB2312" w:hAnsi="仿宋_GB2312" w:cs="仿宋_GB2312" w:hint="eastAsia"/>
          <w:b w:val="0"/>
          <w:bCs w:val="0"/>
          <w:color w:val="auto"/>
          <w:sz w:val="24"/>
          <w:szCs w:val="24"/>
          <w:lang w:val="en-US" w:eastAsia="zh-CN"/>
        </w:rPr>
        <w:t>,</w:t>
      </w:r>
      <w:r>
        <w:rPr>
          <w:rFonts w:ascii="仿宋_GB2312" w:eastAsia="仿宋_GB2312" w:hAnsi="仿宋_GB2312" w:cs="仿宋_GB2312" w:hint="eastAsia"/>
          <w:b w:val="0"/>
          <w:bCs w:val="0"/>
          <w:color w:val="auto"/>
          <w:sz w:val="24"/>
          <w:szCs w:val="24"/>
        </w:rPr>
        <w:t>确认无误后方可调配。对于用药不</w:t>
      </w:r>
      <w:r>
        <w:rPr>
          <w:rFonts w:ascii="仿宋_GB2312" w:eastAsia="仿宋_GB2312" w:hAnsi="仿宋_GB2312" w:cs="仿宋_GB2312" w:hint="eastAsia"/>
          <w:color w:val="auto"/>
          <w:sz w:val="24"/>
          <w:szCs w:val="24"/>
        </w:rPr>
        <w:t>合理的处方应当拒绝调配。要防止重复取药，避免套购药品的现象发生。</w:t>
      </w:r>
    </w:p>
    <w:p>
      <w:pPr>
        <w:spacing w:line="360" w:lineRule="auto"/>
        <w:jc w:val="both"/>
        <w:rPr>
          <w:rFonts w:ascii="方正小标宋_GBK" w:eastAsia="方正小标宋_GBK" w:hAnsi="方正小标宋_GBK" w:cs="方正小标宋_GBK" w:hint="eastAsia"/>
          <w:b/>
          <w:bCs w:val="0"/>
          <w:color w:val="auto"/>
          <w:sz w:val="28"/>
          <w:szCs w:val="28"/>
        </w:rPr>
      </w:pPr>
      <w:r>
        <w:rPr>
          <w:rFonts w:ascii="黑体" w:eastAsia="黑体" w:hAnsi="黑体" w:cs="黑体" w:hint="eastAsia"/>
          <w:b/>
          <w:bCs w:val="0"/>
          <w:color w:val="auto"/>
          <w:sz w:val="28"/>
          <w:szCs w:val="28"/>
          <w:lang w:eastAsia="zh-CN"/>
        </w:rPr>
        <w:t>三、</w:t>
      </w:r>
      <w:r>
        <w:rPr>
          <w:rFonts w:ascii="黑体" w:eastAsia="黑体" w:hAnsi="黑体" w:cs="黑体" w:hint="eastAsia"/>
          <w:b/>
          <w:bCs w:val="0"/>
          <w:color w:val="auto"/>
          <w:sz w:val="28"/>
          <w:szCs w:val="28"/>
        </w:rPr>
        <w:t>麻</w:t>
      </w:r>
      <w:r>
        <w:rPr>
          <w:rFonts w:ascii="黑体" w:eastAsia="黑体" w:hAnsi="黑体" w:cs="黑体" w:hint="eastAsia"/>
          <w:b/>
          <w:bCs w:val="0"/>
          <w:color w:val="auto"/>
          <w:sz w:val="28"/>
          <w:szCs w:val="28"/>
          <w:lang w:eastAsia="zh-CN"/>
        </w:rPr>
        <w:t>、</w:t>
      </w:r>
      <w:r>
        <w:rPr>
          <w:rFonts w:ascii="黑体" w:eastAsia="黑体" w:hAnsi="黑体" w:cs="黑体" w:hint="eastAsia"/>
          <w:b/>
          <w:bCs w:val="0"/>
          <w:color w:val="auto"/>
          <w:sz w:val="28"/>
          <w:szCs w:val="28"/>
        </w:rPr>
        <w:t>精药品三级管理制度</w:t>
      </w:r>
    </w:p>
    <w:p>
      <w:pPr>
        <w:spacing w:line="360" w:lineRule="auto"/>
        <w:ind w:firstLine="480" w:firstLineChars="200"/>
        <w:jc w:val="both"/>
        <w:rPr>
          <w:rFonts w:ascii="仿宋_GB2312" w:eastAsia="仿宋_GB2312" w:hAnsi="仿宋_GB2312" w:cs="仿宋_GB2312" w:hint="eastAsia"/>
          <w:b w:val="0"/>
          <w:bCs/>
          <w:color w:val="auto"/>
          <w:sz w:val="24"/>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Ansi="仿宋_GB2312" w:cs="仿宋_GB2312" w:hint="eastAsia"/>
          <w:b w:val="0"/>
          <w:bCs/>
          <w:color w:val="auto"/>
          <w:sz w:val="24"/>
          <w:szCs w:val="24"/>
          <w:lang w:eastAsia="zh-CN"/>
        </w:rPr>
        <w:t>为规范医院麻醉药品、第一类精神药品管理，严格</w:t>
      </w:r>
    </w:p>
    <w:p>
      <w:pPr>
        <w:spacing w:line="360" w:lineRule="auto"/>
        <w:ind w:firstLine="480" w:firstLineChars="200"/>
        <w:jc w:val="both"/>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val="en-US" w:eastAsia="zh-CN"/>
        </w:rPr>
        <w:t>按照《麻醉药品管理办法》使用，</w:t>
      </w:r>
      <w:r>
        <w:rPr>
          <w:rFonts w:ascii="仿宋_GB2312" w:eastAsia="仿宋_GB2312" w:hAnsi="仿宋_GB2312" w:cs="仿宋_GB2312" w:hint="eastAsia"/>
          <w:b w:val="0"/>
          <w:bCs/>
          <w:color w:val="auto"/>
          <w:sz w:val="24"/>
          <w:szCs w:val="24"/>
          <w:lang w:eastAsia="zh-CN"/>
        </w:rPr>
        <w:t>确保各环节安全，药学部严格执行有关规定，实行三级管理。</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 </w:t>
      </w:r>
      <w:r>
        <w:rPr>
          <w:rFonts w:ascii="仿宋_GB2312" w:eastAsia="仿宋_GB2312" w:hAnsi="仿宋_GB2312" w:cs="仿宋_GB2312" w:hint="eastAsia"/>
          <w:b w:val="0"/>
          <w:bCs w:val="0"/>
          <w:color w:val="auto"/>
          <w:sz w:val="24"/>
          <w:szCs w:val="24"/>
          <w:lang w:eastAsia="zh-CN"/>
        </w:rPr>
        <w:t>（一）</w:t>
      </w:r>
      <w:r>
        <w:rPr>
          <w:rFonts w:ascii="仿宋_GB2312" w:eastAsia="仿宋_GB2312" w:hAnsi="仿宋_GB2312" w:cs="仿宋_GB2312" w:hint="eastAsia"/>
          <w:b w:val="0"/>
          <w:bCs w:val="0"/>
          <w:color w:val="auto"/>
          <w:sz w:val="24"/>
          <w:szCs w:val="24"/>
        </w:rPr>
        <w:t>药库入库验收及出入库管理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麻醉药品、第一类精神药品入库验收及领用管理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定点批发企业双人配送麻精药品到货后由药品保管员对实物进行双人按照验收、核对程序进行验收。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保管员双人签字做好相关登记后入库。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药品保管员严格按照麻精药品专柜加锁管理原则保管储存。</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麻醉药品、第一类精神药品出库管理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各药房麻醉药品、第一类精神药品实行基数管理。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药房凭请领单同时附上与请领单内容相符的麻醉药品、第一类精神药品处方，按照相关管理规定到药库领取药品。</w:t>
      </w:r>
    </w:p>
    <w:p>
      <w:pPr>
        <w:spacing w:line="360" w:lineRule="auto"/>
        <w:rPr>
          <w:rFonts w:ascii="仿宋_GB2312" w:eastAsia="仿宋_GB2312" w:hAnsi="仿宋_GB2312" w:cs="仿宋_GB2312" w:hint="eastAsia"/>
          <w:b/>
          <w:color w:val="auto"/>
          <w:sz w:val="24"/>
        </w:rPr>
      </w:pPr>
      <w:r>
        <w:rPr>
          <w:rFonts w:ascii="仿宋_GB2312" w:eastAsia="仿宋_GB2312" w:hAnsi="仿宋_GB2312" w:cs="仿宋_GB2312" w:hint="eastAsia"/>
          <w:b/>
          <w:color w:val="auto"/>
          <w:sz w:val="24"/>
          <w:szCs w:val="24"/>
        </w:rPr>
        <w:t xml:space="preserve">    </w:t>
      </w:r>
      <w:r>
        <w:rPr>
          <w:rFonts w:ascii="仿宋_GB2312" w:eastAsia="仿宋_GB2312" w:hAnsi="仿宋_GB2312" w:cs="仿宋_GB2312" w:hint="eastAsia"/>
          <w:b w:val="0"/>
          <w:bCs/>
          <w:color w:val="auto"/>
          <w:sz w:val="24"/>
          <w:szCs w:val="24"/>
        </w:rPr>
        <w:t xml:space="preserve"> </w:t>
      </w:r>
      <w:r>
        <w:rPr>
          <w:rFonts w:ascii="仿宋_GB2312" w:eastAsia="仿宋_GB2312" w:hAnsi="仿宋_GB2312" w:cs="仿宋_GB2312" w:hint="eastAsia"/>
          <w:b w:val="0"/>
          <w:bCs/>
          <w:color w:val="auto"/>
          <w:sz w:val="24"/>
          <w:szCs w:val="24"/>
          <w:lang w:eastAsia="zh-CN"/>
        </w:rPr>
        <w:t>（二）</w:t>
      </w:r>
      <w:r>
        <w:rPr>
          <w:rFonts w:ascii="仿宋_GB2312" w:eastAsia="仿宋_GB2312" w:hAnsi="仿宋_GB2312" w:cs="仿宋_GB2312" w:hint="eastAsia"/>
          <w:b w:val="0"/>
          <w:bCs/>
          <w:color w:val="auto"/>
          <w:sz w:val="24"/>
          <w:szCs w:val="24"/>
        </w:rPr>
        <w:t>药房请领及发放管理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各药房建立基数，经</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同意后按基数至药库请领麻精药品。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各病区向</w:t>
      </w:r>
      <w:r>
        <w:rPr>
          <w:rFonts w:ascii="仿宋_GB2312" w:eastAsia="仿宋_GB2312" w:hAnsi="仿宋_GB2312" w:cs="仿宋_GB2312" w:hint="eastAsia"/>
          <w:color w:val="auto"/>
          <w:sz w:val="24"/>
          <w:szCs w:val="24"/>
          <w:lang w:eastAsia="zh-CN"/>
        </w:rPr>
        <w:t>住院</w:t>
      </w:r>
      <w:r>
        <w:rPr>
          <w:rFonts w:ascii="仿宋_GB2312" w:eastAsia="仿宋_GB2312" w:hAnsi="仿宋_GB2312" w:cs="仿宋_GB2312" w:hint="eastAsia"/>
          <w:color w:val="auto"/>
          <w:sz w:val="24"/>
          <w:szCs w:val="24"/>
        </w:rPr>
        <w:t>药房传送患者用药信息。工作人员持医师开具的规范的麻精药品专用处方到</w:t>
      </w:r>
      <w:r>
        <w:rPr>
          <w:rFonts w:ascii="仿宋_GB2312" w:eastAsia="仿宋_GB2312" w:hAnsi="仿宋_GB2312" w:cs="仿宋_GB2312" w:hint="eastAsia"/>
          <w:color w:val="auto"/>
          <w:sz w:val="24"/>
          <w:szCs w:val="24"/>
          <w:lang w:eastAsia="zh-CN"/>
        </w:rPr>
        <w:t>住院</w:t>
      </w:r>
      <w:r>
        <w:rPr>
          <w:rFonts w:ascii="仿宋_GB2312" w:eastAsia="仿宋_GB2312" w:hAnsi="仿宋_GB2312" w:cs="仿宋_GB2312" w:hint="eastAsia"/>
          <w:color w:val="auto"/>
          <w:sz w:val="24"/>
          <w:szCs w:val="24"/>
        </w:rPr>
        <w:t>药房领取。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药师按规定审核</w:t>
      </w:r>
      <w:r>
        <w:rPr>
          <w:rFonts w:ascii="仿宋_GB2312" w:eastAsia="仿宋_GB2312" w:hAnsi="仿宋_GB2312" w:cs="仿宋_GB2312" w:hint="eastAsia"/>
          <w:color w:val="auto"/>
          <w:sz w:val="24"/>
          <w:szCs w:val="24"/>
          <w:lang w:eastAsia="zh-CN"/>
        </w:rPr>
        <w:t>麻醉</w:t>
      </w:r>
      <w:r>
        <w:rPr>
          <w:rFonts w:ascii="仿宋_GB2312" w:eastAsia="仿宋_GB2312" w:hAnsi="仿宋_GB2312" w:cs="仿宋_GB2312" w:hint="eastAsia"/>
          <w:color w:val="auto"/>
          <w:sz w:val="24"/>
          <w:szCs w:val="24"/>
        </w:rPr>
        <w:t>处方，</w:t>
      </w:r>
      <w:r>
        <w:rPr>
          <w:rFonts w:ascii="仿宋_GB2312" w:eastAsia="仿宋_GB2312" w:hAnsi="仿宋_GB2312" w:cs="仿宋_GB2312" w:hint="eastAsia"/>
          <w:color w:val="auto"/>
          <w:sz w:val="24"/>
          <w:szCs w:val="24"/>
          <w:lang w:eastAsia="zh-CN"/>
        </w:rPr>
        <w:t>审核</w:t>
      </w:r>
      <w:r>
        <w:rPr>
          <w:rFonts w:ascii="仿宋_GB2312" w:eastAsia="仿宋_GB2312" w:hAnsi="仿宋_GB2312" w:cs="仿宋_GB2312" w:hint="eastAsia"/>
          <w:color w:val="auto"/>
          <w:sz w:val="24"/>
          <w:szCs w:val="24"/>
        </w:rPr>
        <w:t>无误后回收注射剂空安瓿</w:t>
      </w:r>
      <w:r>
        <w:rPr>
          <w:rFonts w:ascii="仿宋_GB2312" w:eastAsia="仿宋_GB2312" w:hAnsi="仿宋_GB2312" w:cs="仿宋_GB2312" w:hint="eastAsia"/>
          <w:color w:val="auto"/>
          <w:sz w:val="24"/>
          <w:szCs w:val="24"/>
          <w:lang w:eastAsia="zh-CN"/>
        </w:rPr>
        <w:t>并发放麻精药品</w:t>
      </w:r>
      <w:r>
        <w:rPr>
          <w:rFonts w:ascii="仿宋_GB2312" w:eastAsia="仿宋_GB2312" w:hAnsi="仿宋_GB2312" w:cs="仿宋_GB2312" w:hint="eastAsia"/>
          <w:color w:val="auto"/>
          <w:sz w:val="24"/>
          <w:szCs w:val="24"/>
        </w:rPr>
        <w:t>。 </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（三）</w:t>
      </w:r>
      <w:r>
        <w:rPr>
          <w:rFonts w:ascii="仿宋_GB2312" w:eastAsia="仿宋_GB2312" w:hAnsi="仿宋_GB2312" w:cs="仿宋_GB2312" w:hint="eastAsia"/>
          <w:b w:val="0"/>
          <w:bCs/>
          <w:color w:val="auto"/>
          <w:sz w:val="24"/>
          <w:szCs w:val="24"/>
        </w:rPr>
        <w:t>病区基数管理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病区根据实际使用情况提交书面申请，报</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和医务科审批同意，建立病区基数。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病区人员持基数表至</w:t>
      </w:r>
      <w:r>
        <w:rPr>
          <w:rFonts w:ascii="仿宋_GB2312" w:eastAsia="仿宋_GB2312" w:hAnsi="仿宋_GB2312" w:cs="仿宋_GB2312" w:hint="eastAsia"/>
          <w:color w:val="auto"/>
          <w:sz w:val="24"/>
          <w:szCs w:val="24"/>
          <w:lang w:eastAsia="zh-CN"/>
        </w:rPr>
        <w:t>库房</w:t>
      </w:r>
      <w:r>
        <w:rPr>
          <w:rFonts w:ascii="仿宋_GB2312" w:eastAsia="仿宋_GB2312" w:hAnsi="仿宋_GB2312" w:cs="仿宋_GB2312" w:hint="eastAsia"/>
          <w:color w:val="auto"/>
          <w:sz w:val="24"/>
          <w:szCs w:val="24"/>
        </w:rPr>
        <w:t>，由</w:t>
      </w:r>
      <w:r>
        <w:rPr>
          <w:rFonts w:ascii="仿宋_GB2312" w:eastAsia="仿宋_GB2312" w:hAnsi="仿宋_GB2312" w:cs="仿宋_GB2312" w:hint="eastAsia"/>
          <w:color w:val="auto"/>
          <w:sz w:val="24"/>
          <w:szCs w:val="24"/>
          <w:lang w:eastAsia="zh-CN"/>
        </w:rPr>
        <w:t>库房</w:t>
      </w:r>
      <w:r>
        <w:rPr>
          <w:rFonts w:ascii="仿宋_GB2312" w:eastAsia="仿宋_GB2312" w:hAnsi="仿宋_GB2312" w:cs="仿宋_GB2312" w:hint="eastAsia"/>
          <w:color w:val="auto"/>
          <w:sz w:val="24"/>
          <w:szCs w:val="24"/>
        </w:rPr>
        <w:t>负责人确认后发药并记录。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麻精药品放入病区麻精药品专柜，由专人负责，医师开具专用处方取药，并专册登记。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定期到病区检查麻精药品的使用登记情况。 </w:t>
      </w:r>
    </w:p>
    <w:p>
      <w:pPr>
        <w:numPr>
          <w:ilvl w:val="0"/>
          <w:numId w:val="0"/>
        </w:numPr>
        <w:spacing w:line="360" w:lineRule="auto"/>
        <w:ind w:firstLine="480" w:firstLineChars="200"/>
        <w:jc w:val="both"/>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患者停止使用麻精药品，立即停止发药，将剩余药品无偿交回药房。</w:t>
      </w:r>
    </w:p>
    <w:p>
      <w:pPr>
        <w:numPr>
          <w:ilvl w:val="0"/>
          <w:numId w:val="0"/>
        </w:numPr>
        <w:spacing w:line="360" w:lineRule="auto"/>
        <w:ind w:firstLine="480" w:firstLineChars="200"/>
        <w:jc w:val="both"/>
        <w:rPr>
          <w:rFonts w:ascii="仿宋_GB2312" w:eastAsia="仿宋_GB2312" w:hAnsi="仿宋_GB2312" w:cs="仿宋_GB2312" w:hint="eastAsia"/>
          <w:color w:val="auto"/>
          <w:sz w:val="24"/>
        </w:rPr>
      </w:pPr>
    </w:p>
    <w:p>
      <w:pPr>
        <w:spacing w:line="360" w:lineRule="auto"/>
        <w:jc w:val="both"/>
        <w:rPr>
          <w:rFonts w:ascii="黑体" w:eastAsia="黑体" w:hAnsi="黑体" w:cs="黑体" w:hint="eastAsia"/>
          <w:b/>
          <w:bCs w:val="0"/>
          <w:color w:val="auto"/>
          <w:sz w:val="28"/>
          <w:szCs w:val="28"/>
        </w:rPr>
      </w:pPr>
      <w:r>
        <w:rPr>
          <w:rFonts w:ascii="黑体" w:eastAsia="黑体" w:hAnsi="黑体" w:cs="黑体" w:hint="eastAsia"/>
          <w:b/>
          <w:bCs w:val="0"/>
          <w:color w:val="auto"/>
          <w:sz w:val="28"/>
          <w:szCs w:val="28"/>
          <w:lang w:eastAsia="zh-CN"/>
        </w:rPr>
        <w:t>四、</w:t>
      </w:r>
      <w:r>
        <w:rPr>
          <w:rFonts w:ascii="黑体" w:eastAsia="黑体" w:hAnsi="黑体" w:cs="黑体" w:hint="eastAsia"/>
          <w:b/>
          <w:bCs w:val="0"/>
          <w:color w:val="auto"/>
          <w:sz w:val="28"/>
          <w:szCs w:val="28"/>
        </w:rPr>
        <w:t>麻、精药品“五专”管理制度</w:t>
      </w:r>
    </w:p>
    <w:p>
      <w:pPr>
        <w:spacing w:line="360" w:lineRule="auto"/>
        <w:ind w:firstLine="480" w:firstLineChars="200"/>
        <w:jc w:val="both"/>
        <w:rPr>
          <w:rFonts w:ascii="仿宋_GB2312" w:eastAsia="仿宋_GB2312" w:hAnsi="仿宋_GB2312" w:cs="仿宋_GB2312" w:hint="eastAsia"/>
          <w:b/>
          <w:color w:val="auto"/>
          <w:sz w:val="24"/>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_GB2312" w:eastAsia="仿宋_GB2312" w:hAnsi="仿宋_GB2312" w:cs="仿宋_GB2312" w:hint="eastAsia"/>
          <w:b w:val="0"/>
          <w:bCs/>
          <w:color w:val="auto"/>
          <w:sz w:val="24"/>
          <w:szCs w:val="24"/>
          <w:lang w:eastAsia="zh-CN"/>
        </w:rPr>
        <w:t>为规范医院麻醉药品、第一类精神药品管理，严格</w:t>
      </w:r>
      <w:r>
        <w:rPr>
          <w:rFonts w:ascii="仿宋_GB2312" w:eastAsia="仿宋_GB2312" w:hAnsi="仿宋_GB2312" w:cs="仿宋_GB2312" w:hint="eastAsia"/>
          <w:b w:val="0"/>
          <w:bCs/>
          <w:color w:val="auto"/>
          <w:sz w:val="24"/>
          <w:szCs w:val="24"/>
          <w:lang w:val="en-US" w:eastAsia="zh-CN"/>
        </w:rPr>
        <w:t>按照《麻醉药品管理办法》使用，</w:t>
      </w:r>
      <w:r>
        <w:rPr>
          <w:rFonts w:ascii="仿宋_GB2312" w:eastAsia="仿宋_GB2312" w:hAnsi="仿宋_GB2312" w:cs="仿宋_GB2312" w:hint="eastAsia"/>
          <w:b w:val="0"/>
          <w:bCs/>
          <w:color w:val="auto"/>
          <w:sz w:val="24"/>
          <w:szCs w:val="24"/>
          <w:lang w:eastAsia="zh-CN"/>
        </w:rPr>
        <w:t>确保各环节安全，药学部严格执行有关规定，实行“五专”管理。</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（一）</w:t>
      </w:r>
      <w:r>
        <w:rPr>
          <w:rFonts w:ascii="仿宋_GB2312" w:eastAsia="仿宋_GB2312" w:hAnsi="仿宋_GB2312" w:cs="仿宋_GB2312" w:hint="eastAsia"/>
          <w:b w:val="0"/>
          <w:bCs/>
          <w:color w:val="auto"/>
          <w:sz w:val="24"/>
          <w:szCs w:val="24"/>
        </w:rPr>
        <w:t>专人管理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药库由专人合理申报计划，保持合理库存。药品采购人员须经过批准，凭“印鉴卡”向省、市定点</w:t>
      </w:r>
      <w:r>
        <w:rPr>
          <w:rFonts w:ascii="仿宋_GB2312" w:eastAsia="仿宋_GB2312" w:hAnsi="仿宋_GB2312" w:cs="仿宋_GB2312" w:hint="eastAsia"/>
          <w:color w:val="auto"/>
          <w:sz w:val="24"/>
          <w:szCs w:val="24"/>
          <w:lang w:eastAsia="zh-CN"/>
        </w:rPr>
        <w:t>有资质的</w:t>
      </w:r>
      <w:r>
        <w:rPr>
          <w:rFonts w:ascii="仿宋_GB2312" w:eastAsia="仿宋_GB2312" w:hAnsi="仿宋_GB2312" w:cs="仿宋_GB2312" w:hint="eastAsia"/>
          <w:color w:val="auto"/>
          <w:sz w:val="24"/>
          <w:szCs w:val="24"/>
        </w:rPr>
        <w:t>企业购买麻醉药品和第一类精神药品。计划采购的麻醉药品、第一类精神药品应由药品经营企业</w:t>
      </w:r>
      <w:r>
        <w:rPr>
          <w:rFonts w:ascii="仿宋_GB2312" w:eastAsia="仿宋_GB2312" w:hAnsi="仿宋_GB2312" w:cs="仿宋_GB2312" w:hint="eastAsia"/>
          <w:color w:val="auto"/>
          <w:sz w:val="24"/>
          <w:szCs w:val="24"/>
          <w:lang w:eastAsia="zh-CN"/>
        </w:rPr>
        <w:t>直接</w:t>
      </w:r>
      <w:r>
        <w:rPr>
          <w:rFonts w:ascii="仿宋_GB2312" w:eastAsia="仿宋_GB2312" w:hAnsi="仿宋_GB2312" w:cs="仿宋_GB2312" w:hint="eastAsia"/>
          <w:color w:val="auto"/>
          <w:sz w:val="24"/>
          <w:szCs w:val="24"/>
        </w:rPr>
        <w:t>送到药库，采购、保管人员不得自行提货。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入库验收，必须货到即验，双人开箱验收，清点验收到最小包装，验收记录双人签字。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入库验收采用专簿记录，包括：日期、凭证号、</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r>
        <w:rPr>
          <w:rFonts w:ascii="仿宋_GB2312" w:eastAsia="仿宋_GB2312" w:hAnsi="仿宋_GB2312" w:cs="仿宋_GB2312" w:hint="eastAsia"/>
          <w:color w:val="auto"/>
          <w:sz w:val="24"/>
          <w:szCs w:val="24"/>
        </w:rPr>
        <w:t>、剂型、规格、单位、数量、批号、有效期、生产单位、供货单位、质量情况、验收结论、验收和保管人员签字等内容。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在验收中发现缺少、缺损的麻醉药品和第一类精神药品应当双人清点登记，上报科主任和分管院长批准，并加盖公章后再由药品采购人员向供货单位查询、处理。 </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（二）</w:t>
      </w:r>
      <w:r>
        <w:rPr>
          <w:rFonts w:ascii="仿宋_GB2312" w:eastAsia="仿宋_GB2312" w:hAnsi="仿宋_GB2312" w:cs="仿宋_GB2312" w:hint="eastAsia"/>
          <w:b w:val="0"/>
          <w:bCs/>
          <w:color w:val="auto"/>
          <w:sz w:val="24"/>
          <w:szCs w:val="24"/>
        </w:rPr>
        <w:t>专柜加锁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药库、药房、各病区、麻醉科储存麻醉药品、第一类精神药品必须配备保险柜。药库安装有防盗门（窗），并安装报警装置；药房安装有防盗门（窗）；各病区、麻醉科存放麻醉药品、第一类精神药品应当配备必要的防盗设施。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保险柜实行双人开启，一人保管钥匙，另一人保管密码。 </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（三）</w:t>
      </w:r>
      <w:r>
        <w:rPr>
          <w:rFonts w:ascii="仿宋_GB2312" w:eastAsia="仿宋_GB2312" w:hAnsi="仿宋_GB2312" w:cs="仿宋_GB2312" w:hint="eastAsia"/>
          <w:b w:val="0"/>
          <w:bCs/>
          <w:color w:val="auto"/>
          <w:sz w:val="24"/>
          <w:szCs w:val="24"/>
        </w:rPr>
        <w:t>专用账册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计划采购的麻醉药品、第一类精神药品验收入库和各药房出库必须进行专用账册登记，登记内容包括：日期、凭证号、</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r>
        <w:rPr>
          <w:rFonts w:ascii="仿宋_GB2312" w:eastAsia="仿宋_GB2312" w:hAnsi="仿宋_GB2312" w:cs="仿宋_GB2312" w:hint="eastAsia"/>
          <w:color w:val="auto"/>
          <w:sz w:val="24"/>
          <w:szCs w:val="24"/>
        </w:rPr>
        <w:t>、剂型、规格、单位、入库数量、出库数量、结存数、批号、有效期、生产企业、供应商、质量情况、验收/发货人领药人、复核人签字等内容。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专用账册的保存期限应当自药品有效期期满之日起不少于5年。</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各药房麻醉药品、第一类精神药品实行基数管理。药房凭麻醉药品、第一类精神药品</w:t>
      </w:r>
      <w:r>
        <w:rPr>
          <w:rFonts w:ascii="仿宋_GB2312" w:eastAsia="仿宋_GB2312" w:hAnsi="仿宋_GB2312" w:cs="仿宋_GB2312" w:hint="eastAsia"/>
          <w:color w:val="auto"/>
          <w:sz w:val="24"/>
          <w:szCs w:val="24"/>
          <w:lang w:eastAsia="zh-CN"/>
        </w:rPr>
        <w:t>专用</w:t>
      </w:r>
      <w:r>
        <w:rPr>
          <w:rFonts w:ascii="仿宋_GB2312" w:eastAsia="仿宋_GB2312" w:hAnsi="仿宋_GB2312" w:cs="仿宋_GB2312" w:hint="eastAsia"/>
          <w:color w:val="auto"/>
          <w:sz w:val="24"/>
          <w:szCs w:val="24"/>
        </w:rPr>
        <w:t>处方和回收的空安瓶或废贴到药库领取药品。麻醉药品、第一类精神药品的处方由药库统一保管。领取后的麻醉药品、第一类精神药品数量不得超过固定基数。</w:t>
      </w:r>
    </w:p>
    <w:p>
      <w:pPr>
        <w:spacing w:line="360" w:lineRule="auto"/>
        <w:ind w:firstLine="480" w:firstLineChars="200"/>
        <w:rPr>
          <w:rFonts w:ascii="仿宋_GB2312" w:eastAsia="仿宋_GB2312" w:hAnsi="仿宋_GB2312" w:cs="仿宋_GB2312" w:hint="eastAsia"/>
          <w:color w:val="auto"/>
          <w:sz w:val="24"/>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麻醉药品、精神药品出库应双人复核，并由发药人、复核人签署姓名。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对出库的麻醉药品、精神药品应逐笔记录，内容包括：日期、凭证号、领用部门、</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r>
        <w:rPr>
          <w:rFonts w:ascii="仿宋_GB2312" w:eastAsia="仿宋_GB2312" w:hAnsi="仿宋_GB2312" w:cs="仿宋_GB2312" w:hint="eastAsia"/>
          <w:color w:val="auto"/>
          <w:sz w:val="24"/>
          <w:szCs w:val="24"/>
        </w:rPr>
        <w:t>、剂型、规格、单位、数量、批号、有效期、生产单位、发药人、复核人和领用人签字。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6.</w:t>
      </w:r>
      <w:r>
        <w:rPr>
          <w:rFonts w:ascii="仿宋_GB2312" w:eastAsia="仿宋_GB2312" w:hAnsi="仿宋_GB2312" w:cs="仿宋_GB2312" w:hint="eastAsia"/>
          <w:color w:val="auto"/>
          <w:sz w:val="24"/>
          <w:szCs w:val="24"/>
        </w:rPr>
        <w:t>出库后及时核对库存，出库单据上发药和领用部门均需双签名、专用帐册至少保存至药品有效期满后2年。 </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（四）</w:t>
      </w:r>
      <w:r>
        <w:rPr>
          <w:rFonts w:ascii="仿宋_GB2312" w:eastAsia="仿宋_GB2312" w:hAnsi="仿宋_GB2312" w:cs="仿宋_GB2312" w:hint="eastAsia"/>
          <w:b w:val="0"/>
          <w:bCs/>
          <w:color w:val="auto"/>
          <w:sz w:val="24"/>
          <w:szCs w:val="24"/>
        </w:rPr>
        <w:t>专用处方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医院可自行组织麻醉药品和精神药品处方及调剂培训和资格授权工作。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培训和考核对象为医院执业医师、药学专业技术人员。 </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培训结束后医院对执业医师、药学专业技术人员进行考核，</w:t>
      </w:r>
      <w:r>
        <w:rPr>
          <w:rFonts w:ascii="仿宋_GB2312" w:eastAsia="仿宋_GB2312" w:hAnsi="仿宋_GB2312" w:cs="仿宋_GB2312" w:hint="eastAsia"/>
          <w:color w:val="auto"/>
          <w:sz w:val="24"/>
          <w:szCs w:val="24"/>
          <w:lang w:eastAsia="zh-CN"/>
        </w:rPr>
        <w:t>考核</w:t>
      </w:r>
      <w:r>
        <w:rPr>
          <w:rFonts w:ascii="仿宋_GB2312" w:eastAsia="仿宋_GB2312" w:hAnsi="仿宋_GB2312" w:cs="仿宋_GB2312" w:hint="eastAsia"/>
          <w:color w:val="auto"/>
          <w:sz w:val="24"/>
          <w:szCs w:val="24"/>
        </w:rPr>
        <w:t>合格者可分别授予麻醉药品和第一类精神药品处方资格及调剂资</w:t>
      </w:r>
      <w:r>
        <w:rPr>
          <w:rFonts w:ascii="仿宋_GB2312" w:eastAsia="仿宋_GB2312" w:hAnsi="仿宋_GB2312" w:cs="仿宋_GB2312" w:hint="eastAsia"/>
          <w:color w:val="auto"/>
          <w:sz w:val="24"/>
          <w:szCs w:val="24"/>
          <w:lang w:eastAsia="zh-CN"/>
        </w:rPr>
        <w:t>格</w:t>
      </w: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医师应当按照卫生部制定的麻醉药品和精神药品临床应用指导原则，开具麻醉药品、精神药品处方。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开具麻醉药品、精神药品使用专用处方。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6.</w:t>
      </w:r>
      <w:r>
        <w:rPr>
          <w:rFonts w:ascii="仿宋_GB2312" w:eastAsia="仿宋_GB2312" w:hAnsi="仿宋_GB2312" w:cs="仿宋_GB2312" w:hint="eastAsia"/>
          <w:color w:val="auto"/>
          <w:sz w:val="24"/>
          <w:szCs w:val="24"/>
        </w:rPr>
        <w:t>处方</w:t>
      </w:r>
      <w:r>
        <w:rPr>
          <w:rFonts w:ascii="仿宋_GB2312" w:eastAsia="仿宋_GB2312" w:hAnsi="仿宋_GB2312" w:cs="仿宋_GB2312" w:hint="eastAsia"/>
          <w:color w:val="auto"/>
          <w:sz w:val="24"/>
          <w:szCs w:val="24"/>
          <w:lang w:eastAsia="zh-CN"/>
        </w:rPr>
        <w:t>调配及审核人员</w:t>
      </w:r>
      <w:r>
        <w:rPr>
          <w:rFonts w:ascii="仿宋_GB2312" w:eastAsia="仿宋_GB2312" w:hAnsi="仿宋_GB2312" w:cs="仿宋_GB2312" w:hint="eastAsia"/>
          <w:color w:val="auto"/>
          <w:sz w:val="24"/>
          <w:szCs w:val="24"/>
        </w:rPr>
        <w:t>，应当仔细核对麻醉药品、精神药品处方，对不符合规定的麻醉药品、精神药品处方，拒绝发药。完成处方调剂后，</w:t>
      </w:r>
      <w:r>
        <w:rPr>
          <w:rFonts w:ascii="仿宋_GB2312" w:eastAsia="仿宋_GB2312" w:hAnsi="仿宋_GB2312" w:cs="仿宋_GB2312" w:hint="eastAsia"/>
          <w:color w:val="auto"/>
          <w:sz w:val="24"/>
          <w:szCs w:val="24"/>
          <w:lang w:eastAsia="zh-CN"/>
        </w:rPr>
        <w:t>调配及审核人员</w:t>
      </w:r>
      <w:r>
        <w:rPr>
          <w:rFonts w:ascii="仿宋_GB2312" w:eastAsia="仿宋_GB2312" w:hAnsi="仿宋_GB2312" w:cs="仿宋_GB2312" w:hint="eastAsia"/>
          <w:color w:val="auto"/>
          <w:sz w:val="24"/>
          <w:szCs w:val="24"/>
        </w:rPr>
        <w:t>应当分别在处方上签名或者加盖专用签章。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7.</w:t>
      </w:r>
      <w:r>
        <w:rPr>
          <w:rFonts w:ascii="仿宋_GB2312" w:eastAsia="仿宋_GB2312" w:hAnsi="仿宋_GB2312" w:cs="仿宋_GB2312" w:hint="eastAsia"/>
          <w:color w:val="auto"/>
          <w:sz w:val="24"/>
          <w:szCs w:val="24"/>
        </w:rPr>
        <w:t>各药房对麻醉药品和第一类精神药品处方，按年月日逐日编制顺序号。</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8.</w:t>
      </w:r>
      <w:r>
        <w:rPr>
          <w:rFonts w:ascii="仿宋_GB2312" w:eastAsia="仿宋_GB2312" w:hAnsi="仿宋_GB2312" w:cs="仿宋_GB2312" w:hint="eastAsia"/>
          <w:color w:val="auto"/>
          <w:sz w:val="24"/>
          <w:szCs w:val="24"/>
        </w:rPr>
        <w:t>麻醉药品和第一类精神药品处方保存期限为3年，第二类精神药品处方保存期限为2年。 </w:t>
      </w:r>
    </w:p>
    <w:p>
      <w:pPr>
        <w:spacing w:line="360" w:lineRule="auto"/>
        <w:ind w:firstLine="470" w:firstLineChars="196"/>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（五）</w:t>
      </w:r>
      <w:r>
        <w:rPr>
          <w:rFonts w:ascii="仿宋_GB2312" w:eastAsia="仿宋_GB2312" w:hAnsi="仿宋_GB2312" w:cs="仿宋_GB2312" w:hint="eastAsia"/>
          <w:b w:val="0"/>
          <w:bCs/>
          <w:color w:val="auto"/>
          <w:sz w:val="24"/>
          <w:szCs w:val="24"/>
        </w:rPr>
        <w:t>专册登记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各药房对麻醉药品、精神药品处方分品种、规格进行专册登记，登记内容包括发药日期、患者姓名、用药数量、药品批号、处方编号等。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专册登记保存期限为3年。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药房、病区储存麻醉药品、第一类精神药品为周计划量，建立账册或账卡。每天结算，账物、批号相符，建立交接班制度并有交接班记录。</w:t>
      </w:r>
    </w:p>
    <w:p>
      <w:pPr>
        <w:spacing w:line="360" w:lineRule="auto"/>
        <w:jc w:val="both"/>
        <w:rPr>
          <w:rFonts w:ascii="黑体" w:eastAsia="黑体" w:hAnsi="黑体" w:cs="黑体" w:hint="eastAsia"/>
          <w:b w:val="0"/>
          <w:bCs w:val="0"/>
          <w:color w:val="auto"/>
          <w:sz w:val="24"/>
        </w:rPr>
      </w:pPr>
    </w:p>
    <w:p>
      <w:pPr>
        <w:spacing w:line="360" w:lineRule="auto"/>
        <w:jc w:val="both"/>
        <w:rPr>
          <w:rFonts w:ascii="方正小标宋_GBK" w:eastAsia="方正小标宋_GBK" w:hAnsi="方正小标宋_GBK" w:cs="方正小标宋_GBK" w:hint="eastAsia"/>
          <w:b/>
          <w:color w:val="auto"/>
          <w:sz w:val="28"/>
          <w:szCs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黑体" w:eastAsia="黑体" w:hAnsi="黑体" w:cs="黑体" w:hint="eastAsia"/>
          <w:b/>
          <w:color w:val="auto"/>
          <w:sz w:val="28"/>
          <w:szCs w:val="28"/>
          <w:lang w:eastAsia="zh-CN"/>
        </w:rPr>
        <w:t>五、</w:t>
      </w:r>
      <w:r>
        <w:rPr>
          <w:rFonts w:ascii="黑体" w:eastAsia="黑体" w:hAnsi="黑体" w:cs="黑体" w:hint="eastAsia"/>
          <w:b/>
          <w:color w:val="auto"/>
          <w:sz w:val="28"/>
          <w:szCs w:val="28"/>
        </w:rPr>
        <w:t>麻</w:t>
      </w:r>
      <w:r>
        <w:rPr>
          <w:rFonts w:ascii="黑体" w:eastAsia="黑体" w:hAnsi="黑体" w:cs="黑体" w:hint="eastAsia"/>
          <w:b/>
          <w:color w:val="auto"/>
          <w:sz w:val="28"/>
          <w:szCs w:val="28"/>
          <w:lang w:eastAsia="zh-CN"/>
        </w:rPr>
        <w:t>、</w:t>
      </w:r>
      <w:r>
        <w:rPr>
          <w:rFonts w:ascii="黑体" w:eastAsia="黑体" w:hAnsi="黑体" w:cs="黑体" w:hint="eastAsia"/>
          <w:b/>
          <w:color w:val="auto"/>
          <w:sz w:val="28"/>
          <w:szCs w:val="28"/>
        </w:rPr>
        <w:t>精</w:t>
      </w:r>
      <w:r>
        <w:rPr>
          <w:rFonts w:ascii="黑体" w:eastAsia="黑体" w:hAnsi="黑体" w:cs="黑体" w:hint="eastAsia"/>
          <w:b/>
          <w:color w:val="auto"/>
          <w:sz w:val="28"/>
          <w:szCs w:val="28"/>
          <w:lang w:eastAsia="zh-CN"/>
        </w:rPr>
        <w:t>药品</w:t>
      </w:r>
      <w:r>
        <w:rPr>
          <w:rFonts w:ascii="黑体" w:eastAsia="黑体" w:hAnsi="黑体" w:cs="黑体" w:hint="eastAsia"/>
          <w:b/>
          <w:color w:val="auto"/>
          <w:sz w:val="28"/>
          <w:szCs w:val="28"/>
        </w:rPr>
        <w:t>批号管理制度和程序</w:t>
      </w:r>
    </w:p>
    <w:p>
      <w:pPr>
        <w:spacing w:line="360" w:lineRule="auto"/>
        <w:rPr>
          <w:rFonts w:ascii="仿宋_GB2312" w:eastAsia="仿宋_GB2312" w:hAnsi="仿宋_GB2312" w:cs="仿宋_GB2312" w:hint="eastAsia"/>
          <w:color w:val="auto"/>
          <w:sz w:val="24"/>
        </w:rPr>
      </w:pPr>
      <w:r>
        <w:rPr>
          <w:rFonts w:hint="eastAsia"/>
          <w:color w:val="auto"/>
          <w:sz w:val="24"/>
          <w:szCs w:val="24"/>
        </w:rPr>
        <w:t xml:space="preserve">     </w:t>
      </w:r>
      <w:r>
        <w:rPr>
          <w:rFonts w:ascii="仿宋_GB2312" w:eastAsia="仿宋_GB2312" w:hAnsi="仿宋_GB2312" w:cs="仿宋_GB2312" w:hint="eastAsia"/>
          <w:color w:val="auto"/>
          <w:sz w:val="24"/>
          <w:szCs w:val="24"/>
        </w:rPr>
        <w:t xml:space="preserve"> 为加强麻醉药品、第一类精神药品管理，保障患者用</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安全，保证开具的药品可溯源到患者，对麻醉药品、第一类精神药品实行批号管理</w:t>
      </w:r>
      <w:r>
        <w:rPr>
          <w:rFonts w:ascii="仿宋_GB2312" w:eastAsia="仿宋_GB2312" w:hAnsi="仿宋_GB2312" w:cs="仿宋_GB2312" w:hint="eastAsia"/>
          <w:color w:val="auto"/>
          <w:sz w:val="24"/>
          <w:szCs w:val="24"/>
          <w:lang w:eastAsia="zh-CN"/>
        </w:rPr>
        <w:t>。结合我院实际，特</w:t>
      </w:r>
      <w:r>
        <w:rPr>
          <w:rFonts w:ascii="仿宋_GB2312" w:eastAsia="仿宋_GB2312" w:hAnsi="仿宋_GB2312" w:cs="仿宋_GB2312" w:hint="eastAsia"/>
          <w:color w:val="auto"/>
          <w:sz w:val="24"/>
          <w:szCs w:val="24"/>
        </w:rPr>
        <w:t>制定</w:t>
      </w:r>
      <w:r>
        <w:rPr>
          <w:rFonts w:ascii="仿宋_GB2312" w:eastAsia="仿宋_GB2312" w:hAnsi="仿宋_GB2312" w:cs="仿宋_GB2312" w:hint="eastAsia"/>
          <w:color w:val="auto"/>
          <w:sz w:val="24"/>
          <w:szCs w:val="24"/>
          <w:lang w:eastAsia="zh-CN"/>
        </w:rPr>
        <w:t>麻、精药品批号管理制度和程序。</w:t>
      </w:r>
      <w:r>
        <w:rPr>
          <w:rFonts w:ascii="仿宋_GB2312" w:eastAsia="仿宋_GB2312" w:hAnsi="仿宋_GB2312" w:cs="仿宋_GB2312" w:hint="eastAsia"/>
          <w:color w:val="auto"/>
          <w:sz w:val="24"/>
          <w:szCs w:val="24"/>
        </w:rPr>
        <w:t> </w:t>
      </w:r>
    </w:p>
    <w:p>
      <w:pPr>
        <w:numPr>
          <w:ilvl w:val="0"/>
          <w:numId w:val="5"/>
        </w:num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麻醉药品、第一类精神药品在购</w:t>
      </w:r>
      <w:r>
        <w:rPr>
          <w:rFonts w:ascii="仿宋_GB2312" w:eastAsia="仿宋_GB2312" w:hAnsi="仿宋_GB2312" w:cs="仿宋_GB2312" w:hint="eastAsia"/>
          <w:color w:val="auto"/>
          <w:sz w:val="24"/>
          <w:szCs w:val="24"/>
          <w:lang w:eastAsia="zh-CN"/>
        </w:rPr>
        <w:t>进</w:t>
      </w:r>
      <w:r>
        <w:rPr>
          <w:rFonts w:ascii="仿宋_GB2312" w:eastAsia="仿宋_GB2312" w:hAnsi="仿宋_GB2312" w:cs="仿宋_GB2312" w:hint="eastAsia"/>
          <w:color w:val="auto"/>
          <w:sz w:val="24"/>
          <w:szCs w:val="24"/>
        </w:rPr>
        <w:t>验收时必须认真仔细逐一查验核对至最小包装。  </w:t>
      </w:r>
    </w:p>
    <w:p>
      <w:pPr>
        <w:numPr>
          <w:ilvl w:val="0"/>
          <w:numId w:val="5"/>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麻醉药品、第一类精神药品</w:t>
      </w:r>
      <w:r>
        <w:rPr>
          <w:rFonts w:ascii="仿宋_GB2312" w:eastAsia="仿宋_GB2312" w:hAnsi="仿宋_GB2312" w:cs="仿宋_GB2312" w:hint="eastAsia"/>
          <w:color w:val="auto"/>
          <w:sz w:val="24"/>
          <w:szCs w:val="24"/>
          <w:lang w:eastAsia="zh-CN"/>
        </w:rPr>
        <w:t>出</w:t>
      </w:r>
      <w:r>
        <w:rPr>
          <w:rFonts w:ascii="仿宋_GB2312" w:eastAsia="仿宋_GB2312" w:hAnsi="仿宋_GB2312" w:cs="仿宋_GB2312" w:hint="eastAsia"/>
          <w:color w:val="auto"/>
          <w:sz w:val="24"/>
          <w:szCs w:val="24"/>
        </w:rPr>
        <w:t>入库时必须严格按照批号入库，并有专人复核</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记录。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（三）</w:t>
      </w:r>
      <w:r>
        <w:rPr>
          <w:rFonts w:ascii="仿宋_GB2312" w:eastAsia="仿宋_GB2312" w:hAnsi="仿宋_GB2312" w:cs="仿宋_GB2312" w:hint="eastAsia"/>
          <w:color w:val="auto"/>
          <w:sz w:val="24"/>
          <w:szCs w:val="24"/>
        </w:rPr>
        <w:t>麻醉药品、第一类精神药品领用时，应仔细核对药品名称、剂型、规格、数量、批号、效期、生产厂家等。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（四）</w:t>
      </w:r>
      <w:r>
        <w:rPr>
          <w:rFonts w:ascii="仿宋_GB2312" w:eastAsia="仿宋_GB2312" w:hAnsi="仿宋_GB2312" w:cs="仿宋_GB2312" w:hint="eastAsia"/>
          <w:color w:val="auto"/>
          <w:sz w:val="24"/>
          <w:szCs w:val="24"/>
        </w:rPr>
        <w:t>麻醉药品、第一类精神药品领用后时，要及时、如实填写入库登记本。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（五）</w:t>
      </w:r>
      <w:r>
        <w:rPr>
          <w:rFonts w:ascii="仿宋_GB2312" w:eastAsia="仿宋_GB2312" w:hAnsi="仿宋_GB2312" w:cs="仿宋_GB2312" w:hint="eastAsia"/>
          <w:color w:val="auto"/>
          <w:sz w:val="24"/>
          <w:szCs w:val="24"/>
        </w:rPr>
        <w:t>发出麻醉药品、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一类精神药品，须如实填写麻醉药品、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一类精神药品每日发放及空安瓿、贴剂登记册（包括药品名称、发放日期、科室、数量、批号、发放人签名、回收的空安瓿及贴剂数量、批号、回收人签名等），并将收回的安瓿或废贴妥善保管。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（六）</w:t>
      </w:r>
      <w:r>
        <w:rPr>
          <w:rFonts w:ascii="仿宋_GB2312" w:eastAsia="仿宋_GB2312" w:hAnsi="仿宋_GB2312" w:cs="仿宋_GB2312" w:hint="eastAsia"/>
          <w:color w:val="auto"/>
          <w:sz w:val="24"/>
          <w:szCs w:val="24"/>
        </w:rPr>
        <w:t>药品发出后药房负责人应当及时对麻醉药品、第一类精神药品处方进行专册登记，内容包括：患者（代办人）姓名、性别、年龄、身份证明编号、病历号、疾病名称、药品名称、规格、数量、处方医师、处方编号、处方日期、发药人、复核人。 专用帐册的保存应当在药品有效期满后不少于2年。  </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（七）</w:t>
      </w:r>
      <w:r>
        <w:rPr>
          <w:rFonts w:ascii="仿宋_GB2312" w:eastAsia="仿宋_GB2312" w:hAnsi="仿宋_GB2312" w:cs="仿宋_GB2312" w:hint="eastAsia"/>
          <w:color w:val="auto"/>
          <w:sz w:val="24"/>
          <w:szCs w:val="24"/>
        </w:rPr>
        <w:t>病区建立麻醉药品、第一类精神药品使用登记表，对麻醉药品、第一类精神药品使用详细登记，包括患者姓名、住院号、诊断、医嘱者、用药剂量、取药批号。</w:t>
      </w:r>
    </w:p>
    <w:p>
      <w:pPr>
        <w:numPr>
          <w:ilvl w:val="0"/>
          <w:numId w:val="0"/>
        </w:numPr>
        <w:spacing w:line="360" w:lineRule="auto"/>
        <w:ind w:left="0" w:firstLine="480" w:leftChars="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（八）药库进行麻醉药品、第一类精神药品空安瓿及废贴销毁时，详细登记批号，做好记录。</w:t>
      </w:r>
    </w:p>
    <w:p>
      <w:pPr>
        <w:spacing w:line="360" w:lineRule="auto"/>
        <w:jc w:val="both"/>
        <w:rPr>
          <w:rFonts w:ascii="黑体" w:eastAsia="黑体" w:hAnsi="黑体" w:cs="黑体" w:hint="eastAsia"/>
          <w:b/>
          <w:bCs/>
          <w:color w:val="auto"/>
          <w:sz w:val="28"/>
          <w:szCs w:val="28"/>
        </w:rPr>
      </w:pPr>
      <w:r>
        <w:rPr>
          <w:rFonts w:ascii="黑体" w:eastAsia="黑体" w:hAnsi="黑体" w:cs="黑体" w:hint="eastAsia"/>
          <w:b/>
          <w:bCs/>
          <w:color w:val="auto"/>
          <w:sz w:val="28"/>
          <w:szCs w:val="28"/>
          <w:lang w:eastAsia="zh-CN"/>
        </w:rPr>
        <w:t>六、</w:t>
      </w:r>
      <w:r>
        <w:rPr>
          <w:rFonts w:ascii="黑体" w:eastAsia="黑体" w:hAnsi="黑体" w:cs="黑体" w:hint="eastAsia"/>
          <w:b/>
          <w:bCs/>
          <w:color w:val="auto"/>
          <w:sz w:val="28"/>
          <w:szCs w:val="28"/>
        </w:rPr>
        <w:t>高危药品管理制度</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高危药品是指药理作用显著且迅速，如果使用错误将可能对病人造成严重伤害的药品。</w:t>
      </w:r>
      <w:r>
        <w:rPr>
          <w:rFonts w:ascii="仿宋_GB2312" w:eastAsia="仿宋_GB2312" w:hAnsi="仿宋_GB2312" w:cs="仿宋_GB2312" w:hint="eastAsia"/>
          <w:b w:val="0"/>
          <w:bCs w:val="0"/>
          <w:color w:val="auto"/>
          <w:sz w:val="24"/>
          <w:szCs w:val="24"/>
          <w:lang w:val="en-US" w:eastAsia="zh-CN"/>
        </w:rPr>
        <w:t>虽然</w:t>
      </w:r>
      <w:r>
        <w:rPr>
          <w:rFonts w:ascii="仿宋_GB2312" w:eastAsia="仿宋_GB2312" w:hAnsi="仿宋_GB2312" w:cs="仿宋_GB2312" w:hint="eastAsia"/>
          <w:b w:val="0"/>
          <w:bCs w:val="0"/>
          <w:color w:val="auto"/>
          <w:sz w:val="24"/>
          <w:szCs w:val="24"/>
        </w:rPr>
        <w:t>高危药品引起的差错可能不常见</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但一旦发生则后果非常严重。为保障</w:t>
      </w:r>
      <w:r>
        <w:rPr>
          <w:rFonts w:ascii="仿宋_GB2312" w:eastAsia="仿宋_GB2312" w:hAnsi="仿宋_GB2312" w:cs="仿宋_GB2312" w:hint="eastAsia"/>
          <w:color w:val="auto"/>
          <w:sz w:val="24"/>
          <w:szCs w:val="24"/>
        </w:rPr>
        <w:t>用药安全，落实</w:t>
      </w:r>
      <w:r>
        <w:rPr>
          <w:rFonts w:ascii="仿宋_GB2312" w:eastAsia="仿宋_GB2312" w:hAnsi="仿宋_GB2312" w:cs="仿宋_GB2312" w:hint="eastAsia"/>
          <w:color w:val="auto"/>
          <w:sz w:val="24"/>
          <w:szCs w:val="24"/>
          <w:lang w:eastAsia="zh-CN"/>
        </w:rPr>
        <w:t>高危药品安全</w:t>
      </w:r>
      <w:r>
        <w:rPr>
          <w:rFonts w:ascii="仿宋_GB2312" w:eastAsia="仿宋_GB2312" w:hAnsi="仿宋_GB2312" w:cs="仿宋_GB2312" w:hint="eastAsia"/>
          <w:color w:val="auto"/>
          <w:sz w:val="24"/>
          <w:szCs w:val="24"/>
        </w:rPr>
        <w:t>用药管理，特制定本制度。</w:t>
      </w:r>
    </w:p>
    <w:p>
      <w:pPr>
        <w:spacing w:line="360" w:lineRule="auto"/>
        <w:ind w:firstLine="480" w:firstLineChars="200"/>
        <w:rPr>
          <w:rFonts w:ascii="仿宋_GB2312" w:eastAsia="仿宋_GB2312" w:hAnsi="仿宋_GB2312" w:cs="仿宋_GB2312" w:hint="eastAsia"/>
          <w:color w:val="auto"/>
          <w:sz w:val="24"/>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_GB2312" w:eastAsia="仿宋_GB2312" w:hAnsi="仿宋_GB2312" w:cs="仿宋_GB2312" w:hint="eastAsia"/>
          <w:color w:val="auto"/>
          <w:sz w:val="24"/>
          <w:szCs w:val="24"/>
          <w:lang w:eastAsia="zh-CN"/>
        </w:rPr>
        <w:t>（一）</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根据高危药品的分类和品种，结合我院实际用药情况，制定高危药品目录和品种</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主要包括高浓度电解质制剂、肌肉松弛剂及细胞毒化药物等</w:t>
      </w:r>
      <w:r>
        <w:rPr>
          <w:rFonts w:ascii="仿宋_GB2312" w:eastAsia="仿宋_GB2312" w:hAnsi="仿宋_GB2312" w:cs="仿宋_GB2312" w:hint="eastAsia"/>
          <w:color w:val="auto"/>
          <w:sz w:val="24"/>
          <w:szCs w:val="24"/>
          <w:lang w:eastAsia="zh-CN"/>
        </w:rPr>
        <w:t>。</w:t>
      </w:r>
    </w:p>
    <w:p>
      <w:pPr>
        <w:pStyle w:val="NormalWeb"/>
        <w:shd w:val="clear" w:color="auto" w:fill="FFFFFF"/>
        <w:spacing w:before="0" w:beforeAutospacing="0" w:after="0" w:afterAutospacing="0" w:line="360" w:lineRule="auto"/>
        <w:ind w:firstLine="454" w:firstLineChars="189"/>
        <w:rPr>
          <w:rFonts w:ascii="仿宋_GB2312" w:eastAsia="仿宋_GB2312" w:hAnsi="仿宋_GB2312" w:cs="仿宋_GB2312" w:hint="eastAsia"/>
          <w:color w:val="auto"/>
          <w:szCs w:val="24"/>
        </w:rPr>
      </w:pPr>
      <w:r>
        <w:rPr>
          <w:rFonts w:ascii="仿宋_GB2312" w:eastAsia="仿宋_GB2312" w:hAnsi="仿宋_GB2312" w:cs="仿宋_GB2312" w:hint="eastAsia"/>
          <w:color w:val="auto"/>
          <w:sz w:val="24"/>
          <w:szCs w:val="24"/>
          <w:lang w:eastAsia="zh-CN"/>
        </w:rPr>
        <w:t>（二）</w:t>
      </w:r>
      <w:r>
        <w:rPr>
          <w:rFonts w:ascii="仿宋_GB2312" w:eastAsia="仿宋_GB2312" w:hAnsi="仿宋_GB2312" w:cs="仿宋_GB2312" w:hint="eastAsia"/>
          <w:color w:val="auto"/>
          <w:sz w:val="24"/>
          <w:szCs w:val="24"/>
        </w:rPr>
        <w:t>各药房、</w:t>
      </w:r>
      <w:r>
        <w:rPr>
          <w:rFonts w:ascii="仿宋_GB2312" w:eastAsia="仿宋_GB2312" w:hAnsi="仿宋_GB2312" w:cs="仿宋_GB2312" w:hint="eastAsia"/>
          <w:color w:val="auto"/>
          <w:sz w:val="24"/>
          <w:szCs w:val="24"/>
          <w:lang w:eastAsia="zh-CN"/>
        </w:rPr>
        <w:t>病区</w:t>
      </w:r>
      <w:r>
        <w:rPr>
          <w:rFonts w:ascii="仿宋_GB2312" w:eastAsia="仿宋_GB2312" w:hAnsi="仿宋_GB2312" w:cs="仿宋_GB2312" w:hint="eastAsia"/>
          <w:color w:val="auto"/>
          <w:sz w:val="24"/>
          <w:szCs w:val="24"/>
        </w:rPr>
        <w:t>对高危药品设置专门的存放区域，</w:t>
      </w:r>
      <w:r>
        <w:rPr>
          <w:rFonts w:ascii="仿宋_GB2312" w:eastAsia="仿宋_GB2312" w:hAnsi="仿宋_GB2312" w:cs="仿宋_GB2312" w:hint="eastAsia"/>
          <w:color w:val="auto"/>
          <w:sz w:val="24"/>
          <w:szCs w:val="24"/>
          <w:lang w:eastAsia="zh-CN"/>
        </w:rPr>
        <w:t>不得与其他药品混合存放。需要冷藏的应要放在冷库的专用区域。</w:t>
      </w:r>
      <w:r>
        <w:rPr>
          <w:rFonts w:ascii="仿宋_GB2312" w:eastAsia="仿宋_GB2312" w:hAnsi="仿宋_GB2312" w:cs="仿宋_GB2312" w:hint="eastAsia"/>
          <w:color w:val="auto"/>
          <w:sz w:val="24"/>
          <w:szCs w:val="24"/>
        </w:rPr>
        <w:t>并在高危药品存放处设置</w:t>
      </w:r>
      <w:r>
        <w:rPr>
          <w:rFonts w:ascii="仿宋_GB2312" w:eastAsia="仿宋_GB2312" w:hAnsi="仿宋_GB2312" w:cs="仿宋_GB2312" w:hint="eastAsia"/>
          <w:color w:val="auto"/>
          <w:sz w:val="24"/>
          <w:szCs w:val="24"/>
          <w:lang w:eastAsia="zh-CN"/>
        </w:rPr>
        <w:t>红底黑字</w:t>
      </w:r>
      <w:r>
        <w:rPr>
          <w:rFonts w:ascii="仿宋_GB2312" w:eastAsia="仿宋_GB2312" w:hAnsi="仿宋_GB2312" w:cs="仿宋_GB2312" w:hint="eastAsia"/>
          <w:b w:val="0"/>
          <w:bCs w:val="0"/>
          <w:color w:val="auto"/>
          <w:sz w:val="24"/>
          <w:szCs w:val="24"/>
          <w:lang w:eastAsia="zh-CN"/>
        </w:rPr>
        <w:t>警示</w:t>
      </w:r>
      <w:r>
        <w:rPr>
          <w:rFonts w:ascii="仿宋_GB2312" w:eastAsia="仿宋_GB2312" w:hAnsi="仿宋_GB2312" w:cs="仿宋_GB2312" w:hint="eastAsia"/>
          <w:b w:val="0"/>
          <w:bCs w:val="0"/>
          <w:color w:val="auto"/>
          <w:sz w:val="24"/>
          <w:szCs w:val="24"/>
        </w:rPr>
        <w:t>标</w:t>
      </w:r>
      <w:r>
        <w:rPr>
          <w:rFonts w:ascii="仿宋_GB2312" w:eastAsia="仿宋_GB2312" w:hAnsi="仿宋_GB2312" w:cs="仿宋_GB2312" w:hint="eastAsia"/>
          <w:color w:val="auto"/>
          <w:sz w:val="24"/>
          <w:szCs w:val="24"/>
        </w:rPr>
        <w:t>识。</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（三）</w:t>
      </w:r>
      <w:r>
        <w:rPr>
          <w:rFonts w:ascii="仿宋_GB2312" w:eastAsia="仿宋_GB2312" w:hAnsi="仿宋_GB2312" w:cs="仿宋_GB2312" w:hint="eastAsia"/>
          <w:color w:val="auto"/>
          <w:sz w:val="24"/>
          <w:szCs w:val="24"/>
        </w:rPr>
        <w:t>高危药品调剂和临床使用严格执行双人复核制度，确保调剂和使用准确无误</w:t>
      </w:r>
      <w:r>
        <w:rPr>
          <w:rFonts w:ascii="仿宋_GB2312" w:eastAsia="仿宋_GB2312" w:hAnsi="仿宋_GB2312" w:cs="仿宋_GB2312" w:hint="eastAsia"/>
          <w:color w:val="auto"/>
          <w:sz w:val="24"/>
          <w:szCs w:val="24"/>
          <w:lang w:eastAsia="zh-CN"/>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（四）</w:t>
      </w:r>
      <w:r>
        <w:rPr>
          <w:rFonts w:ascii="仿宋_GB2312" w:eastAsia="仿宋_GB2312" w:hAnsi="仿宋_GB2312" w:cs="仿宋_GB2312" w:hint="eastAsia"/>
          <w:color w:val="auto"/>
          <w:sz w:val="24"/>
          <w:szCs w:val="24"/>
        </w:rPr>
        <w:t>高危药品在使用时，要认真核对病人姓名、床号、药品名称、药物剂量及给药途径等内容。</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（五）</w:t>
      </w:r>
      <w:r>
        <w:rPr>
          <w:rFonts w:ascii="仿宋_GB2312" w:eastAsia="仿宋_GB2312" w:hAnsi="仿宋_GB2312" w:cs="仿宋_GB2312" w:hint="eastAsia"/>
          <w:color w:val="auto"/>
          <w:sz w:val="24"/>
          <w:szCs w:val="24"/>
        </w:rPr>
        <w:t>加强高危药品的效期管理，各科室每月盘点一次，并做好记录。</w:t>
      </w:r>
      <w:r>
        <w:rPr>
          <w:rFonts w:ascii="仿宋_GB2312" w:eastAsia="仿宋_GB2312" w:hAnsi="仿宋_GB2312" w:cs="仿宋_GB2312" w:hint="eastAsia"/>
          <w:color w:val="auto"/>
          <w:sz w:val="24"/>
          <w:szCs w:val="24"/>
          <w:lang w:eastAsia="zh-CN"/>
        </w:rPr>
        <w:t>且</w:t>
      </w:r>
      <w:r>
        <w:rPr>
          <w:rFonts w:ascii="仿宋_GB2312" w:eastAsia="仿宋_GB2312" w:hAnsi="仿宋_GB2312" w:cs="仿宋_GB2312" w:hint="eastAsia"/>
          <w:color w:val="auto"/>
          <w:sz w:val="24"/>
          <w:szCs w:val="24"/>
        </w:rPr>
        <w:t>保证先进先出、近期先出</w:t>
      </w:r>
      <w:r>
        <w:rPr>
          <w:rFonts w:ascii="仿宋_GB2312" w:eastAsia="仿宋_GB2312" w:hAnsi="仿宋_GB2312" w:cs="仿宋_GB2312" w:hint="eastAsia"/>
          <w:color w:val="auto"/>
          <w:sz w:val="24"/>
          <w:szCs w:val="24"/>
          <w:lang w:eastAsia="zh-CN"/>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（六）</w:t>
      </w:r>
      <w:r>
        <w:rPr>
          <w:rFonts w:ascii="仿宋_GB2312" w:eastAsia="仿宋_GB2312" w:hAnsi="仿宋_GB2312" w:cs="仿宋_GB2312" w:hint="eastAsia"/>
          <w:color w:val="auto"/>
          <w:sz w:val="24"/>
          <w:szCs w:val="24"/>
        </w:rPr>
        <w:t>医、护、药加强沟通，重视高危药品的不良反应监测，并定期汇总，及时交流和反馈，形成有效的信息互动。</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（七）</w:t>
      </w:r>
      <w:r>
        <w:rPr>
          <w:rFonts w:ascii="仿宋_GB2312" w:eastAsia="仿宋_GB2312" w:hAnsi="仿宋_GB2312" w:cs="仿宋_GB2312" w:hint="eastAsia"/>
          <w:color w:val="auto"/>
          <w:sz w:val="24"/>
          <w:szCs w:val="24"/>
        </w:rPr>
        <w:t>护理站要求严格控制高危药品的备用种类，临床确需立即要用的药品才列入备用目录。护理站备用的高危药品应贴有</w:t>
      </w:r>
      <w:r>
        <w:rPr>
          <w:rFonts w:ascii="仿宋_GB2312" w:eastAsia="仿宋_GB2312" w:hAnsi="仿宋_GB2312" w:cs="仿宋_GB2312" w:hint="eastAsia"/>
          <w:color w:val="auto"/>
          <w:sz w:val="24"/>
          <w:szCs w:val="24"/>
          <w:lang w:eastAsia="zh-CN"/>
        </w:rPr>
        <w:t>红底黑字</w:t>
      </w:r>
      <w:r>
        <w:rPr>
          <w:rFonts w:ascii="仿宋_GB2312" w:eastAsia="仿宋_GB2312" w:hAnsi="仿宋_GB2312" w:cs="仿宋_GB2312" w:hint="eastAsia"/>
          <w:color w:val="auto"/>
          <w:sz w:val="24"/>
          <w:szCs w:val="24"/>
        </w:rPr>
        <w:t>“高危药品”的醒目标</w:t>
      </w:r>
      <w:r>
        <w:rPr>
          <w:rFonts w:ascii="仿宋_GB2312" w:eastAsia="仿宋_GB2312" w:hAnsi="仿宋_GB2312" w:cs="仿宋_GB2312" w:hint="eastAsia"/>
          <w:color w:val="auto"/>
          <w:sz w:val="24"/>
          <w:szCs w:val="24"/>
          <w:lang w:eastAsia="zh-CN"/>
        </w:rPr>
        <w:t>识</w:t>
      </w:r>
      <w:r>
        <w:rPr>
          <w:rFonts w:ascii="仿宋_GB2312" w:eastAsia="仿宋_GB2312" w:hAnsi="仿宋_GB2312" w:cs="仿宋_GB2312" w:hint="eastAsia"/>
          <w:color w:val="auto"/>
          <w:sz w:val="24"/>
          <w:szCs w:val="24"/>
        </w:rPr>
        <w:t>，</w:t>
      </w:r>
      <w:r>
        <w:rPr>
          <w:rFonts w:ascii="仿宋_GB2312" w:eastAsia="仿宋_GB2312" w:hAnsi="仿宋_GB2312" w:cs="仿宋_GB2312" w:hint="eastAsia"/>
          <w:color w:val="auto"/>
          <w:sz w:val="24"/>
          <w:szCs w:val="24"/>
          <w:lang w:eastAsia="zh-CN"/>
        </w:rPr>
        <w:t>并专柜加锁存放，</w:t>
      </w:r>
      <w:r>
        <w:rPr>
          <w:rFonts w:ascii="仿宋_GB2312" w:eastAsia="仿宋_GB2312" w:hAnsi="仿宋_GB2312" w:cs="仿宋_GB2312" w:hint="eastAsia"/>
          <w:color w:val="auto"/>
          <w:sz w:val="24"/>
          <w:szCs w:val="24"/>
        </w:rPr>
        <w:t>不得与其他药物混合存放。</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（八）</w:t>
      </w:r>
      <w:r>
        <w:rPr>
          <w:rFonts w:ascii="仿宋_GB2312" w:eastAsia="仿宋_GB2312" w:hAnsi="仿宋_GB2312" w:cs="仿宋_GB2312" w:hint="eastAsia"/>
          <w:color w:val="auto"/>
          <w:sz w:val="24"/>
          <w:szCs w:val="24"/>
        </w:rPr>
        <w:t>护士在使用高危药品过程中，必须提高警惕。在给药时，</w:t>
      </w:r>
      <w:r>
        <w:rPr>
          <w:rFonts w:ascii="仿宋_GB2312" w:eastAsia="仿宋_GB2312" w:hAnsi="仿宋_GB2312" w:cs="仿宋_GB2312" w:hint="eastAsia"/>
          <w:color w:val="auto"/>
          <w:sz w:val="24"/>
          <w:szCs w:val="24"/>
          <w:lang w:eastAsia="zh-CN"/>
        </w:rPr>
        <w:t>要</w:t>
      </w:r>
      <w:r>
        <w:rPr>
          <w:rFonts w:ascii="仿宋_GB2312" w:eastAsia="仿宋_GB2312" w:hAnsi="仿宋_GB2312" w:cs="仿宋_GB2312" w:hint="eastAsia"/>
          <w:color w:val="auto"/>
          <w:sz w:val="24"/>
          <w:szCs w:val="24"/>
        </w:rPr>
        <w:t>严格执行给药的5R原则</w:t>
      </w:r>
      <w:r>
        <w:rPr>
          <w:rFonts w:ascii="仿宋_GB2312" w:eastAsia="仿宋_GB2312" w:hAnsi="仿宋_GB2312" w:cs="仿宋_GB2312" w:hint="eastAsia"/>
          <w:color w:val="auto"/>
          <w:sz w:val="24"/>
          <w:szCs w:val="24"/>
          <w:lang w:eastAsia="zh-CN"/>
        </w:rPr>
        <w:t>即</w:t>
      </w:r>
      <w:r>
        <w:rPr>
          <w:rFonts w:ascii="仿宋_GB2312" w:eastAsia="仿宋_GB2312" w:hAnsi="仿宋_GB2312" w:cs="仿宋_GB2312" w:hint="eastAsia"/>
          <w:color w:val="auto"/>
          <w:sz w:val="24"/>
          <w:szCs w:val="24"/>
        </w:rPr>
        <w:t>病人对、药品对、剂量对、给药时间对、给药途径对</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确保准确给药。</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（九）</w:t>
      </w:r>
      <w:r>
        <w:rPr>
          <w:rFonts w:ascii="仿宋_GB2312" w:eastAsia="仿宋_GB2312" w:hAnsi="仿宋_GB2312" w:cs="仿宋_GB2312" w:hint="eastAsia"/>
          <w:color w:val="auto"/>
          <w:sz w:val="24"/>
          <w:szCs w:val="24"/>
        </w:rPr>
        <w:t>每季度定期排查医院内使用药品中与高危药品的外观相似、发音相似的药品清单，并采取相应的防范措施</w:t>
      </w:r>
      <w:r>
        <w:rPr>
          <w:rFonts w:ascii="仿宋_GB2312" w:eastAsia="仿宋_GB2312" w:hAnsi="仿宋_GB2312" w:cs="仿宋_GB2312" w:hint="eastAsia"/>
          <w:color w:val="auto"/>
          <w:sz w:val="24"/>
          <w:szCs w:val="24"/>
          <w:lang w:eastAsia="zh-CN"/>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（十）</w:t>
      </w:r>
      <w:r>
        <w:rPr>
          <w:rFonts w:ascii="仿宋_GB2312" w:eastAsia="仿宋_GB2312" w:hAnsi="仿宋_GB2312" w:cs="仿宋_GB2312" w:hint="eastAsia"/>
          <w:color w:val="auto"/>
          <w:sz w:val="24"/>
          <w:szCs w:val="24"/>
        </w:rPr>
        <w:t>每年定期对高危药品目录进行更新，新引进高危药品须经过充分论证，引进后及时将药品信息告知临床。</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（十一）</w:t>
      </w:r>
      <w:r>
        <w:rPr>
          <w:rFonts w:ascii="仿宋_GB2312" w:eastAsia="仿宋_GB2312" w:hAnsi="仿宋_GB2312" w:cs="仿宋_GB2312" w:hint="eastAsia"/>
          <w:color w:val="auto"/>
          <w:sz w:val="24"/>
          <w:szCs w:val="24"/>
        </w:rPr>
        <w:t>有形似、音似易混淆的药品，各科可以列入高危药品管理。</w:t>
      </w:r>
    </w:p>
    <w:p>
      <w:pPr>
        <w:numPr>
          <w:ilvl w:val="0"/>
          <w:numId w:val="0"/>
        </w:numPr>
        <w:spacing w:line="360" w:lineRule="auto"/>
        <w:jc w:val="both"/>
        <w:rPr>
          <w:rFonts w:ascii="黑体" w:eastAsia="黑体" w:hAnsi="黑体" w:cs="黑体" w:hint="eastAsia"/>
          <w:b w:val="0"/>
          <w:bCs w:val="0"/>
          <w:color w:val="auto"/>
          <w:sz w:val="24"/>
        </w:rPr>
      </w:pPr>
    </w:p>
    <w:p>
      <w:pPr>
        <w:spacing w:line="360" w:lineRule="auto"/>
        <w:jc w:val="both"/>
        <w:rPr>
          <w:rFonts w:ascii="黑体" w:eastAsia="黑体" w:hAnsi="黑体" w:cs="黑体" w:hint="eastAsia"/>
          <w:color w:val="auto"/>
          <w:sz w:val="28"/>
          <w:szCs w:val="28"/>
        </w:rPr>
      </w:pPr>
      <w:r>
        <w:rPr>
          <w:rFonts w:ascii="黑体" w:eastAsia="黑体" w:hAnsi="黑体" w:cs="黑体" w:hint="eastAsia"/>
          <w:b/>
          <w:bCs/>
          <w:color w:val="auto"/>
          <w:sz w:val="28"/>
          <w:szCs w:val="28"/>
          <w:lang w:eastAsia="zh-CN"/>
        </w:rPr>
        <w:t>七、</w:t>
      </w:r>
      <w:r>
        <w:rPr>
          <w:rFonts w:ascii="黑体" w:eastAsia="黑体" w:hAnsi="黑体" w:cs="黑体" w:hint="eastAsia"/>
          <w:b/>
          <w:bCs/>
          <w:color w:val="auto"/>
          <w:sz w:val="28"/>
          <w:szCs w:val="28"/>
        </w:rPr>
        <w:t>易混淆药品管理制度</w:t>
      </w:r>
      <w:r>
        <w:rPr>
          <w:rFonts w:ascii="黑体" w:eastAsia="黑体" w:hAnsi="黑体" w:cs="黑体" w:hint="eastAsia"/>
          <w:color w:val="auto"/>
          <w:sz w:val="28"/>
          <w:szCs w:val="28"/>
        </w:rPr>
        <w:t>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为加强</w:t>
      </w:r>
      <w:r>
        <w:rPr>
          <w:rFonts w:ascii="仿宋_GB2312" w:eastAsia="仿宋_GB2312" w:hAnsi="仿宋_GB2312" w:cs="仿宋_GB2312" w:hint="eastAsia"/>
          <w:color w:val="auto"/>
          <w:sz w:val="24"/>
          <w:szCs w:val="24"/>
          <w:lang w:eastAsia="zh-CN"/>
        </w:rPr>
        <w:t>我院</w:t>
      </w:r>
      <w:r>
        <w:rPr>
          <w:rFonts w:ascii="仿宋_GB2312" w:eastAsia="仿宋_GB2312" w:hAnsi="仿宋_GB2312" w:cs="仿宋_GB2312" w:hint="eastAsia"/>
          <w:color w:val="auto"/>
          <w:sz w:val="24"/>
          <w:szCs w:val="24"/>
        </w:rPr>
        <w:t>易混淆药品的</w:t>
      </w:r>
      <w:r>
        <w:rPr>
          <w:rFonts w:ascii="仿宋_GB2312" w:eastAsia="仿宋_GB2312" w:hAnsi="仿宋_GB2312" w:cs="仿宋_GB2312" w:hint="eastAsia"/>
          <w:color w:val="auto"/>
          <w:sz w:val="24"/>
          <w:szCs w:val="24"/>
          <w:lang w:eastAsia="zh-CN"/>
        </w:rPr>
        <w:t>规范</w:t>
      </w:r>
      <w:r>
        <w:rPr>
          <w:rFonts w:ascii="仿宋_GB2312" w:eastAsia="仿宋_GB2312" w:hAnsi="仿宋_GB2312" w:cs="仿宋_GB2312" w:hint="eastAsia"/>
          <w:color w:val="auto"/>
          <w:sz w:val="24"/>
          <w:szCs w:val="24"/>
        </w:rPr>
        <w:t>管理，</w:t>
      </w:r>
      <w:r>
        <w:rPr>
          <w:rFonts w:ascii="仿宋_GB2312" w:eastAsia="仿宋_GB2312" w:hAnsi="仿宋_GB2312" w:cs="仿宋_GB2312" w:hint="eastAsia"/>
          <w:color w:val="auto"/>
          <w:sz w:val="24"/>
          <w:szCs w:val="24"/>
          <w:lang w:eastAsia="zh-CN"/>
        </w:rPr>
        <w:t>防范易混淆药品发放差错，</w:t>
      </w:r>
      <w:r>
        <w:rPr>
          <w:rFonts w:ascii="仿宋_GB2312" w:eastAsia="仿宋_GB2312" w:hAnsi="仿宋_GB2312" w:cs="仿宋_GB2312" w:hint="eastAsia"/>
          <w:color w:val="auto"/>
          <w:sz w:val="24"/>
          <w:szCs w:val="24"/>
        </w:rPr>
        <w:t>保证患者用药安全，</w:t>
      </w:r>
      <w:r>
        <w:rPr>
          <w:rFonts w:ascii="仿宋_GB2312" w:eastAsia="仿宋_GB2312" w:hAnsi="仿宋_GB2312" w:cs="仿宋_GB2312" w:hint="eastAsia"/>
          <w:color w:val="auto"/>
          <w:sz w:val="24"/>
          <w:szCs w:val="24"/>
          <w:lang w:eastAsia="zh-CN"/>
        </w:rPr>
        <w:t>特</w:t>
      </w:r>
      <w:r>
        <w:rPr>
          <w:rFonts w:ascii="仿宋_GB2312" w:eastAsia="仿宋_GB2312" w:hAnsi="仿宋_GB2312" w:cs="仿宋_GB2312" w:hint="eastAsia"/>
          <w:color w:val="auto"/>
          <w:sz w:val="24"/>
          <w:szCs w:val="24"/>
        </w:rPr>
        <w:t>制定本制度。 </w:t>
      </w:r>
    </w:p>
    <w:p>
      <w:pPr>
        <w:spacing w:line="360" w:lineRule="auto"/>
        <w:ind w:firstLine="480" w:firstLineChars="200"/>
        <w:rPr>
          <w:rFonts w:ascii="仿宋_GB2312" w:eastAsia="仿宋_GB2312" w:hAnsi="仿宋_GB2312" w:cs="仿宋_GB2312" w:hint="eastAsia"/>
          <w:color w:val="auto"/>
          <w:sz w:val="24"/>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_GB2312" w:eastAsia="仿宋_GB2312" w:hAnsi="仿宋_GB2312" w:cs="仿宋_GB2312" w:hint="eastAsia"/>
          <w:color w:val="auto"/>
          <w:sz w:val="24"/>
          <w:szCs w:val="24"/>
          <w:lang w:eastAsia="zh-CN"/>
        </w:rPr>
        <w:t>（一）</w:t>
      </w:r>
      <w:r>
        <w:rPr>
          <w:rFonts w:ascii="仿宋_GB2312" w:eastAsia="仿宋_GB2312" w:hAnsi="仿宋_GB2312" w:cs="仿宋_GB2312" w:hint="eastAsia"/>
          <w:color w:val="auto"/>
          <w:sz w:val="24"/>
          <w:szCs w:val="24"/>
        </w:rPr>
        <w:t>易混淆药品是指包装相似、看似、听似药品、一品多规或多剂型的药品。 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（二）</w:t>
      </w:r>
      <w:r>
        <w:rPr>
          <w:rFonts w:ascii="仿宋_GB2312" w:eastAsia="仿宋_GB2312" w:hAnsi="仿宋_GB2312" w:cs="仿宋_GB2312" w:hint="eastAsia"/>
          <w:color w:val="auto"/>
          <w:sz w:val="24"/>
          <w:szCs w:val="24"/>
        </w:rPr>
        <w:t>标识管理 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全院包括</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、各病</w:t>
      </w:r>
      <w:r>
        <w:rPr>
          <w:rFonts w:ascii="仿宋_GB2312" w:eastAsia="仿宋_GB2312" w:hAnsi="仿宋_GB2312" w:cs="仿宋_GB2312" w:hint="eastAsia"/>
          <w:color w:val="auto"/>
          <w:sz w:val="24"/>
          <w:szCs w:val="24"/>
          <w:lang w:eastAsia="zh-CN"/>
        </w:rPr>
        <w:t>区</w:t>
      </w:r>
      <w:r>
        <w:rPr>
          <w:rFonts w:ascii="仿宋_GB2312" w:eastAsia="仿宋_GB2312" w:hAnsi="仿宋_GB2312" w:cs="仿宋_GB2312" w:hint="eastAsia"/>
          <w:color w:val="auto"/>
          <w:sz w:val="24"/>
          <w:szCs w:val="24"/>
        </w:rPr>
        <w:t>，应使用医院</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规定的统一标识，对本部门的“多规”（多种规格）、“看似”（包装相似）、“听似”（名称相似）的易混淆药品进行分别存放、警示，提示取用者注意。</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组织专人定期进行检查。</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（三）</w:t>
      </w:r>
      <w:r>
        <w:rPr>
          <w:rFonts w:ascii="仿宋_GB2312" w:eastAsia="仿宋_GB2312" w:hAnsi="仿宋_GB2312" w:cs="仿宋_GB2312" w:hint="eastAsia"/>
          <w:color w:val="auto"/>
          <w:sz w:val="24"/>
          <w:szCs w:val="24"/>
        </w:rPr>
        <w:t>知晓管理 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编制易混淆药品</w:t>
      </w:r>
      <w:r>
        <w:rPr>
          <w:rFonts w:ascii="仿宋_GB2312" w:eastAsia="仿宋_GB2312" w:hAnsi="仿宋_GB2312" w:cs="仿宋_GB2312" w:hint="eastAsia"/>
          <w:color w:val="auto"/>
          <w:sz w:val="24"/>
          <w:szCs w:val="24"/>
          <w:lang w:eastAsia="zh-CN"/>
        </w:rPr>
        <w:t>目录</w:t>
      </w:r>
      <w:r>
        <w:rPr>
          <w:rFonts w:ascii="仿宋_GB2312" w:eastAsia="仿宋_GB2312" w:hAnsi="仿宋_GB2312" w:cs="仿宋_GB2312" w:hint="eastAsia"/>
          <w:color w:val="auto"/>
          <w:sz w:val="24"/>
          <w:szCs w:val="24"/>
        </w:rPr>
        <w:t>，有条件的调剂点，应进行现场展示，供学习使用。 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管理制度及易混淆药品</w:t>
      </w:r>
      <w:r>
        <w:rPr>
          <w:rFonts w:ascii="仿宋_GB2312" w:eastAsia="仿宋_GB2312" w:hAnsi="仿宋_GB2312" w:cs="仿宋_GB2312" w:hint="eastAsia"/>
          <w:color w:val="auto"/>
          <w:sz w:val="24"/>
          <w:szCs w:val="24"/>
          <w:lang w:eastAsia="zh-CN"/>
        </w:rPr>
        <w:t>目录</w:t>
      </w:r>
      <w:r>
        <w:rPr>
          <w:rFonts w:ascii="仿宋_GB2312" w:eastAsia="仿宋_GB2312" w:hAnsi="仿宋_GB2312" w:cs="仿宋_GB2312" w:hint="eastAsia"/>
          <w:color w:val="auto"/>
          <w:sz w:val="24"/>
          <w:szCs w:val="24"/>
        </w:rPr>
        <w:t>发放至</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各</w:t>
      </w:r>
      <w:r>
        <w:rPr>
          <w:rFonts w:ascii="仿宋_GB2312" w:eastAsia="仿宋_GB2312" w:hAnsi="仿宋_GB2312" w:cs="仿宋_GB2312" w:hint="eastAsia"/>
          <w:color w:val="auto"/>
          <w:sz w:val="24"/>
          <w:szCs w:val="24"/>
          <w:lang w:eastAsia="zh-CN"/>
        </w:rPr>
        <w:t>部门</w:t>
      </w:r>
      <w:r>
        <w:rPr>
          <w:rFonts w:ascii="仿宋_GB2312" w:eastAsia="仿宋_GB2312" w:hAnsi="仿宋_GB2312" w:cs="仿宋_GB2312" w:hint="eastAsia"/>
          <w:color w:val="auto"/>
          <w:sz w:val="24"/>
          <w:szCs w:val="24"/>
        </w:rPr>
        <w:t>，定期组织药师学习。</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管理制度及易混淆药品</w:t>
      </w:r>
      <w:r>
        <w:rPr>
          <w:rFonts w:ascii="仿宋_GB2312" w:eastAsia="仿宋_GB2312" w:hAnsi="仿宋_GB2312" w:cs="仿宋_GB2312" w:hint="eastAsia"/>
          <w:color w:val="auto"/>
          <w:sz w:val="24"/>
          <w:szCs w:val="24"/>
          <w:lang w:eastAsia="zh-CN"/>
        </w:rPr>
        <w:t>目录</w:t>
      </w:r>
      <w:r>
        <w:rPr>
          <w:rFonts w:ascii="仿宋_GB2312" w:eastAsia="仿宋_GB2312" w:hAnsi="仿宋_GB2312" w:cs="仿宋_GB2312" w:hint="eastAsia"/>
          <w:color w:val="auto"/>
          <w:sz w:val="24"/>
          <w:szCs w:val="24"/>
        </w:rPr>
        <w:t>发放至各病</w:t>
      </w:r>
      <w:r>
        <w:rPr>
          <w:rFonts w:ascii="仿宋_GB2312" w:eastAsia="仿宋_GB2312" w:hAnsi="仿宋_GB2312" w:cs="仿宋_GB2312" w:hint="eastAsia"/>
          <w:color w:val="auto"/>
          <w:sz w:val="24"/>
          <w:szCs w:val="24"/>
          <w:lang w:eastAsia="zh-CN"/>
        </w:rPr>
        <w:t>区</w:t>
      </w:r>
      <w:r>
        <w:rPr>
          <w:rFonts w:ascii="仿宋_GB2312" w:eastAsia="仿宋_GB2312" w:hAnsi="仿宋_GB2312" w:cs="仿宋_GB2312" w:hint="eastAsia"/>
          <w:color w:val="auto"/>
          <w:sz w:val="24"/>
          <w:szCs w:val="24"/>
        </w:rPr>
        <w:t>，</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负责指导相关人员学习。</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（四）</w:t>
      </w:r>
      <w:r>
        <w:rPr>
          <w:rFonts w:ascii="仿宋_GB2312" w:eastAsia="仿宋_GB2312" w:hAnsi="仿宋_GB2312" w:cs="仿宋_GB2312" w:hint="eastAsia"/>
          <w:color w:val="auto"/>
          <w:sz w:val="24"/>
          <w:szCs w:val="24"/>
        </w:rPr>
        <w:t>储存及调配使用管理 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药库、药房、存放药品的病区应合理摆放药品，使易混淆药品尽可能在物理</w:t>
      </w:r>
      <w:r>
        <w:rPr>
          <w:rFonts w:ascii="仿宋_GB2312" w:eastAsia="仿宋_GB2312" w:hAnsi="仿宋_GB2312" w:cs="仿宋_GB2312" w:hint="eastAsia"/>
          <w:color w:val="auto"/>
          <w:sz w:val="24"/>
          <w:szCs w:val="24"/>
          <w:lang w:eastAsia="zh-CN"/>
        </w:rPr>
        <w:t>位置</w:t>
      </w:r>
      <w:r>
        <w:rPr>
          <w:rFonts w:ascii="仿宋_GB2312" w:eastAsia="仿宋_GB2312" w:hAnsi="仿宋_GB2312" w:cs="仿宋_GB2312" w:hint="eastAsia"/>
          <w:color w:val="auto"/>
          <w:sz w:val="24"/>
          <w:szCs w:val="24"/>
        </w:rPr>
        <w:t>上分开存放，并在相应位</w:t>
      </w:r>
      <w:r>
        <w:rPr>
          <w:rFonts w:ascii="仿宋_GB2312" w:eastAsia="仿宋_GB2312" w:hAnsi="仿宋_GB2312" w:cs="仿宋_GB2312" w:hint="eastAsia"/>
          <w:color w:val="auto"/>
          <w:sz w:val="24"/>
          <w:szCs w:val="24"/>
          <w:lang w:eastAsia="zh-CN"/>
        </w:rPr>
        <w:t>置</w:t>
      </w:r>
      <w:r>
        <w:rPr>
          <w:rFonts w:ascii="仿宋_GB2312" w:eastAsia="仿宋_GB2312" w:hAnsi="仿宋_GB2312" w:cs="仿宋_GB2312" w:hint="eastAsia"/>
          <w:color w:val="auto"/>
          <w:sz w:val="24"/>
          <w:szCs w:val="24"/>
        </w:rPr>
        <w:t>做警示标识以提醒工作人员注意。补充药品时仔细核对药品包装上的文字规格是否一致。</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药师在药品调配与发药交接时，应互相提醒；对同一患者取用药物中含有易混淆药物的情况，药师用药交待时应进行提示。</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静脉药物调配时，调配人员应认真核对药品名称、规格、数量</w:t>
      </w:r>
      <w:r>
        <w:rPr>
          <w:rFonts w:ascii="仿宋_GB2312" w:eastAsia="仿宋_GB2312" w:hAnsi="仿宋_GB2312" w:cs="仿宋_GB2312" w:hint="eastAsia"/>
          <w:color w:val="auto"/>
          <w:sz w:val="24"/>
          <w:szCs w:val="24"/>
          <w:lang w:eastAsia="zh-CN"/>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临床药师应对病房中使用易混淆药品的患者及发放药品的护理人员进行提示。  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药品入库验收、保管、出库复核过程中，整包装易混淆药品应分开放</w:t>
      </w:r>
      <w:r>
        <w:rPr>
          <w:rFonts w:ascii="仿宋_GB2312" w:eastAsia="仿宋_GB2312" w:hAnsi="仿宋_GB2312" w:cs="仿宋_GB2312" w:hint="eastAsia"/>
          <w:color w:val="auto"/>
          <w:sz w:val="24"/>
          <w:szCs w:val="24"/>
          <w:lang w:eastAsia="zh-CN"/>
        </w:rPr>
        <w:t>置</w:t>
      </w:r>
      <w:r>
        <w:rPr>
          <w:rFonts w:ascii="仿宋_GB2312" w:eastAsia="仿宋_GB2312" w:hAnsi="仿宋_GB2312" w:cs="仿宋_GB2312" w:hint="eastAsia"/>
          <w:color w:val="auto"/>
          <w:sz w:val="24"/>
          <w:szCs w:val="24"/>
        </w:rPr>
        <w:t>，</w:t>
      </w:r>
      <w:r>
        <w:rPr>
          <w:rFonts w:ascii="仿宋_GB2312" w:eastAsia="仿宋_GB2312" w:hAnsi="仿宋_GB2312" w:cs="仿宋_GB2312" w:hint="eastAsia"/>
          <w:color w:val="auto"/>
          <w:sz w:val="24"/>
          <w:szCs w:val="24"/>
          <w:lang w:eastAsia="zh-CN"/>
        </w:rPr>
        <w:t>并</w:t>
      </w:r>
      <w:r>
        <w:rPr>
          <w:rFonts w:ascii="仿宋_GB2312" w:eastAsia="仿宋_GB2312" w:hAnsi="仿宋_GB2312" w:cs="仿宋_GB2312" w:hint="eastAsia"/>
          <w:color w:val="auto"/>
          <w:sz w:val="24"/>
          <w:szCs w:val="24"/>
        </w:rPr>
        <w:t>做明显标识；对已拆零的易混淆药品不得混箱装运。</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6.</w:t>
      </w:r>
      <w:r>
        <w:rPr>
          <w:rFonts w:ascii="仿宋_GB2312" w:eastAsia="仿宋_GB2312" w:hAnsi="仿宋_GB2312" w:cs="仿宋_GB2312" w:hint="eastAsia"/>
          <w:color w:val="auto"/>
          <w:sz w:val="24"/>
          <w:szCs w:val="24"/>
        </w:rPr>
        <w:t>病房备用药品中如包含易混淆药品，应使用统一标识、分开摆放，护理人员在使用过程中应注意复核。 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（五）</w:t>
      </w:r>
      <w:r>
        <w:rPr>
          <w:rFonts w:ascii="仿宋_GB2312" w:eastAsia="仿宋_GB2312" w:hAnsi="仿宋_GB2312" w:cs="仿宋_GB2312" w:hint="eastAsia"/>
          <w:color w:val="auto"/>
          <w:sz w:val="24"/>
          <w:szCs w:val="24"/>
        </w:rPr>
        <w:t>监督管理 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负责制定、修订易混淆药品目录，向全院发放。</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2.</w:t>
      </w:r>
      <w:r>
        <w:rPr>
          <w:rFonts w:ascii="仿宋_GB2312" w:eastAsia="仿宋_GB2312" w:hAnsi="仿宋_GB2312" w:cs="仿宋_GB2312" w:hint="eastAsia"/>
          <w:color w:val="auto"/>
          <w:sz w:val="24"/>
          <w:szCs w:val="24"/>
        </w:rPr>
        <w:t>各部门对“一品多规”或“看似”、“听似”等易混淆药品导致的错误进行记录、整改，对易混淆药品目录提出修改建议。</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各部门组织对易混淆药品的识别进行培训，避免发生差错。</w:t>
      </w:r>
    </w:p>
    <w:p>
      <w:pPr>
        <w:spacing w:line="360" w:lineRule="auto"/>
        <w:rPr>
          <w:rFonts w:ascii="仿宋_GB2312" w:eastAsia="仿宋_GB2312" w:hAnsi="仿宋_GB2312" w:cs="仿宋_GB2312" w:hint="eastAsia"/>
          <w:color w:val="auto"/>
          <w:sz w:val="24"/>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val="en-US" w:eastAsia="zh-CN"/>
        </w:rPr>
        <w:t xml:space="preserve">  4.</w:t>
      </w:r>
      <w:r>
        <w:rPr>
          <w:rFonts w:ascii="仿宋_GB2312" w:eastAsia="仿宋_GB2312" w:hAnsi="仿宋_GB2312" w:cs="仿宋_GB2312" w:hint="eastAsia"/>
          <w:color w:val="auto"/>
          <w:sz w:val="24"/>
          <w:szCs w:val="24"/>
        </w:rPr>
        <w:t>医务部、护理部、</w:t>
      </w:r>
      <w:r>
        <w:rPr>
          <w:rFonts w:ascii="仿宋_GB2312" w:eastAsia="仿宋_GB2312" w:hAnsi="仿宋_GB2312" w:cs="仿宋_GB2312" w:hint="eastAsia"/>
          <w:color w:val="auto"/>
          <w:sz w:val="24"/>
          <w:szCs w:val="24"/>
          <w:lang w:eastAsia="zh-CN"/>
        </w:rPr>
        <w:t>药学部</w:t>
      </w:r>
    </w:p>
    <w:p>
      <w:p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等应按照各自的职责范围对本规定的执行情况进行监管。管理情况纳入科室和个人考核。对违反本规定者，按医院药事管理质控标准扣分，导致不良后果者，由科室和个人承担。</w:t>
      </w:r>
    </w:p>
    <w:p>
      <w:pPr>
        <w:numPr>
          <w:ilvl w:val="0"/>
          <w:numId w:val="0"/>
        </w:numPr>
        <w:spacing w:line="360" w:lineRule="auto"/>
        <w:jc w:val="both"/>
        <w:rPr>
          <w:rFonts w:ascii="黑体" w:eastAsia="黑体" w:hAnsi="黑体" w:cs="黑体" w:hint="eastAsia"/>
          <w:b w:val="0"/>
          <w:bCs w:val="0"/>
          <w:color w:val="auto"/>
          <w:sz w:val="24"/>
        </w:rPr>
      </w:pPr>
    </w:p>
    <w:p>
      <w:pPr>
        <w:spacing w:line="360" w:lineRule="auto"/>
        <w:jc w:val="both"/>
        <w:rPr>
          <w:rFonts w:ascii="黑体" w:eastAsia="黑体" w:hAnsi="黑体" w:cs="黑体" w:hint="eastAsia"/>
          <w:b/>
          <w:color w:val="auto"/>
          <w:sz w:val="28"/>
          <w:szCs w:val="28"/>
        </w:rPr>
      </w:pPr>
      <w:r>
        <w:rPr>
          <w:rFonts w:ascii="黑体" w:eastAsia="黑体" w:hAnsi="黑体" w:cs="黑体" w:hint="eastAsia"/>
          <w:b/>
          <w:color w:val="auto"/>
          <w:sz w:val="28"/>
          <w:szCs w:val="28"/>
          <w:lang w:eastAsia="zh-CN"/>
        </w:rPr>
        <w:t>八、</w:t>
      </w:r>
      <w:r>
        <w:rPr>
          <w:rFonts w:ascii="黑体" w:eastAsia="黑体" w:hAnsi="黑体" w:cs="黑体" w:hint="eastAsia"/>
          <w:b/>
          <w:color w:val="auto"/>
          <w:sz w:val="28"/>
          <w:szCs w:val="28"/>
        </w:rPr>
        <w:t>特殊药品存放区域、标</w:t>
      </w:r>
      <w:r>
        <w:rPr>
          <w:rFonts w:ascii="黑体" w:eastAsia="黑体" w:hAnsi="黑体" w:cs="黑体" w:hint="eastAsia"/>
          <w:b/>
          <w:color w:val="auto"/>
          <w:sz w:val="28"/>
          <w:szCs w:val="28"/>
          <w:lang w:eastAsia="zh-CN"/>
        </w:rPr>
        <w:t>识和</w:t>
      </w:r>
      <w:r>
        <w:rPr>
          <w:rFonts w:ascii="黑体" w:eastAsia="黑体" w:hAnsi="黑体" w:cs="黑体" w:hint="eastAsia"/>
          <w:b/>
          <w:color w:val="auto"/>
          <w:sz w:val="28"/>
          <w:szCs w:val="28"/>
        </w:rPr>
        <w:t>贮存方法规定</w:t>
      </w:r>
    </w:p>
    <w:p>
      <w:pPr>
        <w:spacing w:line="360" w:lineRule="auto"/>
        <w:ind w:firstLine="480" w:firstLineChars="200"/>
        <w:jc w:val="both"/>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为进一步规范我院麻醉药品、精神药品、放射性药品、医疗用毒性药品及药品类易制毒化学品等特殊药品的储存使用管理，结合我院实际特制定该规定，各科室遵照执行。</w:t>
      </w:r>
    </w:p>
    <w:p>
      <w:pPr>
        <w:spacing w:line="360" w:lineRule="auto"/>
        <w:ind w:firstLine="475" w:firstLineChars="198"/>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（一）</w:t>
      </w:r>
      <w:r>
        <w:rPr>
          <w:rFonts w:ascii="仿宋_GB2312" w:eastAsia="仿宋_GB2312" w:hAnsi="仿宋_GB2312" w:cs="仿宋_GB2312" w:hint="eastAsia"/>
          <w:b w:val="0"/>
          <w:bCs/>
          <w:color w:val="auto"/>
          <w:sz w:val="24"/>
          <w:szCs w:val="24"/>
        </w:rPr>
        <w:t>麻醉药品及</w:t>
      </w:r>
      <w:r>
        <w:rPr>
          <w:rFonts w:ascii="仿宋_GB2312" w:eastAsia="仿宋_GB2312" w:hAnsi="仿宋_GB2312" w:cs="仿宋_GB2312" w:hint="eastAsia"/>
          <w:b w:val="0"/>
          <w:bCs/>
          <w:color w:val="auto"/>
          <w:sz w:val="24"/>
          <w:szCs w:val="24"/>
          <w:lang w:eastAsia="zh-CN"/>
        </w:rPr>
        <w:t>第一类</w:t>
      </w:r>
      <w:r>
        <w:rPr>
          <w:rFonts w:ascii="仿宋_GB2312" w:eastAsia="仿宋_GB2312" w:hAnsi="仿宋_GB2312" w:cs="仿宋_GB2312" w:hint="eastAsia"/>
          <w:b w:val="0"/>
          <w:bCs/>
          <w:color w:val="auto"/>
          <w:sz w:val="24"/>
          <w:szCs w:val="24"/>
        </w:rPr>
        <w:t>精神药品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医院在药库设立专库（专柜）储存麻醉药品、第一类精神药品，并使用保险柜，实行双人双锁管理。安装监控、报警、防火防盗</w:t>
      </w:r>
      <w:r>
        <w:rPr>
          <w:rFonts w:ascii="仿宋_GB2312" w:eastAsia="仿宋_GB2312" w:hAnsi="仿宋_GB2312" w:cs="仿宋_GB2312" w:hint="eastAsia"/>
          <w:color w:val="auto"/>
          <w:sz w:val="24"/>
          <w:szCs w:val="24"/>
          <w:lang w:eastAsia="zh-CN"/>
        </w:rPr>
        <w:t>等安全设施</w:t>
      </w:r>
      <w:r>
        <w:rPr>
          <w:rFonts w:ascii="仿宋_GB2312" w:eastAsia="仿宋_GB2312" w:hAnsi="仿宋_GB2312" w:cs="仿宋_GB2312" w:hint="eastAsia"/>
          <w:color w:val="auto"/>
          <w:sz w:val="24"/>
          <w:szCs w:val="24"/>
        </w:rPr>
        <w:t>。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药房调剂室使用保险柜储存麻醉药品、第一类精神药品，实行双人双锁管理。安装监控、报警、防火防盗</w:t>
      </w:r>
      <w:r>
        <w:rPr>
          <w:rFonts w:ascii="仿宋_GB2312" w:eastAsia="仿宋_GB2312" w:hAnsi="仿宋_GB2312" w:cs="仿宋_GB2312" w:hint="eastAsia"/>
          <w:color w:val="auto"/>
          <w:sz w:val="24"/>
          <w:szCs w:val="24"/>
          <w:lang w:eastAsia="zh-CN"/>
        </w:rPr>
        <w:t>等安全设施</w:t>
      </w:r>
      <w:r>
        <w:rPr>
          <w:rFonts w:ascii="仿宋_GB2312" w:eastAsia="仿宋_GB2312" w:hAnsi="仿宋_GB2312" w:cs="仿宋_GB2312" w:hint="eastAsia"/>
          <w:color w:val="auto"/>
          <w:sz w:val="24"/>
          <w:szCs w:val="24"/>
        </w:rPr>
        <w:t>。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医院保卫科应强调对麻醉药品、第一类精神药品的安全防范，组织安排人员加强对麻醉药品、第一类精神药品的储存区域的巡查。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4</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医院麻醉药品管理</w:t>
      </w:r>
      <w:r>
        <w:rPr>
          <w:rFonts w:ascii="仿宋_GB2312" w:eastAsia="仿宋_GB2312" w:hAnsi="仿宋_GB2312" w:cs="仿宋_GB2312" w:hint="eastAsia"/>
          <w:color w:val="auto"/>
          <w:sz w:val="24"/>
          <w:szCs w:val="24"/>
          <w:lang w:eastAsia="zh-CN"/>
        </w:rPr>
        <w:t>工作</w:t>
      </w:r>
      <w:r>
        <w:rPr>
          <w:rFonts w:ascii="仿宋_GB2312" w:eastAsia="仿宋_GB2312" w:hAnsi="仿宋_GB2312" w:cs="仿宋_GB2312" w:hint="eastAsia"/>
          <w:color w:val="auto"/>
          <w:sz w:val="24"/>
          <w:szCs w:val="24"/>
        </w:rPr>
        <w:t>组应负责对麻醉药品、第一类精神药品储存、使用的安全防范措施定期进行督促检查。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5</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必须备</w:t>
      </w:r>
      <w:r>
        <w:rPr>
          <w:rFonts w:ascii="仿宋_GB2312" w:eastAsia="仿宋_GB2312" w:hAnsi="仿宋_GB2312" w:cs="仿宋_GB2312" w:hint="eastAsia"/>
          <w:color w:val="auto"/>
          <w:sz w:val="24"/>
          <w:szCs w:val="24"/>
          <w:lang w:eastAsia="zh-CN"/>
        </w:rPr>
        <w:t>用</w:t>
      </w:r>
      <w:r>
        <w:rPr>
          <w:rFonts w:ascii="仿宋_GB2312" w:eastAsia="仿宋_GB2312" w:hAnsi="仿宋_GB2312" w:cs="仿宋_GB2312" w:hint="eastAsia"/>
          <w:color w:val="auto"/>
          <w:sz w:val="24"/>
          <w:szCs w:val="24"/>
        </w:rPr>
        <w:t>麻醉药品、第一类精神药品的病区应当设立周转柜储存麻醉药品、第一类精神药品，并建立防盗措施，实行专人加锁管理，</w:t>
      </w:r>
      <w:r>
        <w:rPr>
          <w:rFonts w:ascii="仿宋_GB2312" w:eastAsia="仿宋_GB2312" w:hAnsi="仿宋_GB2312" w:cs="仿宋_GB2312" w:hint="eastAsia"/>
          <w:color w:val="auto"/>
          <w:sz w:val="24"/>
          <w:szCs w:val="24"/>
          <w:lang w:eastAsia="zh-CN"/>
        </w:rPr>
        <w:t>药学部</w:t>
      </w:r>
      <w:r>
        <w:rPr>
          <w:rFonts w:ascii="仿宋_GB2312" w:eastAsia="仿宋_GB2312" w:hAnsi="仿宋_GB2312" w:cs="仿宋_GB2312" w:hint="eastAsia"/>
          <w:color w:val="auto"/>
          <w:sz w:val="24"/>
          <w:szCs w:val="24"/>
        </w:rPr>
        <w:t>每月监督其使用，并实行批号管理及批号追踪。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6</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麻精药品存放区域应标识清楚、醒目，设置规定药品提示牌，提醒医、药、护人员注意，各储存柜上必须贴有规定的麻精药品标</w:t>
      </w:r>
      <w:r>
        <w:rPr>
          <w:rFonts w:ascii="仿宋_GB2312" w:eastAsia="仿宋_GB2312" w:hAnsi="仿宋_GB2312" w:cs="仿宋_GB2312" w:hint="eastAsia"/>
          <w:color w:val="auto"/>
          <w:sz w:val="24"/>
          <w:szCs w:val="24"/>
          <w:lang w:eastAsia="zh-CN"/>
        </w:rPr>
        <w:t>识</w:t>
      </w:r>
      <w:r>
        <w:rPr>
          <w:rFonts w:ascii="仿宋_GB2312" w:eastAsia="仿宋_GB2312" w:hAnsi="仿宋_GB2312" w:cs="仿宋_GB2312" w:hint="eastAsia"/>
          <w:color w:val="auto"/>
          <w:sz w:val="24"/>
          <w:szCs w:val="24"/>
        </w:rPr>
        <w:t>。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7</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麻醉药品、第一类精神药品的储存应当建立专用账册，专人登记，专用账册必须对入库、出库逐笔记录，定期盘点，做到账物相符。专用账册的保存期限应当自药品有效期期满之日起不少于5年。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8</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麻醉药品、第一类精神药品的入库出库记录内容有：日期、凭证号、领用部门、</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r>
        <w:rPr>
          <w:rFonts w:ascii="仿宋_GB2312" w:eastAsia="仿宋_GB2312" w:hAnsi="仿宋_GB2312" w:cs="仿宋_GB2312" w:hint="eastAsia"/>
          <w:color w:val="auto"/>
          <w:sz w:val="24"/>
          <w:szCs w:val="24"/>
        </w:rPr>
        <w:t>、剂型、规格、单位、数量、批号、有效期、生产单位、发药人、复核人和领用人（签字）。 </w:t>
      </w:r>
    </w:p>
    <w:p>
      <w:pPr>
        <w:spacing w:line="360" w:lineRule="auto"/>
        <w:ind w:firstLine="480" w:firstLineChars="200"/>
        <w:rPr>
          <w:rFonts w:ascii="仿宋_GB2312" w:eastAsia="仿宋_GB2312" w:hAnsi="仿宋_GB2312" w:cs="仿宋_GB2312" w:hint="eastAsia"/>
          <w:color w:val="auto"/>
          <w:sz w:val="24"/>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_GB2312" w:eastAsia="仿宋_GB2312" w:hAnsi="仿宋_GB2312" w:cs="仿宋_GB2312" w:hint="eastAsia"/>
          <w:color w:val="auto"/>
          <w:sz w:val="24"/>
          <w:szCs w:val="24"/>
        </w:rPr>
        <w:t>9</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麻醉药品入库前，应坚持双人开箱验收、清点，双人签字入库制度。麻醉药品、</w:t>
      </w:r>
      <w:r>
        <w:rPr>
          <w:rFonts w:ascii="仿宋_GB2312" w:eastAsia="仿宋_GB2312" w:hAnsi="仿宋_GB2312" w:cs="仿宋_GB2312" w:hint="eastAsia"/>
          <w:color w:val="auto"/>
          <w:sz w:val="24"/>
          <w:szCs w:val="24"/>
          <w:lang w:eastAsia="zh-CN"/>
        </w:rPr>
        <w:t>第</w:t>
      </w:r>
      <w:r>
        <w:rPr>
          <w:rFonts w:ascii="仿宋_GB2312" w:eastAsia="仿宋_GB2312" w:hAnsi="仿宋_GB2312" w:cs="仿宋_GB2312" w:hint="eastAsia"/>
          <w:color w:val="auto"/>
          <w:sz w:val="24"/>
          <w:szCs w:val="24"/>
        </w:rPr>
        <w:t>一类精神药品出库时要有专人对</w:t>
      </w:r>
      <w:r>
        <w:rPr>
          <w:rFonts w:ascii="仿宋_GB2312" w:eastAsia="仿宋_GB2312" w:hAnsi="仿宋_GB2312" w:cs="仿宋_GB2312" w:hint="eastAsia"/>
          <w:color w:val="auto"/>
          <w:sz w:val="24"/>
          <w:szCs w:val="24"/>
          <w:lang w:eastAsia="zh-CN"/>
        </w:rPr>
        <w:t>药</w:t>
      </w:r>
      <w:r>
        <w:rPr>
          <w:rFonts w:ascii="仿宋_GB2312" w:eastAsia="仿宋_GB2312" w:hAnsi="仿宋_GB2312" w:cs="仿宋_GB2312" w:hint="eastAsia"/>
          <w:color w:val="auto"/>
          <w:sz w:val="24"/>
          <w:szCs w:val="24"/>
        </w:rPr>
        <w:t>品名</w:t>
      </w:r>
      <w:r>
        <w:rPr>
          <w:rFonts w:ascii="仿宋_GB2312" w:eastAsia="仿宋_GB2312" w:hAnsi="仿宋_GB2312" w:cs="仿宋_GB2312" w:hint="eastAsia"/>
          <w:color w:val="auto"/>
          <w:sz w:val="24"/>
          <w:szCs w:val="24"/>
          <w:lang w:eastAsia="zh-CN"/>
        </w:rPr>
        <w:t>称</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、数量、质量进行核查，并有第二人复核，发货人、复核人共同在单据上盖章签字。做到账、物、批号相符。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10</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对过期、损坏的麻醉药品、第一类精神药品，应清点登记，单独妥善保管，并列表上报药品监督管理部门，听候处理意见。进行销毁时，应当向市卫生局提出申请，在市卫生局监督下进行销毁，并对销毁情况进行登记。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麻醉药品的大部分品种，特别是针剂遇光变质，库（柜）应注意避光，采取遮光措施。 </w:t>
      </w:r>
    </w:p>
    <w:p>
      <w:pPr>
        <w:spacing w:line="360" w:lineRule="auto"/>
        <w:ind w:firstLine="480" w:firstLineChars="200"/>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（二）医疗用</w:t>
      </w:r>
      <w:r>
        <w:rPr>
          <w:rFonts w:ascii="仿宋_GB2312" w:eastAsia="仿宋_GB2312" w:hAnsi="仿宋_GB2312" w:cs="仿宋_GB2312" w:hint="eastAsia"/>
          <w:b w:val="0"/>
          <w:bCs/>
          <w:color w:val="auto"/>
          <w:sz w:val="24"/>
          <w:szCs w:val="24"/>
        </w:rPr>
        <w:t>毒性药品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医疗用毒性药品到货后须经双人验收、核对、验收到最小包装单位。验收合格后</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药品采购人员需在经营企业提供的购买记录及发票回执联上填写身份证号并签字。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毒性药品须设毒、剧药柜。实行专人、专柜、专账、贴明显标签加锁保管的方法。毒性药品须由具有责任心强，业务熟练的</w:t>
      </w:r>
      <w:r>
        <w:rPr>
          <w:rFonts w:ascii="仿宋_GB2312" w:eastAsia="仿宋_GB2312" w:hAnsi="仿宋_GB2312" w:cs="仿宋_GB2312" w:hint="eastAsia"/>
          <w:color w:val="auto"/>
          <w:sz w:val="24"/>
          <w:szCs w:val="24"/>
          <w:lang w:eastAsia="zh-CN"/>
        </w:rPr>
        <w:t>药师及药师职称</w:t>
      </w:r>
      <w:r>
        <w:rPr>
          <w:rFonts w:ascii="仿宋_GB2312" w:eastAsia="仿宋_GB2312" w:hAnsi="仿宋_GB2312" w:cs="仿宋_GB2312" w:hint="eastAsia"/>
          <w:color w:val="auto"/>
          <w:sz w:val="24"/>
          <w:szCs w:val="24"/>
        </w:rPr>
        <w:t>以上的药剂人员负责管理。设立专门药柜双人、双锁保管。设立专用账册每日盘点，做到账物相符，严禁收假、发错，严禁与其它药品混杂。发现问题时必须迅速查明并上报相关主管部门。医疗用毒性药品存放区域应标识清楚、醒目，设置规定的提示牌提醒医、药、护人员注意，各毒性药品的储存容器上必须印有规定的毒药标志。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报损的毒性药品必须经药学部门负责人、主管院长批准，按规定报上级主管部门集中销毁并做好记录。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4</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管理人员交接班时，应在科主任监督下进行交接</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严格核对品名、数量</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应账物相符。发现问题及时追究。  </w:t>
      </w:r>
    </w:p>
    <w:p>
      <w:pPr>
        <w:spacing w:line="360" w:lineRule="auto"/>
        <w:ind w:firstLine="480" w:firstLineChars="200"/>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（三）</w:t>
      </w:r>
      <w:r>
        <w:rPr>
          <w:rFonts w:ascii="仿宋_GB2312" w:eastAsia="仿宋_GB2312" w:hAnsi="仿宋_GB2312" w:cs="仿宋_GB2312" w:hint="eastAsia"/>
          <w:b w:val="0"/>
          <w:bCs/>
          <w:color w:val="auto"/>
          <w:sz w:val="24"/>
          <w:szCs w:val="24"/>
        </w:rPr>
        <w:t>放射性药品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收到放射性药品时，应认真核对名称、出厂日期、放射性浓度、总体积、总强度、容器号、溶液的酸碱度以及物理性状等，注意液体放射性药品有否破损、渗漏，注意发生器是否已作细菌培养、热原检查。 </w:t>
      </w:r>
    </w:p>
    <w:p>
      <w:pPr>
        <w:spacing w:line="360" w:lineRule="auto"/>
        <w:ind w:firstLine="480" w:firstLineChars="200"/>
        <w:rPr>
          <w:rFonts w:ascii="仿宋_GB2312" w:eastAsia="仿宋_GB2312" w:hAnsi="仿宋_GB2312" w:cs="仿宋_GB2312" w:hint="eastAsia"/>
          <w:color w:val="auto"/>
          <w:sz w:val="24"/>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放射性药品必须有适当的专门贮存场所，符合每种放射性药品所规定的贮存条件，不同品种、不同批号的放射性药品应当分开存放，并采取必要的防火、防盗、防鼠、防辐射和防污染等措施，保证放射性药品质量和安全。贮存场所应当有放射性警示标识。贮存放射性药品容器应贴好标签。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放射性药品应放在铅罐内，置于贮源室的贮源柜内，平时有专人负责保管，严防丢失。常用放射</w:t>
      </w:r>
      <w:r>
        <w:rPr>
          <w:rFonts w:ascii="仿宋_GB2312" w:eastAsia="仿宋_GB2312" w:hAnsi="仿宋_GB2312" w:cs="仿宋_GB2312" w:hint="eastAsia"/>
          <w:color w:val="auto"/>
          <w:sz w:val="24"/>
          <w:szCs w:val="24"/>
          <w:lang w:eastAsia="zh-CN"/>
        </w:rPr>
        <w:t>性</w:t>
      </w:r>
      <w:r>
        <w:rPr>
          <w:rFonts w:ascii="仿宋_GB2312" w:eastAsia="仿宋_GB2312" w:hAnsi="仿宋_GB2312" w:cs="仿宋_GB2312" w:hint="eastAsia"/>
          <w:color w:val="auto"/>
          <w:sz w:val="24"/>
          <w:szCs w:val="24"/>
        </w:rPr>
        <w:t>药品应按不同品种分类放置在通风橱贮源槽内，放射性药品警示标志要鲜明，以防发生差错。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4</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放射性药品应由专人负责保管、双人双锁，建立放射性药品使用登记表册，每次使用时须认真按项目要求逐项填写</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并做永久性保存。</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5</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发现放射性药品丢失时，应立即追查去向，并报告上级机关。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6</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放射性药品使用后的废物（包括患者排出物），必须按国家有关规定妥善处置。  </w:t>
      </w:r>
    </w:p>
    <w:p>
      <w:pPr>
        <w:spacing w:line="360" w:lineRule="auto"/>
        <w:ind w:firstLine="480" w:firstLineChars="200"/>
        <w:rPr>
          <w:rFonts w:ascii="仿宋_GB2312" w:eastAsia="仿宋_GB2312" w:hAnsi="仿宋_GB2312" w:cs="仿宋_GB2312" w:hint="eastAsia"/>
          <w:b w:val="0"/>
          <w:bCs/>
          <w:color w:val="auto"/>
          <w:sz w:val="24"/>
        </w:rPr>
      </w:pPr>
      <w:r>
        <w:rPr>
          <w:rFonts w:ascii="仿宋_GB2312" w:eastAsia="仿宋_GB2312" w:hAnsi="仿宋_GB2312" w:cs="仿宋_GB2312" w:hint="eastAsia"/>
          <w:b w:val="0"/>
          <w:bCs/>
          <w:color w:val="auto"/>
          <w:sz w:val="24"/>
          <w:szCs w:val="24"/>
          <w:lang w:eastAsia="zh-CN"/>
        </w:rPr>
        <w:t>（四）</w:t>
      </w:r>
      <w:r>
        <w:rPr>
          <w:rFonts w:ascii="仿宋_GB2312" w:eastAsia="仿宋_GB2312" w:hAnsi="仿宋_GB2312" w:cs="仿宋_GB2312" w:hint="eastAsia"/>
          <w:b w:val="0"/>
          <w:bCs/>
          <w:color w:val="auto"/>
          <w:sz w:val="24"/>
          <w:szCs w:val="24"/>
        </w:rPr>
        <w:t>药品类易制毒化学品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医院使用药品类易制毒化学品的药品，应当设置专库或者在药品仓库中设立独立的专库（柜）储存药品类易制毒化学品。专库应当设有防盗设施，专柜应当使用保险柜；专库和专柜应当实行双人双锁管理。储存场所应当设有易制毒化学品标识，设置监控设施，安装报警装置并与公安机关联网。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应在温度、条件适宜的仓库内妥善储存、保管</w:t>
      </w:r>
      <w:r>
        <w:rPr>
          <w:rFonts w:ascii="仿宋_GB2312" w:eastAsia="仿宋_GB2312" w:hAnsi="仿宋_GB2312" w:cs="仿宋_GB2312" w:hint="eastAsia"/>
          <w:color w:val="auto"/>
          <w:sz w:val="24"/>
          <w:szCs w:val="24"/>
          <w:lang w:eastAsia="zh-CN"/>
        </w:rPr>
        <w:t>。</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保管员要全面掌握易制毒化学品的有关知识，了解易制毒化学品的物理性质和化学性质及安全保管要求。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4</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要随时了解易制毒化学品库的库存、实物的情况，物品摆放要符合规定，做到分类安全合理、摆放整齐，并配备消防器材。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5</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药品类易制毒化学品的出入库情况，应在电脑内备案，并能随时调阅。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6</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人员进出仓库必须严格，禁止领用人单独进入易制毒化学品库，库门要随开随锁。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7</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对过期、损坏的药品类易制毒化学品应当登记造册，并向所在地县级以上地方食品药品监督管理部门申请销毁。食品药品监督管理部门应当自接到申请之日起5日内到现场监督销毁。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8</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发生药品类易制毒化学品被盗、被抢、丢失或者其他流入非法渠道情形的，应当立即报告</w:t>
      </w:r>
      <w:r>
        <w:rPr>
          <w:rFonts w:ascii="仿宋_GB2312" w:eastAsia="仿宋_GB2312" w:hAnsi="仿宋_GB2312" w:cs="仿宋_GB2312" w:hint="eastAsia"/>
          <w:color w:val="auto"/>
          <w:sz w:val="24"/>
          <w:szCs w:val="24"/>
          <w:lang w:eastAsia="zh-CN"/>
        </w:rPr>
        <w:t>本院保卫科、</w:t>
      </w:r>
      <w:r>
        <w:rPr>
          <w:rFonts w:ascii="仿宋_GB2312" w:eastAsia="仿宋_GB2312" w:hAnsi="仿宋_GB2312" w:cs="仿宋_GB2312" w:hint="eastAsia"/>
          <w:color w:val="auto"/>
          <w:sz w:val="24"/>
          <w:szCs w:val="24"/>
        </w:rPr>
        <w:t>当地公安机关和县级以上地方食品药品监督管理部门。接到报案的食品药品监督管理部门应当逐级上报，并配合公安机关查处。 </w:t>
      </w:r>
    </w:p>
    <w:p>
      <w:pPr>
        <w:spacing w:line="360" w:lineRule="auto"/>
        <w:ind w:firstLine="480" w:firstLineChars="200"/>
        <w:rPr>
          <w:rFonts w:ascii="仿宋_GB2312" w:eastAsia="仿宋_GB2312" w:hAnsi="仿宋_GB2312" w:cs="仿宋_GB2312" w:hint="eastAsia"/>
          <w:color w:val="auto"/>
          <w:sz w:val="24"/>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_GB2312" w:eastAsia="仿宋_GB2312" w:hAnsi="仿宋_GB2312" w:cs="仿宋_GB2312" w:hint="eastAsia"/>
          <w:color w:val="auto"/>
          <w:sz w:val="24"/>
          <w:szCs w:val="24"/>
        </w:rPr>
        <w:t>9</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易制毒化学品的废弃处理，必须</w:t>
      </w:r>
      <w:r>
        <w:rPr>
          <w:rFonts w:ascii="仿宋_GB2312" w:eastAsia="仿宋_GB2312" w:hAnsi="仿宋_GB2312" w:cs="仿宋_GB2312" w:hint="eastAsia"/>
          <w:color w:val="auto"/>
          <w:sz w:val="24"/>
          <w:szCs w:val="24"/>
          <w:lang w:eastAsia="zh-CN"/>
        </w:rPr>
        <w:t>制定</w:t>
      </w:r>
      <w:r>
        <w:rPr>
          <w:rFonts w:ascii="仿宋_GB2312" w:eastAsia="仿宋_GB2312" w:hAnsi="仿宋_GB2312" w:cs="仿宋_GB2312" w:hint="eastAsia"/>
          <w:color w:val="auto"/>
          <w:sz w:val="24"/>
          <w:szCs w:val="24"/>
        </w:rPr>
        <w:t>周密的安全保障措施，并经有关部门批准后方可处理。</w:t>
      </w:r>
    </w:p>
    <w:p>
      <w:pPr>
        <w:spacing w:line="360" w:lineRule="auto"/>
        <w:jc w:val="both"/>
        <w:rPr>
          <w:rFonts w:ascii="黑体" w:eastAsia="黑体" w:hAnsi="黑体" w:cs="黑体" w:hint="eastAsia"/>
          <w:b/>
          <w:bCs/>
          <w:color w:val="auto"/>
          <w:sz w:val="28"/>
          <w:szCs w:val="28"/>
        </w:rPr>
      </w:pPr>
      <w:r>
        <w:rPr>
          <w:rFonts w:ascii="黑体" w:eastAsia="黑体" w:hAnsi="黑体" w:cs="黑体" w:hint="eastAsia"/>
          <w:b/>
          <w:bCs/>
          <w:color w:val="auto"/>
          <w:sz w:val="28"/>
          <w:szCs w:val="28"/>
          <w:lang w:eastAsia="zh-CN"/>
        </w:rPr>
        <w:t>九、</w:t>
      </w:r>
      <w:r>
        <w:rPr>
          <w:rFonts w:ascii="黑体" w:eastAsia="黑体" w:hAnsi="黑体" w:cs="黑体" w:hint="eastAsia"/>
          <w:b/>
          <w:bCs/>
          <w:color w:val="auto"/>
          <w:sz w:val="28"/>
          <w:szCs w:val="28"/>
        </w:rPr>
        <w:t>抗菌药物分级管理制度</w:t>
      </w:r>
    </w:p>
    <w:p>
      <w:pPr>
        <w:spacing w:line="360" w:lineRule="auto"/>
        <w:ind w:firstLine="480" w:firstLineChars="200"/>
        <w:jc w:val="left"/>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根据《抗菌药物临床应用管理办法》和《抗菌药物临床应用指导原则》(以下简称指导原则)</w:t>
      </w:r>
      <w:r>
        <w:rPr>
          <w:rFonts w:ascii="仿宋_GB2312" w:eastAsia="仿宋_GB2312" w:hAnsi="仿宋_GB2312" w:cs="仿宋_GB2312" w:hint="eastAsia"/>
          <w:color w:val="auto"/>
          <w:sz w:val="24"/>
          <w:szCs w:val="24"/>
          <w:lang w:eastAsia="zh-CN"/>
        </w:rPr>
        <w:t>等</w:t>
      </w:r>
      <w:r>
        <w:rPr>
          <w:rFonts w:ascii="仿宋_GB2312" w:eastAsia="仿宋_GB2312" w:hAnsi="仿宋_GB2312" w:cs="仿宋_GB2312" w:hint="eastAsia"/>
          <w:color w:val="auto"/>
          <w:sz w:val="24"/>
          <w:szCs w:val="24"/>
        </w:rPr>
        <w:t>文件精神，结合我院实际情况，制定</w:t>
      </w:r>
      <w:r>
        <w:rPr>
          <w:rFonts w:ascii="仿宋_GB2312" w:eastAsia="仿宋_GB2312" w:hAnsi="仿宋_GB2312" w:cs="仿宋_GB2312" w:hint="eastAsia"/>
          <w:color w:val="auto"/>
          <w:sz w:val="24"/>
          <w:szCs w:val="24"/>
          <w:lang w:eastAsia="zh-CN"/>
        </w:rPr>
        <w:t>本制度</w:t>
      </w:r>
      <w:r>
        <w:rPr>
          <w:rFonts w:ascii="仿宋_GB2312" w:eastAsia="仿宋_GB2312" w:hAnsi="仿宋_GB2312" w:cs="仿宋_GB2312" w:hint="eastAsia"/>
          <w:color w:val="auto"/>
          <w:sz w:val="24"/>
          <w:szCs w:val="24"/>
        </w:rPr>
        <w:t>。</w:t>
      </w:r>
    </w:p>
    <w:p>
      <w:pPr>
        <w:spacing w:line="360" w:lineRule="auto"/>
        <w:ind w:firstLine="480" w:firstLineChars="200"/>
        <w:jc w:val="left"/>
        <w:rPr>
          <w:rFonts w:ascii="仿宋_GB2312" w:eastAsia="仿宋_GB2312" w:hAnsi="仿宋_GB2312" w:cs="仿宋_GB2312" w:hint="eastAsia"/>
          <w:color w:val="auto"/>
          <w:sz w:val="24"/>
          <w:shd w:val="clear" w:color="auto" w:fill="FFFFFF"/>
        </w:rPr>
      </w:pPr>
      <w:r>
        <w:rPr>
          <w:rFonts w:ascii="仿宋_GB2312" w:eastAsia="仿宋_GB2312" w:hAnsi="仿宋_GB2312" w:cs="仿宋_GB2312" w:hint="eastAsia"/>
          <w:color w:val="auto"/>
          <w:sz w:val="24"/>
          <w:szCs w:val="24"/>
          <w:lang w:eastAsia="zh-CN"/>
        </w:rPr>
        <w:t>（一）</w:t>
      </w:r>
      <w:r>
        <w:rPr>
          <w:rFonts w:ascii="仿宋_GB2312" w:eastAsia="仿宋_GB2312" w:hAnsi="仿宋_GB2312" w:cs="仿宋_GB2312" w:hint="eastAsia"/>
          <w:color w:val="auto"/>
          <w:sz w:val="24"/>
          <w:szCs w:val="24"/>
          <w:shd w:val="clear" w:color="auto" w:fill="FFFFFF"/>
        </w:rPr>
        <w:t>根据安全性、疗效、细菌耐药性、价格等因素，将抗菌药物分为三级：非限制使用级、限制使用级</w:t>
      </w:r>
      <w:r>
        <w:rPr>
          <w:rFonts w:ascii="仿宋_GB2312" w:eastAsia="仿宋_GB2312" w:hAnsi="仿宋_GB2312" w:cs="仿宋_GB2312" w:hint="eastAsia"/>
          <w:color w:val="auto"/>
          <w:sz w:val="24"/>
          <w:szCs w:val="24"/>
          <w:shd w:val="clear" w:color="auto" w:fill="FFFFFF"/>
          <w:lang w:eastAsia="zh-CN"/>
        </w:rPr>
        <w:t>以及</w:t>
      </w:r>
      <w:r>
        <w:rPr>
          <w:rFonts w:ascii="仿宋_GB2312" w:eastAsia="仿宋_GB2312" w:hAnsi="仿宋_GB2312" w:cs="仿宋_GB2312" w:hint="eastAsia"/>
          <w:color w:val="auto"/>
          <w:sz w:val="24"/>
          <w:szCs w:val="24"/>
          <w:shd w:val="clear" w:color="auto" w:fill="FFFFFF"/>
        </w:rPr>
        <w:t>特殊使用级。具体划分标准如下：</w:t>
      </w:r>
    </w:p>
    <w:p>
      <w:pPr>
        <w:numPr>
          <w:ilvl w:val="0"/>
          <w:numId w:val="0"/>
        </w:numPr>
        <w:spacing w:line="360" w:lineRule="auto"/>
        <w:ind w:firstLine="480" w:firstLineChars="200"/>
        <w:jc w:val="left"/>
        <w:rPr>
          <w:rFonts w:ascii="仿宋_GB2312" w:eastAsia="仿宋_GB2312" w:hAnsi="仿宋_GB2312" w:cs="仿宋_GB2312" w:hint="eastAsia"/>
          <w:color w:val="auto"/>
          <w:sz w:val="24"/>
          <w:shd w:val="clear" w:color="auto" w:fill="FFFFFF"/>
        </w:rPr>
      </w:pPr>
      <w:r>
        <w:rPr>
          <w:rFonts w:ascii="仿宋_GB2312" w:eastAsia="仿宋_GB2312" w:hAnsi="仿宋_GB2312" w:cs="仿宋_GB2312" w:hint="eastAsia"/>
          <w:color w:val="auto"/>
          <w:sz w:val="24"/>
          <w:szCs w:val="24"/>
          <w:shd w:val="clear" w:color="auto" w:fill="FFFFFF"/>
          <w:lang w:val="en-US" w:eastAsia="zh-CN"/>
        </w:rPr>
        <w:t>1.</w:t>
      </w:r>
      <w:r>
        <w:rPr>
          <w:rFonts w:ascii="仿宋_GB2312" w:eastAsia="仿宋_GB2312" w:hAnsi="仿宋_GB2312" w:cs="仿宋_GB2312" w:hint="eastAsia"/>
          <w:color w:val="auto"/>
          <w:sz w:val="24"/>
          <w:szCs w:val="24"/>
          <w:shd w:val="clear" w:color="auto" w:fill="FFFFFF"/>
        </w:rPr>
        <w:t>非限制使用级抗菌药物是指经长期临床应用证明安全、有效，对细菌耐药性影响较小，价格相对较低的抗菌药物；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val="en-US" w:eastAsia="zh-CN"/>
        </w:rPr>
        <w:t>2.</w:t>
      </w:r>
      <w:r>
        <w:rPr>
          <w:rFonts w:ascii="仿宋_GB2312" w:eastAsia="仿宋_GB2312" w:hAnsi="仿宋_GB2312" w:cs="仿宋_GB2312" w:hint="eastAsia"/>
          <w:color w:val="auto"/>
          <w:sz w:val="24"/>
          <w:szCs w:val="24"/>
          <w:shd w:val="clear" w:color="auto" w:fill="FFFFFF"/>
        </w:rPr>
        <w:t>限制使用级抗菌药物是指经长期临床应用证明安全、有效，对细菌耐药性影响较大，或者价格相对较高的抗菌药物；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val="en-US" w:eastAsia="zh-CN"/>
        </w:rPr>
        <w:t>3.</w:t>
      </w:r>
      <w:r>
        <w:rPr>
          <w:rFonts w:ascii="仿宋_GB2312" w:eastAsia="仿宋_GB2312" w:hAnsi="仿宋_GB2312" w:cs="仿宋_GB2312" w:hint="eastAsia"/>
          <w:color w:val="auto"/>
          <w:sz w:val="24"/>
          <w:szCs w:val="24"/>
          <w:shd w:val="clear" w:color="auto" w:fill="FFFFFF"/>
        </w:rPr>
        <w:t>特殊使用级抗菌药物是指具有以下情形之一的抗菌药物：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lang w:val="en-US" w:eastAsia="zh-CN"/>
        </w:rPr>
        <w:t>1</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rPr>
        <w:t>具有明显或者严重不良反应，不宜随意使用的抗菌药物；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lang w:val="en-US" w:eastAsia="zh-CN"/>
        </w:rPr>
        <w:t>2</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rPr>
        <w:t>需要严格控制使用，避免细菌过快产生耐药的抗菌药物；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lang w:val="en-US" w:eastAsia="zh-CN"/>
        </w:rPr>
        <w:t>3</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rPr>
        <w:t>疗效、安全性方面的临床资料较少的抗菌药物；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lang w:val="en-US" w:eastAsia="zh-CN"/>
        </w:rPr>
        <w:t>4</w:t>
      </w:r>
      <w:r>
        <w:rPr>
          <w:rFonts w:ascii="仿宋_GB2312" w:eastAsia="仿宋_GB2312" w:hAnsi="仿宋_GB2312" w:cs="仿宋_GB2312" w:hint="eastAsia"/>
          <w:color w:val="auto"/>
          <w:sz w:val="24"/>
          <w:szCs w:val="24"/>
          <w:shd w:val="clear" w:color="auto" w:fill="FFFFFF"/>
          <w:lang w:eastAsia="zh-CN"/>
        </w:rPr>
        <w:t>）</w:t>
      </w:r>
      <w:r>
        <w:rPr>
          <w:rFonts w:ascii="仿宋_GB2312" w:eastAsia="仿宋_GB2312" w:hAnsi="仿宋_GB2312" w:cs="仿宋_GB2312" w:hint="eastAsia"/>
          <w:color w:val="auto"/>
          <w:sz w:val="24"/>
          <w:szCs w:val="24"/>
          <w:shd w:val="clear" w:color="auto" w:fill="FFFFFF"/>
        </w:rPr>
        <w:t>价格昂贵的抗菌药物。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xml:space="preserve">    </w:t>
      </w:r>
      <w:r>
        <w:rPr>
          <w:rFonts w:ascii="仿宋_GB2312" w:eastAsia="仿宋_GB2312" w:hAnsi="仿宋_GB2312" w:cs="仿宋_GB2312" w:hint="eastAsia"/>
          <w:color w:val="auto"/>
          <w:sz w:val="24"/>
          <w:szCs w:val="24"/>
          <w:shd w:val="clear" w:color="auto" w:fill="FFFFFF"/>
          <w:lang w:eastAsia="zh-CN"/>
        </w:rPr>
        <w:t>（二）</w:t>
      </w:r>
      <w:r>
        <w:rPr>
          <w:rFonts w:ascii="仿宋_GB2312" w:eastAsia="仿宋_GB2312" w:hAnsi="仿宋_GB2312" w:cs="仿宋_GB2312" w:hint="eastAsia"/>
          <w:color w:val="auto"/>
          <w:sz w:val="24"/>
          <w:szCs w:val="24"/>
          <w:shd w:val="clear" w:color="auto" w:fill="FFFFFF"/>
        </w:rPr>
        <w:t>按照四川省卫</w:t>
      </w:r>
      <w:r>
        <w:rPr>
          <w:rFonts w:ascii="仿宋_GB2312" w:eastAsia="仿宋_GB2312" w:hAnsi="仿宋_GB2312" w:cs="仿宋_GB2312" w:hint="eastAsia"/>
          <w:color w:val="auto"/>
          <w:sz w:val="24"/>
          <w:szCs w:val="24"/>
          <w:shd w:val="clear" w:color="auto" w:fill="FFFFFF"/>
          <w:lang w:eastAsia="zh-CN"/>
        </w:rPr>
        <w:t>健</w:t>
      </w:r>
      <w:r>
        <w:rPr>
          <w:rFonts w:ascii="仿宋_GB2312" w:eastAsia="仿宋_GB2312" w:hAnsi="仿宋_GB2312" w:cs="仿宋_GB2312" w:hint="eastAsia"/>
          <w:color w:val="auto"/>
          <w:sz w:val="24"/>
          <w:szCs w:val="24"/>
          <w:shd w:val="clear" w:color="auto" w:fill="FFFFFF"/>
        </w:rPr>
        <w:t>委制定的抗菌药物分级管理目录，制定本院抗菌药物供应目录，并向核发其《医疗机构执业许可证》的卫生行政部门备案。医院抗菌药物供应目录包括采购抗菌药物的品种、品规。未经备案的抗菌药物品种、品规，不得采购。</w:t>
      </w:r>
    </w:p>
    <w:p>
      <w:pPr>
        <w:spacing w:line="360" w:lineRule="auto"/>
        <w:ind w:firstLine="480" w:firstLineChars="200"/>
        <w:jc w:val="left"/>
        <w:rPr>
          <w:rFonts w:ascii="仿宋_GB2312" w:eastAsia="仿宋_GB2312" w:hAnsi="仿宋_GB2312" w:cs="仿宋_GB2312" w:hint="eastAsia"/>
          <w:color w:val="auto"/>
          <w:sz w:val="24"/>
          <w:shd w:val="clear" w:color="auto" w:fill="FFFFFF"/>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_GB2312" w:eastAsia="仿宋_GB2312" w:hAnsi="仿宋_GB2312" w:cs="仿宋_GB2312" w:hint="eastAsia"/>
          <w:color w:val="auto"/>
          <w:sz w:val="24"/>
          <w:szCs w:val="24"/>
          <w:shd w:val="clear" w:color="auto" w:fill="FFFFFF"/>
          <w:lang w:eastAsia="zh-CN"/>
        </w:rPr>
        <w:t>（三）</w:t>
      </w:r>
      <w:r>
        <w:rPr>
          <w:rFonts w:ascii="仿宋_GB2312" w:eastAsia="仿宋_GB2312" w:hAnsi="仿宋_GB2312" w:cs="仿宋_GB2312" w:hint="eastAsia"/>
          <w:color w:val="auto"/>
          <w:sz w:val="24"/>
          <w:szCs w:val="24"/>
          <w:shd w:val="clear" w:color="auto" w:fill="FFFFFF"/>
        </w:rPr>
        <w:t>具有高级专业技术职务任职资格的医师，可授予特殊使用级抗菌药物处方权；具有中级以上专业技术职务任职资格的医师，可授予限制使用级抗菌药物处方权；具有初级专业技术职务任职资格的医师，可授予非限制使用级抗菌药物处方权。药师经培训并考核合格后，方可获得抗菌药物调剂资格。</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xml:space="preserve">    </w:t>
      </w:r>
      <w:r>
        <w:rPr>
          <w:rFonts w:ascii="仿宋_GB2312" w:eastAsia="仿宋_GB2312" w:hAnsi="仿宋_GB2312" w:cs="仿宋_GB2312" w:hint="eastAsia"/>
          <w:color w:val="auto"/>
          <w:sz w:val="24"/>
          <w:szCs w:val="24"/>
          <w:shd w:val="clear" w:color="auto" w:fill="FFFFFF"/>
          <w:lang w:eastAsia="zh-CN"/>
        </w:rPr>
        <w:t>（四）</w:t>
      </w:r>
      <w:r>
        <w:rPr>
          <w:rFonts w:ascii="仿宋_GB2312" w:eastAsia="仿宋_GB2312" w:hAnsi="仿宋_GB2312" w:cs="仿宋_GB2312" w:hint="eastAsia"/>
          <w:color w:val="auto"/>
          <w:sz w:val="24"/>
          <w:szCs w:val="24"/>
          <w:shd w:val="clear" w:color="auto" w:fill="FFFFFF"/>
        </w:rPr>
        <w:t>预防性使用抗菌药物要严格掌握预防感染的</w:t>
      </w:r>
      <w:r>
        <w:rPr>
          <w:rFonts w:ascii="仿宋_GB2312" w:eastAsia="仿宋_GB2312" w:hAnsi="仿宋_GB2312" w:cs="仿宋_GB2312" w:hint="eastAsia"/>
          <w:color w:val="auto"/>
          <w:sz w:val="24"/>
          <w:szCs w:val="24"/>
          <w:shd w:val="clear" w:color="auto" w:fill="FFFFFF"/>
          <w:lang w:eastAsia="zh-CN"/>
        </w:rPr>
        <w:t>指征</w:t>
      </w:r>
      <w:r>
        <w:rPr>
          <w:rFonts w:ascii="仿宋_GB2312" w:eastAsia="仿宋_GB2312" w:hAnsi="仿宋_GB2312" w:cs="仿宋_GB2312" w:hint="eastAsia"/>
          <w:color w:val="auto"/>
          <w:sz w:val="24"/>
          <w:szCs w:val="24"/>
          <w:shd w:val="clear" w:color="auto" w:fill="FFFFFF"/>
        </w:rPr>
        <w:t>。预防感染、治疗轻度或者局部感染应当首选非限制使用级抗菌药物；严重感染、免疫功能低下合并感染或者病原菌只对限制使用级抗菌药物敏感时，方可选用限制使用级抗菌药物。</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xml:space="preserve">    </w:t>
      </w:r>
      <w:r>
        <w:rPr>
          <w:rFonts w:ascii="仿宋_GB2312" w:eastAsia="仿宋_GB2312" w:hAnsi="仿宋_GB2312" w:cs="仿宋_GB2312" w:hint="eastAsia"/>
          <w:color w:val="auto"/>
          <w:sz w:val="24"/>
          <w:szCs w:val="24"/>
          <w:shd w:val="clear" w:color="auto" w:fill="FFFFFF"/>
          <w:lang w:eastAsia="zh-CN"/>
        </w:rPr>
        <w:t>（五）</w:t>
      </w:r>
      <w:r>
        <w:rPr>
          <w:rFonts w:ascii="仿宋_GB2312" w:eastAsia="仿宋_GB2312" w:hAnsi="仿宋_GB2312" w:cs="仿宋_GB2312" w:hint="eastAsia"/>
          <w:color w:val="auto"/>
          <w:sz w:val="24"/>
          <w:szCs w:val="24"/>
          <w:shd w:val="clear" w:color="auto" w:fill="FFFFFF"/>
        </w:rPr>
        <w:t>严格控制特殊使用级抗菌药物使用。特殊使用级抗菌药物不得在门诊使用。</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xml:space="preserve">    </w:t>
      </w:r>
      <w:r>
        <w:rPr>
          <w:rFonts w:ascii="仿宋_GB2312" w:eastAsia="仿宋_GB2312" w:hAnsi="仿宋_GB2312" w:cs="仿宋_GB2312" w:hint="eastAsia"/>
          <w:color w:val="auto"/>
          <w:sz w:val="24"/>
          <w:szCs w:val="24"/>
          <w:shd w:val="clear" w:color="auto" w:fill="FFFFFF"/>
          <w:lang w:eastAsia="zh-CN"/>
        </w:rPr>
        <w:t>（六）</w:t>
      </w:r>
      <w:r>
        <w:rPr>
          <w:rFonts w:ascii="仿宋_GB2312" w:eastAsia="仿宋_GB2312" w:hAnsi="仿宋_GB2312" w:cs="仿宋_GB2312" w:hint="eastAsia"/>
          <w:color w:val="auto"/>
          <w:sz w:val="24"/>
          <w:szCs w:val="24"/>
          <w:shd w:val="clear" w:color="auto" w:fill="FFFFFF"/>
        </w:rPr>
        <w:t>临床应用特殊使用级抗菌药物应当严格掌握用药</w:t>
      </w:r>
      <w:r>
        <w:rPr>
          <w:rFonts w:ascii="仿宋_GB2312" w:eastAsia="仿宋_GB2312" w:hAnsi="仿宋_GB2312" w:cs="仿宋_GB2312" w:hint="eastAsia"/>
          <w:color w:val="auto"/>
          <w:sz w:val="24"/>
          <w:szCs w:val="24"/>
          <w:shd w:val="clear" w:color="auto" w:fill="FFFFFF"/>
          <w:lang w:eastAsia="zh-CN"/>
        </w:rPr>
        <w:t>指征</w:t>
      </w:r>
      <w:r>
        <w:rPr>
          <w:rFonts w:ascii="仿宋_GB2312" w:eastAsia="仿宋_GB2312" w:hAnsi="仿宋_GB2312" w:cs="仿宋_GB2312" w:hint="eastAsia"/>
          <w:color w:val="auto"/>
          <w:sz w:val="24"/>
          <w:szCs w:val="24"/>
          <w:shd w:val="clear" w:color="auto" w:fill="FFFFFF"/>
        </w:rPr>
        <w:t>，经抗菌药物管理工作组指定的专业技术人员会诊同意后，由具有相应处方权医师开具处方。</w:t>
      </w:r>
      <w:r>
        <w:rPr>
          <w:rFonts w:ascii="仿宋_GB2312" w:eastAsia="仿宋_GB2312" w:hAnsi="仿宋_GB2312" w:cs="仿宋_GB2312" w:hint="eastAsia"/>
          <w:color w:val="auto"/>
          <w:sz w:val="24"/>
          <w:szCs w:val="24"/>
          <w:shd w:val="clear" w:color="auto" w:fill="FFFFFF"/>
        </w:rPr>
        <w:br/>
      </w:r>
    </w:p>
    <w:p>
      <w:pPr>
        <w:spacing w:line="360" w:lineRule="auto"/>
        <w:ind w:firstLine="480" w:firstLineChars="200"/>
        <w:jc w:val="left"/>
        <w:rPr>
          <w:rFonts w:ascii="仿宋_GB2312" w:eastAsia="仿宋_GB2312" w:hAnsi="仿宋_GB2312" w:cs="仿宋_GB2312" w:hint="eastAsia"/>
          <w:color w:val="auto"/>
          <w:sz w:val="24"/>
          <w:shd w:val="clear" w:color="auto" w:fill="FFFFFF"/>
        </w:rPr>
      </w:pPr>
      <w:r>
        <w:rPr>
          <w:rFonts w:ascii="仿宋_GB2312" w:eastAsia="仿宋_GB2312" w:hAnsi="仿宋_GB2312" w:cs="仿宋_GB2312" w:hint="eastAsia"/>
          <w:color w:val="auto"/>
          <w:sz w:val="24"/>
          <w:szCs w:val="24"/>
          <w:shd w:val="clear" w:color="auto" w:fill="FFFFFF"/>
        </w:rPr>
        <w:t>　　</w:t>
      </w:r>
      <w:r>
        <w:rPr>
          <w:rFonts w:ascii="仿宋_GB2312" w:eastAsia="仿宋_GB2312" w:hAnsi="仿宋_GB2312" w:cs="仿宋_GB2312" w:hint="eastAsia"/>
          <w:color w:val="auto"/>
          <w:sz w:val="24"/>
          <w:szCs w:val="24"/>
          <w:shd w:val="clear" w:color="auto" w:fill="FFFFFF"/>
          <w:lang w:eastAsia="zh-CN"/>
        </w:rPr>
        <w:t>（七）</w:t>
      </w:r>
      <w:r>
        <w:rPr>
          <w:rFonts w:ascii="仿宋_GB2312" w:eastAsia="仿宋_GB2312" w:hAnsi="仿宋_GB2312" w:cs="仿宋_GB2312" w:hint="eastAsia"/>
          <w:color w:val="auto"/>
          <w:sz w:val="24"/>
          <w:szCs w:val="24"/>
          <w:shd w:val="clear" w:color="auto" w:fill="FFFFFF"/>
        </w:rPr>
        <w:t>特殊使用级抗菌药物会诊人员由具有抗菌药物临床应用经验的感染性疾病科、呼吸科、重症医学科、微生物检验科、药学部门等具有高级专业技术职务任职资格的医师</w:t>
      </w:r>
      <w:r>
        <w:rPr>
          <w:rFonts w:ascii="仿宋_GB2312" w:eastAsia="仿宋_GB2312" w:hAnsi="仿宋_GB2312" w:cs="仿宋_GB2312" w:hint="eastAsia"/>
          <w:color w:val="auto"/>
          <w:sz w:val="24"/>
          <w:szCs w:val="24"/>
          <w:shd w:val="clear" w:color="auto" w:fill="FFFFFF"/>
          <w:lang w:eastAsia="zh-CN"/>
        </w:rPr>
        <w:t>和抗菌药物等相关专业临床药师担任</w:t>
      </w:r>
      <w:r>
        <w:rPr>
          <w:rFonts w:ascii="仿宋_GB2312" w:eastAsia="仿宋_GB2312" w:hAnsi="仿宋_GB2312" w:cs="仿宋_GB2312" w:hint="eastAsia"/>
          <w:color w:val="auto"/>
          <w:sz w:val="24"/>
          <w:szCs w:val="24"/>
          <w:shd w:val="clear" w:color="auto" w:fill="FFFFFF"/>
        </w:rPr>
        <w:t>。特殊使用级抗菌药物会诊专家组人员由抗菌药物管理工作组确定。</w:t>
      </w:r>
      <w:r>
        <w:rPr>
          <w:rFonts w:ascii="仿宋_GB2312" w:eastAsia="仿宋_GB2312" w:hAnsi="仿宋_GB2312" w:cs="仿宋_GB2312" w:hint="eastAsia"/>
          <w:color w:val="auto"/>
          <w:sz w:val="24"/>
          <w:szCs w:val="24"/>
          <w:shd w:val="clear" w:color="auto" w:fill="FFFFFF"/>
        </w:rPr>
        <w:br/>
      </w:r>
      <w:r>
        <w:rPr>
          <w:rFonts w:ascii="仿宋_GB2312" w:eastAsia="仿宋_GB2312" w:hAnsi="仿宋_GB2312" w:cs="仿宋_GB2312" w:hint="eastAsia"/>
          <w:color w:val="auto"/>
          <w:sz w:val="24"/>
          <w:szCs w:val="24"/>
          <w:shd w:val="clear" w:color="auto" w:fill="FFFFFF"/>
        </w:rPr>
        <w:t xml:space="preserve">　  </w:t>
      </w:r>
      <w:r>
        <w:rPr>
          <w:rFonts w:ascii="仿宋_GB2312" w:eastAsia="仿宋_GB2312" w:hAnsi="仿宋_GB2312" w:cs="仿宋_GB2312" w:hint="eastAsia"/>
          <w:color w:val="auto"/>
          <w:sz w:val="24"/>
          <w:szCs w:val="24"/>
          <w:shd w:val="clear" w:color="auto" w:fill="FFFFFF"/>
          <w:lang w:eastAsia="zh-CN"/>
        </w:rPr>
        <w:t>（八）</w:t>
      </w:r>
      <w:r>
        <w:rPr>
          <w:rFonts w:ascii="仿宋_GB2312" w:eastAsia="仿宋_GB2312" w:hAnsi="仿宋_GB2312" w:cs="仿宋_GB2312" w:hint="eastAsia"/>
          <w:color w:val="auto"/>
          <w:sz w:val="24"/>
          <w:szCs w:val="24"/>
          <w:shd w:val="clear" w:color="auto" w:fill="FFFFFF"/>
        </w:rPr>
        <w:t>因抢救生命垂危的患者等紧急情况，医师可以越级使用抗菌药物。越级使用抗菌药物应当详细记录用药</w:t>
      </w:r>
      <w:r>
        <w:rPr>
          <w:rFonts w:ascii="仿宋_GB2312" w:eastAsia="仿宋_GB2312" w:hAnsi="仿宋_GB2312" w:cs="仿宋_GB2312" w:hint="eastAsia"/>
          <w:color w:val="auto"/>
          <w:sz w:val="24"/>
          <w:szCs w:val="24"/>
          <w:shd w:val="clear" w:color="auto" w:fill="FFFFFF"/>
          <w:lang w:eastAsia="zh-CN"/>
        </w:rPr>
        <w:t>指征</w:t>
      </w:r>
      <w:r>
        <w:rPr>
          <w:rFonts w:ascii="仿宋_GB2312" w:eastAsia="仿宋_GB2312" w:hAnsi="仿宋_GB2312" w:cs="仿宋_GB2312" w:hint="eastAsia"/>
          <w:color w:val="auto"/>
          <w:sz w:val="24"/>
          <w:szCs w:val="24"/>
          <w:shd w:val="clear" w:color="auto" w:fill="FFFFFF"/>
        </w:rPr>
        <w:t>，并应当于24小时内补办越级使用抗菌药物的必要手续。</w:t>
      </w:r>
    </w:p>
    <w:p>
      <w:pPr>
        <w:spacing w:line="360" w:lineRule="auto"/>
        <w:rPr>
          <w:rFonts w:ascii="黑体" w:eastAsia="黑体"/>
          <w:b/>
          <w:bCs/>
          <w:color w:val="auto"/>
          <w:sz w:val="13"/>
          <w:szCs w:val="13"/>
        </w:rPr>
      </w:pPr>
      <w:r>
        <w:rPr>
          <w:rFonts w:ascii="黑体" w:eastAsia="黑体" w:hAnsi="黑体" w:cs="黑体" w:hint="eastAsia"/>
          <w:b/>
          <w:bCs/>
          <w:color w:val="auto"/>
          <w:sz w:val="28"/>
          <w:szCs w:val="28"/>
          <w:lang w:eastAsia="zh-CN"/>
        </w:rPr>
        <w:t>十、</w:t>
      </w:r>
      <w:r>
        <w:rPr>
          <w:rFonts w:ascii="黑体" w:eastAsia="黑体" w:hAnsi="黑体" w:cs="黑体" w:hint="eastAsia"/>
          <w:b/>
          <w:bCs/>
          <w:color w:val="auto"/>
          <w:sz w:val="28"/>
          <w:szCs w:val="28"/>
        </w:rPr>
        <w:t>药品验收管理制度</w:t>
      </w:r>
    </w:p>
    <w:p>
      <w:pPr>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为加强药品入库验收的管理，保证我院购进的药品质量，保障临床用药的安全，根据《药品管理法》、《医疗机构药事管理规定》有关规定，特制定本制度。</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（一）验收药品必须在库房内划定的“待验药品区”进行。</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（二）验收内容包括：核对凭证、药品内外包装及标识检查，药品外观质量检查。</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1.核对凭证、供货单位、品名、规格、生产企业等。</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2.外观质量检查，根据药品剂型、类别，进行检查。</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3.检查包装是否牢固、标识印字是否清晰、内容是否齐全、证件包装是否有产品合格证。</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4.检查中小包装是否牢固、标识印字是否清晰、内容是否齐全，标签或说明书上是否有药品通用名称、规格、成分、生产企业、批准文号、产品批号、生产日期、有效期、适应症或功能主治、用法、用量、禁忌、不良反应、注意事项及储存条件等内容。</w:t>
      </w:r>
    </w:p>
    <w:p>
      <w:pPr>
        <w:tabs>
          <w:tab w:val="left" w:pos="0"/>
        </w:tabs>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5.检查外用药品包装的标签说明书上是否有规定的标识和警示说明；处方药和非处方药的标签、说明书上有相应的警示语和忠告语，非处方药有国家规定的专有标识。</w:t>
      </w:r>
    </w:p>
    <w:p>
      <w:pPr>
        <w:tabs>
          <w:tab w:val="left" w:pos="0"/>
        </w:tabs>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（三）验收首营品种时，</w:t>
      </w:r>
      <w:r>
        <w:rPr>
          <w:rFonts w:ascii="仿宋_GB2312" w:eastAsia="仿宋_GB2312" w:hAnsi="仿宋_GB2312" w:cs="仿宋_GB2312" w:hint="eastAsia"/>
          <w:color w:val="auto"/>
          <w:kern w:val="0"/>
          <w:sz w:val="24"/>
          <w:lang w:val="zh-CN"/>
        </w:rPr>
        <w:t>应进行质量审核。</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（四）麻醉药品验收：除核对一般药品的基本检查项目外，还需双人验收，双人签字，并有专用账册，专用登记记录，专柜储藏。</w:t>
      </w:r>
    </w:p>
    <w:p>
      <w:pPr>
        <w:tabs>
          <w:tab w:val="left" w:pos="0"/>
        </w:tabs>
        <w:autoSpaceDE w:val="0"/>
        <w:autoSpaceDN w:val="0"/>
        <w:adjustRightInd w:val="0"/>
        <w:spacing w:line="360" w:lineRule="auto"/>
        <w:ind w:firstLine="480" w:firstLineChars="200"/>
        <w:rPr>
          <w:rFonts w:ascii="仿宋_GB2312" w:eastAsia="仿宋_GB2312" w:hAnsi="仿宋_GB2312" w:cs="仿宋_GB2312"/>
          <w:color w:val="auto"/>
          <w:kern w:val="0"/>
          <w:sz w:val="24"/>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tabs>
          <w:tab w:val="left" w:pos="0"/>
        </w:tabs>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（五）生物药品验收：除核对一般药品的基本检查项目外，还需检查到货时的温度是否符合储存要求、索要《产品检验报告》和《生物制品批签发证明》复印件，均需加盖经营公司红色印章。</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六）进口药品验收时，应凭盖有供货单位质管机构原印章的该品种《进口药品注册证》和该品种批号《进口药品检验报告书》的复印件验收。并检查其包装的标签应以中文注明药品的名称、主要成分以及注册证号，并有中文说明书。</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（七）凡验收合格入库的药品，由保管员入合格药品库。验收不合格的药品，验收员拒收，置退货区暂存，通知采购员办理退货。</w:t>
      </w:r>
    </w:p>
    <w:p>
      <w:pPr>
        <w:autoSpaceDE w:val="0"/>
        <w:autoSpaceDN w:val="0"/>
        <w:adjustRightInd w:val="0"/>
        <w:spacing w:line="360" w:lineRule="auto"/>
        <w:ind w:firstLine="480" w:firstLineChars="200"/>
        <w:rPr>
          <w:rFonts w:ascii="仿宋_GB2312" w:eastAsia="仿宋_GB2312" w:hAnsi="仿宋_GB2312" w:cs="仿宋_GB2312"/>
          <w:color w:val="auto"/>
          <w:kern w:val="0"/>
          <w:sz w:val="24"/>
        </w:rPr>
      </w:pPr>
      <w:r>
        <w:rPr>
          <w:rFonts w:ascii="仿宋_GB2312" w:eastAsia="仿宋_GB2312" w:hAnsi="仿宋_GB2312" w:cs="仿宋_GB2312" w:hint="eastAsia"/>
          <w:color w:val="auto"/>
          <w:kern w:val="0"/>
          <w:sz w:val="24"/>
        </w:rPr>
        <w:t>（八）验收员做好购进和退回“药品验收记录”，结论准确、不缺项并签字。药品验收记录保存至超过药品有效期后一年，但不得少于三年。</w:t>
      </w:r>
    </w:p>
    <w:p>
      <w:pPr>
        <w:autoSpaceDE w:val="0"/>
        <w:autoSpaceDN w:val="0"/>
        <w:adjustRightInd w:val="0"/>
        <w:spacing w:line="360" w:lineRule="auto"/>
        <w:ind w:firstLine="475" w:firstLineChars="198"/>
        <w:jc w:val="left"/>
        <w:rPr>
          <w:rFonts w:ascii="仿宋_GB2312" w:eastAsia="仿宋_GB2312" w:hAnsi="仿宋_GB2312" w:cs="仿宋_GB2312"/>
          <w:color w:val="auto"/>
          <w:kern w:val="0"/>
          <w:sz w:val="24"/>
          <w:lang w:val="zh-CN"/>
        </w:rPr>
      </w:pPr>
      <w:r>
        <w:rPr>
          <w:rFonts w:ascii="仿宋_GB2312" w:eastAsia="仿宋_GB2312" w:hAnsi="仿宋_GB2312" w:cs="仿宋_GB2312" w:hint="eastAsia"/>
          <w:color w:val="auto"/>
          <w:kern w:val="0"/>
          <w:sz w:val="24"/>
          <w:lang w:val="zh-CN"/>
        </w:rPr>
        <w:t>（九）中药饮片应有包装，并附有质量合格的标志。包装上应标明品名、规格、产地、生产企业、产品批号、生产日期等。实施批准文号管理的中药饮片在包装上还必须注明批准文号。购进中药材应标明品名、产地、规格、供货单位。</w:t>
      </w:r>
    </w:p>
    <w:p>
      <w:pPr>
        <w:autoSpaceDE w:val="0"/>
        <w:autoSpaceDN w:val="0"/>
        <w:adjustRightInd w:val="0"/>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kern w:val="0"/>
          <w:sz w:val="24"/>
          <w:lang w:val="zh-CN"/>
        </w:rPr>
        <w:t>1.验收应在符合规定的场所进行，对质量可疑的药品应及时送规定的药品检验部门检验合格后方可入库。</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2.必须根据订货合同、采购计划、发票或随货同行联，详细核对药品名称、规格、数量、生产批号、生产企业及价格是否相符。</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rPr>
        <w:t>3.验收的药品如与采购计划药名、规格、数量和生产厂家不一致时应拒绝入库并及时上报采购部门和药学部。</w:t>
      </w:r>
    </w:p>
    <w:p>
      <w:pPr>
        <w:spacing w:line="360" w:lineRule="auto"/>
        <w:rPr>
          <w:rFonts w:ascii="仿宋_GB2312" w:eastAsia="仿宋_GB2312" w:hAnsi="仿宋_GB2312" w:cs="仿宋_GB2312"/>
          <w:color w:val="auto"/>
          <w:sz w:val="28"/>
          <w:szCs w:val="28"/>
        </w:rPr>
      </w:pPr>
      <w:r>
        <w:rPr>
          <w:rFonts w:ascii="黑体" w:eastAsia="黑体" w:hAnsi="黑体" w:cs="黑体" w:hint="eastAsia"/>
          <w:b/>
          <w:color w:val="auto"/>
          <w:sz w:val="28"/>
          <w:szCs w:val="28"/>
          <w:lang w:eastAsia="zh-CN"/>
        </w:rPr>
        <w:t>十一、</w:t>
      </w:r>
      <w:r>
        <w:rPr>
          <w:rFonts w:ascii="黑体" w:eastAsia="黑体" w:hAnsi="黑体" w:cs="黑体" w:hint="eastAsia"/>
          <w:b/>
          <w:color w:val="auto"/>
          <w:sz w:val="28"/>
          <w:szCs w:val="28"/>
        </w:rPr>
        <w:t>药品养护制度</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为保证药学部各部门储存药品的质量，规范药品储存方法，完善药品养护方法，根据《药品管理法》相关内容，特制定本制度。</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（一）药品养护原则</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药品养护工作坚持以预防为主，安全储存、科学养护、保证质量、降低损耗的原则。</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（二）药品养护方法</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1.药学部各部门指定专人负责养护工作，每月定期进行药品养护，并按时完成《药品养护登记本》的记录。</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2.从事药品养护工作的人员应熟悉库存药品的性质及储存要求，以便进行合理储存保管。</w:t>
      </w:r>
    </w:p>
    <w:p>
      <w:pPr>
        <w:spacing w:line="360" w:lineRule="auto"/>
        <w:ind w:firstLine="480" w:firstLineChars="200"/>
        <w:jc w:val="left"/>
        <w:rPr>
          <w:rFonts w:ascii="仿宋_GB2312" w:eastAsia="仿宋_GB2312" w:hAnsi="仿宋_GB2312" w:cs="仿宋_GB2312"/>
          <w:color w:val="auto"/>
          <w:sz w:val="24"/>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3.对易变质的药品、已有质量问题药品的相邻批号药品、储存时间较长的药品、近效期药品以及首次经营药品等，应适当增加养护次数。</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4.各调剂部门在药品存放的适宜地方必须挂放温、湿度计，并由组长或指定专人每日负责监测记录温、湿度并进行记录。如温湿度超出规定范围，应及时采取调控措施，并予以记录。</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5.对光线敏感的药物必须避光保存或存放于阴暗处；对温度有特别要求的药品必须按说明书规定存放，在冷藏处保存的药品应每日对冰箱温度进行监控，专人记录。</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6.存放的药品与地面、墙、顶、散热器之间应有相应的间隔或隔离措施。易破损的药品应控制堆放高度。</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7.药品应分类相对集中存放，按批号及近效期远近依次或分开堆放，并严格按规定贮存的条件进行保管。发放及使用近效期药品，必须坚持“先进先出”的原则。</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8.对中药材及中药饮片按其特性，采取干燥、降温等方法养护。</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9.部门组长或指定专人负责对养护用仪器设备、监控仪器、所用计量器具等进行定期检查和管理，保证正常使用。</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（三）处理措施</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1.养护过程中发现的有质量问题的药品要及时报告，确认不合格的药品停止发放，必要时追回发出药品。</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2.库房管理员、药房小组长应随时按照药品质量信息、国家质量公告不合格药品、明令禁止销售的药品、药监部门抽检不合格的药品等情况下发的通知，对在库药品进行核查，将检查结果报药学部主任。</w:t>
      </w:r>
    </w:p>
    <w:p>
      <w:pPr>
        <w:spacing w:line="360" w:lineRule="auto"/>
        <w:ind w:firstLine="480" w:firstLineChars="200"/>
        <w:jc w:val="left"/>
        <w:rPr>
          <w:rFonts w:ascii="仿宋_GB2312" w:eastAsia="仿宋_GB2312" w:hAnsi="仿宋_GB2312" w:cs="仿宋_GB2312"/>
          <w:color w:val="auto"/>
          <w:sz w:val="24"/>
        </w:rPr>
      </w:pPr>
      <w:r>
        <w:rPr>
          <w:rFonts w:ascii="仿宋_GB2312" w:eastAsia="仿宋_GB2312" w:hAnsi="仿宋_GB2312" w:cs="仿宋_GB2312" w:hint="eastAsia"/>
          <w:color w:val="auto"/>
          <w:sz w:val="24"/>
        </w:rPr>
        <w:t>3.对工作不认真负责，未按照规定存放、养护和使用等造成药品过期、变质而造成损失者，将上报药品质量管理组给予有关人员相应处罚。</w:t>
      </w:r>
    </w:p>
    <w:p>
      <w:pPr>
        <w:spacing w:line="360" w:lineRule="auto"/>
        <w:ind w:firstLine="480" w:firstLineChars="200"/>
        <w:jc w:val="left"/>
        <w:rPr>
          <w:rFonts w:ascii="仿宋_GB2312" w:eastAsia="仿宋_GB2312" w:hAnsi="仿宋_GB2312" w:cs="仿宋_GB2312"/>
          <w:color w:val="auto"/>
          <w:sz w:val="24"/>
        </w:rPr>
      </w:pPr>
    </w:p>
    <w:p>
      <w:pPr>
        <w:spacing w:line="360" w:lineRule="auto"/>
        <w:rPr>
          <w:rFonts w:ascii="方正小标宋_GBK" w:eastAsia="方正小标宋_GBK" w:hAnsi="方正小标宋_GBK" w:cs="方正小标宋_GBK"/>
          <w:b/>
          <w:bCs/>
          <w:color w:val="auto"/>
          <w:sz w:val="13"/>
          <w:szCs w:val="13"/>
        </w:rPr>
      </w:pPr>
      <w:r>
        <w:rPr>
          <w:rFonts w:ascii="黑体" w:eastAsia="黑体" w:hAnsi="黑体" w:cs="黑体" w:hint="eastAsia"/>
          <w:b/>
          <w:bCs/>
          <w:color w:val="auto"/>
          <w:sz w:val="28"/>
          <w:szCs w:val="28"/>
          <w:lang w:eastAsia="zh-CN"/>
        </w:rPr>
        <w:t>十二</w:t>
      </w:r>
      <w:r>
        <w:rPr>
          <w:rFonts w:ascii="黑体" w:eastAsia="黑体" w:hAnsi="黑体" w:cs="黑体" w:hint="eastAsia"/>
          <w:b/>
          <w:bCs/>
          <w:color w:val="auto"/>
          <w:sz w:val="28"/>
          <w:szCs w:val="28"/>
        </w:rPr>
        <w:t>、药品效期管理制度</w:t>
      </w:r>
    </w:p>
    <w:p>
      <w:pPr>
        <w:numPr>
          <w:ilvl w:val="0"/>
          <w:numId w:val="6"/>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药品按批号进行储存管理，根据药品的有效期存放，按效期远近堆码。药品按先产先出，近效期先出的原则发放。</w:t>
      </w:r>
    </w:p>
    <w:p>
      <w:pPr>
        <w:numPr>
          <w:ilvl w:val="0"/>
          <w:numId w:val="6"/>
        </w:numPr>
        <w:spacing w:line="360" w:lineRule="auto"/>
        <w:ind w:firstLine="480" w:firstLineChars="200"/>
        <w:rPr>
          <w:rFonts w:ascii="仿宋_GB2312" w:eastAsia="仿宋_GB2312" w:hAnsi="仿宋_GB2312" w:cs="仿宋_GB2312"/>
          <w:color w:val="auto"/>
          <w:sz w:val="24"/>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numPr>
          <w:ilvl w:val="0"/>
          <w:numId w:val="0"/>
        </w:numPr>
        <w:spacing w:line="360" w:lineRule="auto"/>
        <w:ind w:left="0"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未标明有效期的药品，入库验收时按不合格药品处理，验收员应拒绝收货。近效期药品（效期≤6个月）原则上不得购进，不得验收入库，特殊情况需药学部主任签字同意方可购进。</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原则上有效期截至日期不足3个月的药品不能领用，特殊情况除外。</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每月定期进行近效期药品的清理与核对，并填写《近效期药品登记本》，粘贴警示标志以作提醒。</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各科抢救车近效期药品应至少在失效6个月前与住院药房进行调换，并填写《近效期药品调换登记本》，再由药学部统一管理，不得私自调换。</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各药房从药库领取药品时，应根据使用需求控制品种、数量和有效期，既要保障临床用药需求，又要防止过期失效。 </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发给患者的药品，必须计算确保药品在效期内用完，否则不能发出。 </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当清查到用量较少的近效期药品时，药房各部门组长应及时上报科主任，与临床医师进行沟通尽量在效期内使用完，采购部门通知药品配送公司作退货准备。</w:t>
      </w:r>
    </w:p>
    <w:p>
      <w:pPr>
        <w:numPr>
          <w:ilvl w:val="0"/>
          <w:numId w:val="3"/>
        </w:num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过期失效药品应填写《不合格药品登记本》，药学部将过期药品统一收集交总务科专门保管并做好交接登记 。   </w:t>
      </w:r>
    </w:p>
    <w:p>
      <w:pPr>
        <w:rPr>
          <w:rFonts w:ascii="黑体" w:eastAsia="黑体" w:hAnsi="黑体" w:cs="黑体"/>
          <w:color w:val="auto"/>
          <w:sz w:val="24"/>
        </w:rPr>
      </w:pPr>
    </w:p>
    <w:p>
      <w:pPr>
        <w:spacing w:line="360" w:lineRule="auto"/>
        <w:rPr>
          <w:rFonts w:ascii="宋体" w:hAnsi="宋体"/>
          <w:color w:val="auto"/>
          <w:sz w:val="11"/>
          <w:szCs w:val="11"/>
        </w:rPr>
      </w:pPr>
      <w:r>
        <w:rPr>
          <w:rFonts w:ascii="黑体" w:eastAsia="黑体" w:hAnsi="黑体" w:cs="黑体" w:hint="eastAsia"/>
          <w:b/>
          <w:color w:val="auto"/>
          <w:sz w:val="28"/>
          <w:szCs w:val="28"/>
          <w:lang w:eastAsia="zh-CN"/>
        </w:rPr>
        <w:t>十三</w:t>
      </w:r>
      <w:r>
        <w:rPr>
          <w:rFonts w:ascii="黑体" w:eastAsia="黑体" w:hAnsi="黑体" w:cs="黑体" w:hint="eastAsia"/>
          <w:b/>
          <w:color w:val="auto"/>
          <w:sz w:val="28"/>
          <w:szCs w:val="28"/>
        </w:rPr>
        <w:t>、药品储存管理制度</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rPr>
        <w:t>为保证我院药品管理科学、规范，储存合理，根据《药品管理法》、《医疗机构药品质量管理规范》等法律法规，特制定本制度。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（一）药品应按储存温、湿度要求，分别储存于阴凉库、常温库或冷藏库内。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1.阴凉库：温度不高于20℃。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2.常温库：温度保持在0℃—30℃。</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3.冷库：温度保持在2℃—10℃。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rPr>
        <w:t>4.相对湿度：各库房相对湿度保持在45%—75%之间。</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（二）药品应依据药品性质，按分库、分类存放的原则进行储存保管，其中：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1.内服药与外用药应分库或分区存放。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2.品种与外包装容易混淆的品种应分区存放并粘贴警示标识。 </w:t>
      </w:r>
    </w:p>
    <w:p>
      <w:pPr>
        <w:spacing w:line="360" w:lineRule="auto"/>
        <w:ind w:firstLine="480" w:firstLineChars="200"/>
        <w:rPr>
          <w:rFonts w:ascii="仿宋_GB2312" w:eastAsia="仿宋_GB2312" w:hAnsi="仿宋_GB2312" w:cs="仿宋_GB2312"/>
          <w:color w:val="auto"/>
          <w:sz w:val="24"/>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3.易串味的药品、中药材、中药饮片、化学原料药以及性质相互影响的药品应分库存放；危险品应与其他药品分库存放。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4.药品中的危险药品应存放于危险品专库。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5.处方药与非处方药分开存放。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6.不合格药品应存放在不合格药品专区内，并采取退货或交于总务科等措施。</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7. 经质量验收并确认合格的药品入合格品区，经质量验收为不合格的药品入不合格品区，退货药品应存放于不合格品区内。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8.近效期药品即有效期不足半年时，应按月填报近效期药品月报表。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9.近效期药品应挂近效期药品标志牌。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10.在搬运药品过程中应严格按药品外包装图示标志的要求搬运存放，规范操作。不得倒置，要轻拿轻放，严禁摔撞。怕压药品应控制堆放高度，并定期翻垛。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11.保持库房、货架的清洁卫生，定期进行清理和消毒，做好防盗、防火、防潮、防腐、防鼠、防污染等工作。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（三）药品的堆垛应留有一定间距，具体要求如下：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1.药品垛与柱、屋顶、房梁、墙的间距不小于30cm。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2.药品与地面的距离不小于10cm。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3.库房内主要通道宽度不小于80cm。</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4.药品堆码垛间距不小于5cm。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（四）在库药品均实行色标管理，其中：</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1.黄色：待验药品库（区）、退货药品库（区）。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2.绿色：合格药品库（区）、零货称取库（区）、待发药品库（区）。</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3.红色：不合格药品库（区）。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（五）药品入库时应按照药品入库验收制度，经过质量检查验收，验收员签字或盖章后方可办理入库手续。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（六）药库管理人员对货与单不符、质量异常、包装不牢或破损、标志模糊等情况，有权拒收并报告有关部门处理。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（七）药库管理人员应定期对储存药品进行养护质量检查，并填写养护质量检查登记本。保证库房发出药品合格率达到100%。</w:t>
      </w:r>
    </w:p>
    <w:p>
      <w:pPr>
        <w:spacing w:line="360" w:lineRule="auto"/>
        <w:ind w:firstLine="360" w:firstLineChars="150"/>
        <w:rPr>
          <w:rFonts w:ascii="仿宋_GB2312" w:eastAsia="仿宋_GB2312" w:hAnsi="仿宋_GB2312" w:cs="仿宋_GB2312"/>
          <w:color w:val="auto"/>
          <w:sz w:val="24"/>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（八）根据季节、气候变化，做好温湿度调控工作，坚持每日上、下午各一次观测并记录《温湿度记录表》，并根据具体情况和药品的性质及时调节温湿度，确保药品储存质量。 </w:t>
      </w:r>
    </w:p>
    <w:p>
      <w:pPr>
        <w:spacing w:line="360" w:lineRule="auto"/>
        <w:ind w:firstLine="360" w:firstLineChars="150"/>
        <w:rPr>
          <w:rFonts w:ascii="仿宋_GB2312" w:eastAsia="仿宋_GB2312" w:hAnsi="仿宋_GB2312" w:cs="仿宋_GB2312"/>
          <w:color w:val="auto"/>
          <w:sz w:val="24"/>
        </w:rPr>
      </w:pPr>
      <w:r>
        <w:rPr>
          <w:rFonts w:ascii="仿宋_GB2312" w:eastAsia="仿宋_GB2312" w:hAnsi="仿宋_GB2312" w:cs="仿宋_GB2312" w:hint="eastAsia"/>
          <w:color w:val="auto"/>
          <w:sz w:val="24"/>
        </w:rPr>
        <w:t>（九）药库管理人员应定期做好库存盘点工作，做到帐物相符。</w:t>
      </w:r>
    </w:p>
    <w:p>
      <w:pPr>
        <w:rPr>
          <w:rFonts w:ascii="黑体" w:eastAsia="黑体" w:hAnsi="黑体" w:cs="黑体"/>
          <w:color w:val="auto"/>
          <w:sz w:val="24"/>
        </w:rPr>
      </w:pPr>
    </w:p>
    <w:p>
      <w:pPr>
        <w:spacing w:line="360" w:lineRule="auto"/>
        <w:rPr>
          <w:rFonts w:ascii="方正小标宋_GBK" w:eastAsia="方正小标宋_GBK" w:hAnsi="方正小标宋_GBK" w:cs="方正小标宋_GBK"/>
          <w:b/>
          <w:color w:val="auto"/>
          <w:sz w:val="10"/>
          <w:szCs w:val="10"/>
        </w:rPr>
      </w:pPr>
      <w:r>
        <w:rPr>
          <w:rFonts w:ascii="黑体" w:eastAsia="黑体" w:hAnsi="黑体" w:cs="黑体" w:hint="eastAsia"/>
          <w:b/>
          <w:color w:val="auto"/>
          <w:sz w:val="28"/>
          <w:szCs w:val="28"/>
          <w:lang w:eastAsia="zh-CN"/>
        </w:rPr>
        <w:t>十四</w:t>
      </w:r>
      <w:r>
        <w:rPr>
          <w:rFonts w:ascii="黑体" w:eastAsia="黑体" w:hAnsi="黑体" w:cs="黑体" w:hint="eastAsia"/>
          <w:b/>
          <w:color w:val="auto"/>
          <w:sz w:val="28"/>
          <w:szCs w:val="28"/>
        </w:rPr>
        <w:t>、药品拆零管理制度</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为满足临床用药需求，实行药品拆零。为规范我院药品拆零管理，杜绝拆零药品污染，根据我院实际，特制定以下制度。</w:t>
      </w:r>
    </w:p>
    <w:p>
      <w:pPr>
        <w:spacing w:line="360" w:lineRule="auto"/>
        <w:ind w:firstLine="480" w:firstLineChars="200"/>
        <w:rPr>
          <w:rFonts w:ascii="仿宋_GB2312" w:eastAsia="仿宋_GB2312" w:hAnsi="仿宋_GB2312" w:cs="仿宋_GB2312"/>
          <w:b w:val="0"/>
          <w:bCs w:val="0"/>
          <w:color w:val="auto"/>
          <w:sz w:val="24"/>
        </w:rPr>
      </w:pPr>
      <w:r>
        <w:rPr>
          <w:rFonts w:ascii="仿宋_GB2312" w:eastAsia="仿宋_GB2312" w:hAnsi="仿宋_GB2312" w:cs="仿宋_GB2312" w:hint="eastAsia"/>
          <w:b w:val="0"/>
          <w:bCs w:val="0"/>
          <w:color w:val="auto"/>
          <w:sz w:val="24"/>
        </w:rPr>
        <w:t>（一）拆零药品定义</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拆零药品是指破坏了药品的最小包装，使药品裸露并与外界相通；或破坏了药品包装，已不能完整、准确地反映出原包装、标签的信息。</w:t>
      </w:r>
    </w:p>
    <w:p>
      <w:pPr>
        <w:spacing w:line="360" w:lineRule="auto"/>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    </w:t>
      </w:r>
      <w:r>
        <w:rPr>
          <w:rFonts w:ascii="仿宋_GB2312" w:eastAsia="仿宋_GB2312" w:hAnsi="仿宋_GB2312" w:cs="仿宋_GB2312" w:hint="eastAsia"/>
          <w:b w:val="0"/>
          <w:bCs w:val="0"/>
          <w:color w:val="auto"/>
          <w:sz w:val="24"/>
        </w:rPr>
        <w:t>（二）药品拆零方法</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1.当小包装药品不能满足患者更小剂量用药时，可对药品进行拆零，但必须保证拆零后药品的质量，做到防尘、防潮、防虫、防污染。</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2.药房要设立“拆零药品柜”，集中操作拆零药品。定期清洗和消毒取药工具、调剂台，并定期杀菌消毒，确保拆零药品柜的清洁卫生，从源头上遏制微生物污染。</w:t>
      </w:r>
    </w:p>
    <w:p>
      <w:pPr>
        <w:adjustRightInd w:val="0"/>
        <w:snapToGrid w:val="0"/>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w:t>
      </w:r>
      <w:r>
        <w:rPr>
          <w:rFonts w:ascii="仿宋_GB2312" w:eastAsia="仿宋_GB2312" w:hAnsi="仿宋_GB2312" w:cs="仿宋_GB2312" w:hint="eastAsia"/>
          <w:color w:val="auto"/>
          <w:kern w:val="0"/>
          <w:sz w:val="24"/>
        </w:rPr>
        <w:t>人员健康符合药品从业要求，</w:t>
      </w:r>
      <w:r>
        <w:rPr>
          <w:rFonts w:ascii="仿宋_GB2312" w:eastAsia="仿宋_GB2312" w:hAnsi="仿宋_GB2312" w:cs="仿宋_GB2312" w:hint="eastAsia"/>
          <w:color w:val="auto"/>
          <w:sz w:val="24"/>
        </w:rPr>
        <w:t>工作前认真洗净双手</w:t>
      </w:r>
      <w:r>
        <w:rPr>
          <w:rFonts w:ascii="仿宋_GB2312" w:eastAsia="仿宋_GB2312" w:hAnsi="仿宋_GB2312" w:cs="仿宋_GB2312" w:hint="eastAsia"/>
          <w:color w:val="auto"/>
          <w:kern w:val="0"/>
          <w:sz w:val="24"/>
        </w:rPr>
        <w:t>不得裸手直接接触药品。</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4.为保证药品质量，药房对易受潮、易氧化，质量不稳定的药品应尽量避免拆零，并向处方医生和患者说明原因。</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5.药房要配备必要的药品拆零工具，包括剪刀、镊子、钥匙、拆零药袋等，并保持清洁卫生。</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6.拆零后的药品应尽量使用原包装。如不能使用原包装的，可放入清洁密闭的拆零药瓶（袋）内，加贴拆零标签。拆零标签上要标识“拆零药品”字样，写明药品名、规格、生产厂家、批号、有效期、用法用量及注意事项等，并保留药品的使用说明书备查。不同品种或同一品种不同批号的药品拆零后不得混装。</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7.每次拆零药工作要做好记录备查，填写《拆零药品登记本》，内容包括;药品名称、生产厂家、规格、批号、有效期、拆零数量、操作者等。</w:t>
      </w:r>
    </w:p>
    <w:p>
      <w:pPr>
        <w:spacing w:line="360" w:lineRule="auto"/>
        <w:ind w:firstLine="480" w:firstLineChars="200"/>
        <w:rPr>
          <w:rFonts w:ascii="仿宋_GB2312" w:eastAsia="仿宋_GB2312" w:hAnsi="仿宋_GB2312" w:cs="仿宋_GB2312"/>
          <w:color w:val="auto"/>
          <w:sz w:val="24"/>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8.药品应根据使用频度合理拆零，每种药物使用完后再补充，以确保无长期搁置药物。瓶装药品采用原包装，用完一瓶换一瓶；铝箔包装药品保留标有批号、有效期的一端，对于使用频度低的药物保留原包装盒。</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9.调剂拆零药品要用清洁卫生的药袋盛装。一个药袋盛装一种药品，不得混装。药袋上应写明药品名称、规格、有效期、用法用量、注意事项等。</w:t>
      </w:r>
    </w:p>
    <w:p>
      <w:pPr>
        <w:spacing w:line="360" w:lineRule="auto"/>
        <w:ind w:firstLine="480" w:firstLineChars="200"/>
        <w:rPr>
          <w:rFonts w:ascii="仿宋_GB2312" w:eastAsia="仿宋_GB2312" w:hAnsi="仿宋_GB2312" w:cs="仿宋_GB2312"/>
          <w:color w:val="auto"/>
          <w:sz w:val="24"/>
        </w:rPr>
      </w:pPr>
    </w:p>
    <w:p>
      <w:pPr>
        <w:pStyle w:val="NormalWeb"/>
        <w:shd w:val="clear" w:color="auto" w:fill="FFFFFF"/>
        <w:adjustRightInd w:val="0"/>
        <w:snapToGrid w:val="0"/>
        <w:spacing w:before="0" w:beforeAutospacing="0" w:after="0" w:afterAutospacing="0" w:line="360" w:lineRule="auto"/>
        <w:jc w:val="both"/>
        <w:rPr>
          <w:rFonts w:ascii="仿宋_GB2312" w:eastAsia="仿宋_GB2312" w:hAnsi="仿宋_GB2312" w:cs="仿宋_GB2312"/>
          <w:b/>
          <w:bCs/>
          <w:color w:val="auto"/>
          <w:sz w:val="10"/>
          <w:szCs w:val="10"/>
        </w:rPr>
      </w:pPr>
      <w:r>
        <w:rPr>
          <w:rFonts w:ascii="黑体" w:eastAsia="黑体" w:hAnsi="黑体" w:cs="黑体" w:hint="eastAsia"/>
          <w:b/>
          <w:bCs/>
          <w:color w:val="auto"/>
          <w:sz w:val="28"/>
          <w:szCs w:val="28"/>
          <w:lang w:eastAsia="zh-CN"/>
        </w:rPr>
        <w:t>十五</w:t>
      </w:r>
      <w:r>
        <w:rPr>
          <w:rFonts w:ascii="黑体" w:eastAsia="黑体" w:hAnsi="黑体" w:cs="黑体" w:hint="eastAsia"/>
          <w:b/>
          <w:bCs/>
          <w:color w:val="auto"/>
          <w:sz w:val="28"/>
          <w:szCs w:val="28"/>
        </w:rPr>
        <w:t>、退药管理制度</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为进一步加强药品管理，保证药品质量和患者用药安全，结合本院实际情况，修订本院退药管理制度。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（一）药品是一种特殊商品，凡属下列情况，一律不得退药：</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1.无原始相应收费凭据的；</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2.包装受损（如破损、有污渍、输液药品粘有病人姓名等非药品标示或有粘贴痕迹等）、药品质量发生变化的；</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3.药品有特殊保存要求,发出之后无法保证质量的（如：要求低温保存药品等；要求避光保存的药品裸瓶不得退药）；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4.不能提供完整最小包装的拆零药品；</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5.其他不适宜继续使用的；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6.传染病患者的药品；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7.一般情况下发出超过3日的药品。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（二）确在我院就诊购药的患者，能提供原始购药票据，在保障药品质量前提下，对符合下列条件之一的情况，可予退药</w:t>
      </w:r>
      <w:r>
        <w:rPr>
          <w:rFonts w:ascii="仿宋_GB2312" w:eastAsia="仿宋_GB2312" w:hAnsi="仿宋_GB2312" w:cs="仿宋_GB2312" w:hint="eastAsia"/>
          <w:color w:val="auto"/>
          <w:sz w:val="24"/>
          <w:lang w:eastAsia="zh-CN"/>
        </w:rPr>
        <w:t>。</w:t>
      </w:r>
      <w:r>
        <w:rPr>
          <w:rFonts w:ascii="仿宋_GB2312" w:eastAsia="仿宋_GB2312" w:hAnsi="仿宋_GB2312" w:cs="仿宋_GB2312" w:hint="eastAsia"/>
          <w:color w:val="auto"/>
          <w:sz w:val="24"/>
        </w:rPr>
        <w:t xml:space="preserve">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1.患者在用药过程中出现过敏反应或其它严重不良反应，无法继续使用的；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2.确属处方用药不当（禁忌症、大处方、重复用药等），患者不宜继续使用该药的；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3.住院患者病重死亡后，未使用完的药品；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4.其他医方责任导致患者不宜继续使用的药品。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（三）退回的药品必须符合下列条件：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1.药品有完整的最小单位包装，内外包装完好，无变质、变色、浑浊、霉变等异常现象，不影响继续使用。 </w:t>
      </w:r>
    </w:p>
    <w:p>
      <w:pPr>
        <w:spacing w:line="360" w:lineRule="auto"/>
        <w:ind w:firstLine="480" w:firstLineChars="200"/>
        <w:rPr>
          <w:rFonts w:ascii="仿宋_GB2312" w:eastAsia="仿宋_GB2312" w:hAnsi="仿宋_GB2312" w:cs="仿宋_GB2312"/>
          <w:color w:val="auto"/>
          <w:sz w:val="24"/>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_GB2312" w:eastAsia="仿宋_GB2312" w:hAnsi="仿宋_GB2312" w:cs="仿宋_GB2312" w:hint="eastAsia"/>
          <w:color w:val="auto"/>
          <w:sz w:val="24"/>
        </w:rPr>
        <w:t>2.药品的品名、剂型、规格、生产厂家、批号等与医院购入记录相符，退回药品实物必须填写《退药登记本》。</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（四）退药细则</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1.为确保药品安全，门诊中午值班、夜班除特殊情况外均不办理实物退药。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2.特殊管理药品中麻醉药品、第一类精神药品门诊患者无偿退回，按相关规定销毁处理。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3.因药品质量存在问题的药房应无条件予以退药，并及时上报科主任及院领导处理。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4.因发生药品不良反应退药时，医师或药师需详细询问病人，进行追踪调查核实后如实填写《药品不良反应报告》。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5.各临床医师应杜绝开具大处方，凡因超剂量开药等责任所致必须退回的药品，若无法继续使用，按有关规定作报废处理，由责任医师承担相应经济损失，并上报药学部、医务科，纳入个人考核体系。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6.由于药房人员工作失误（如延迟审核处方、漏审处方）无法继续使用的药品，由药房人员承担相应经济损失。 </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7.门诊患者退药流程</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（1）门诊未经药房审核发药的处方，由原处方医师在发票上签署退药意见和签名由病人直接到收费室窗口退费，退费人员在发票上签字备查。</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（2）门诊药房已审核或已取药的处方退药（包括部分退药或整张处方退药），药品发票必需由医师注明理由并签字、药房负责人、患者三方共同签名备查后，患者持拟退药发票和药品到发药窗口办理退药手续。</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3）接收药品实物退药时药房工作人员须双人认真核对药品名称、剂型、规格、生产厂家、批号等是否与药房发出药品完全一致，仔细检查所退药品质量与数量。药品符合收回条件的，门诊药房人员在电脑上执行退药，退药人、收药人同时签字确认后，患者再到处方医师处、收费窗口办理退费手续。</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（4）门诊处方退药总金额在400元以内的药品必须经所在药房负责人同意后方可办理；总金额在400元以上的应由药学部主任批准同意后方可办理。患者持就诊票据到收费处退费。</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 xml:space="preserve">（5）特殊情况下为解决医疗纠纷必须退药时，须经门诊部主任审核同意后，按相关规定予以退药。 </w:t>
      </w:r>
    </w:p>
    <w:p>
      <w:pPr>
        <w:spacing w:line="360" w:lineRule="auto"/>
        <w:ind w:firstLine="480" w:firstLineChars="200"/>
        <w:rPr>
          <w:rFonts w:ascii="仿宋_GB2312" w:eastAsia="仿宋_GB2312" w:hAnsi="仿宋_GB2312" w:cs="仿宋_GB2312"/>
          <w:color w:val="auto"/>
          <w:sz w:val="24"/>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_GB2312" w:eastAsia="仿宋_GB2312" w:hAnsi="仿宋_GB2312" w:cs="仿宋_GB2312" w:hint="eastAsia"/>
          <w:color w:val="auto"/>
          <w:sz w:val="24"/>
        </w:rPr>
        <w:t>8.住院患者退药</w:t>
      </w:r>
    </w:p>
    <w:p>
      <w:pPr>
        <w:spacing w:line="360" w:lineRule="auto"/>
        <w:ind w:firstLine="480" w:firstLineChars="200"/>
        <w:rPr>
          <w:rFonts w:ascii="仿宋_GB2312" w:eastAsia="仿宋_GB2312" w:hAnsi="仿宋_GB2312" w:cs="仿宋_GB2312"/>
          <w:color w:val="auto"/>
          <w:sz w:val="24"/>
        </w:rPr>
      </w:pPr>
      <w:r>
        <w:rPr>
          <w:rFonts w:ascii="仿宋_GB2312" w:eastAsia="仿宋_GB2312" w:hAnsi="仿宋_GB2312" w:cs="仿宋_GB2312" w:hint="eastAsia"/>
          <w:color w:val="auto"/>
          <w:sz w:val="24"/>
        </w:rPr>
        <w:t>（1）患者在院退药，由病区开单医师负责在信息系统开具退药处方，住院药房在其病区医嘱中扣除；住院药房原则上不接受药品实物退药。</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rPr>
        <w:t>（2）患者已办理出院手续的概不退药。</w:t>
      </w:r>
    </w:p>
    <w:p>
      <w:pPr>
        <w:spacing w:line="360" w:lineRule="auto"/>
        <w:rPr>
          <w:rFonts w:ascii="黑体" w:eastAsia="黑体" w:hAnsi="黑体" w:cs="黑体" w:hint="eastAsia"/>
          <w:b/>
          <w:color w:val="auto"/>
          <w:sz w:val="28"/>
          <w:szCs w:val="28"/>
        </w:rPr>
      </w:pPr>
      <w:r>
        <w:rPr>
          <w:rFonts w:ascii="黑体" w:eastAsia="黑体" w:hAnsi="黑体" w:cs="黑体" w:hint="eastAsia"/>
          <w:b/>
          <w:color w:val="auto"/>
          <w:sz w:val="28"/>
          <w:szCs w:val="28"/>
          <w:lang w:eastAsia="zh-CN"/>
        </w:rPr>
        <w:t>十六、</w:t>
      </w:r>
      <w:r>
        <w:rPr>
          <w:rFonts w:ascii="黑体" w:eastAsia="黑体" w:hAnsi="黑体" w:cs="黑体" w:hint="eastAsia"/>
          <w:b/>
          <w:color w:val="auto"/>
          <w:sz w:val="28"/>
          <w:szCs w:val="28"/>
        </w:rPr>
        <w:t>超说明书用药管理规定</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为进一步加强我院药事管理，保障病人用药安全，降低医疗风险，根据《中华人民共和国药品管理法》、《医疗机构药事管理规定》、《处方管理办法》等法律法规，结合我院实际情况，特制定本管理规定。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（一）</w:t>
      </w:r>
      <w:r>
        <w:rPr>
          <w:rFonts w:ascii="仿宋_GB2312" w:eastAsia="仿宋_GB2312" w:hAnsi="仿宋_GB2312" w:cs="仿宋_GB2312" w:hint="eastAsia"/>
          <w:b w:val="0"/>
          <w:bCs w:val="0"/>
          <w:color w:val="auto"/>
          <w:sz w:val="24"/>
          <w:szCs w:val="24"/>
        </w:rPr>
        <w:t>超说明书用药的定义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超说明书用药，又称“药品未注册用法”，是指药品使用的适应症、适应人群、给药方法或剂量不在药品监督管理部门批准的说明书之内的用法。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（二）</w:t>
      </w:r>
      <w:r>
        <w:rPr>
          <w:rFonts w:ascii="仿宋_GB2312" w:eastAsia="仿宋_GB2312" w:hAnsi="仿宋_GB2312" w:cs="仿宋_GB2312" w:hint="eastAsia"/>
          <w:b w:val="0"/>
          <w:bCs w:val="0"/>
          <w:color w:val="auto"/>
          <w:sz w:val="24"/>
          <w:szCs w:val="24"/>
        </w:rPr>
        <w:t>临床超说明书用药的管理原则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val="en-US" w:eastAsia="zh-CN"/>
        </w:rPr>
        <w:t>1.</w:t>
      </w:r>
      <w:r>
        <w:rPr>
          <w:rFonts w:ascii="仿宋_GB2312" w:eastAsia="仿宋_GB2312" w:hAnsi="仿宋_GB2312" w:cs="仿宋_GB2312" w:hint="eastAsia"/>
          <w:b w:val="0"/>
          <w:bCs w:val="0"/>
          <w:color w:val="auto"/>
          <w:sz w:val="24"/>
          <w:szCs w:val="24"/>
        </w:rPr>
        <w:t>为保障病人安全，临床用药原则上不得超出药品说明书规定的范围，即不得超说明书用药。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val="en-US" w:eastAsia="zh-CN"/>
        </w:rPr>
        <w:t>2.</w:t>
      </w:r>
      <w:r>
        <w:rPr>
          <w:rFonts w:ascii="仿宋_GB2312" w:eastAsia="仿宋_GB2312" w:hAnsi="仿宋_GB2312" w:cs="仿宋_GB2312" w:hint="eastAsia"/>
          <w:b w:val="0"/>
          <w:bCs w:val="0"/>
          <w:color w:val="auto"/>
          <w:sz w:val="24"/>
          <w:szCs w:val="24"/>
        </w:rPr>
        <w:t>特殊情况需超说明书用药时必须同时具备以下条件：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lang w:val="en-US" w:eastAsia="zh-CN"/>
        </w:rPr>
        <w:t>1</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在影响病人生活质量或危及生命的情况下，无合理的可替代药品和疗法。但必须</w:t>
      </w:r>
      <w:r>
        <w:rPr>
          <w:rFonts w:ascii="仿宋_GB2312" w:eastAsia="仿宋_GB2312" w:hAnsi="仿宋_GB2312" w:cs="仿宋_GB2312" w:hint="eastAsia"/>
          <w:b w:val="0"/>
          <w:bCs w:val="0"/>
          <w:color w:val="auto"/>
          <w:sz w:val="24"/>
          <w:szCs w:val="24"/>
          <w:lang w:val="en-US" w:eastAsia="zh-CN"/>
        </w:rPr>
        <w:t>要求</w:t>
      </w:r>
      <w:r>
        <w:rPr>
          <w:rFonts w:ascii="仿宋_GB2312" w:eastAsia="仿宋_GB2312" w:hAnsi="仿宋_GB2312" w:cs="仿宋_GB2312" w:hint="eastAsia"/>
          <w:b w:val="0"/>
          <w:bCs w:val="0"/>
          <w:color w:val="auto"/>
          <w:sz w:val="24"/>
          <w:szCs w:val="24"/>
        </w:rPr>
        <w:t>充分考虑药品不良反应、禁忌症、注意事项，权衡病人获得的利益大于可能出现的风险而选择此治疗方案；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lang w:val="en-US" w:eastAsia="zh-CN"/>
        </w:rPr>
        <w:t>2</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用药目的必须仅仅是为了病人的利益，而不是试验研究；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lang w:val="en-US" w:eastAsia="zh-CN"/>
        </w:rPr>
        <w:t>3</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有确凿的循证医学证据</w:t>
      </w:r>
      <w:r>
        <w:rPr>
          <w:rFonts w:ascii="仿宋_GB2312" w:eastAsia="仿宋_GB2312" w:hAnsi="仿宋_GB2312" w:cs="仿宋_GB2312" w:hint="eastAsia"/>
          <w:b w:val="0"/>
          <w:bCs w:val="0"/>
          <w:color w:val="auto"/>
          <w:sz w:val="24"/>
          <w:szCs w:val="24"/>
          <w:lang w:eastAsia="zh-CN"/>
        </w:rPr>
        <w:t>或行业内通行做法</w:t>
      </w:r>
      <w:r>
        <w:rPr>
          <w:rFonts w:ascii="仿宋_GB2312" w:eastAsia="仿宋_GB2312" w:hAnsi="仿宋_GB2312" w:cs="仿宋_GB2312" w:hint="eastAsia"/>
          <w:b w:val="0"/>
          <w:bCs w:val="0"/>
          <w:color w:val="auto"/>
          <w:sz w:val="24"/>
          <w:szCs w:val="24"/>
        </w:rPr>
        <w:t>；</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lang w:val="en-US" w:eastAsia="zh-CN"/>
        </w:rPr>
        <w:t>4</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经医院药事管理与药物治疗委员会（以下简称“药事会”）及伦理委员会批准；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lang w:val="en-US" w:eastAsia="zh-CN"/>
        </w:rPr>
        <w:t>5</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患者知情同意，并签署知情同意书。</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（三）</w:t>
      </w:r>
      <w:r>
        <w:rPr>
          <w:rFonts w:ascii="仿宋_GB2312" w:eastAsia="仿宋_GB2312" w:hAnsi="仿宋_GB2312" w:cs="仿宋_GB2312" w:hint="eastAsia"/>
          <w:b w:val="0"/>
          <w:bCs w:val="0"/>
          <w:color w:val="auto"/>
          <w:sz w:val="24"/>
          <w:szCs w:val="24"/>
        </w:rPr>
        <w:t>超说明书用药的申请审批流程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1</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拟超说明书用药的科室经科内集体讨论（3人及以上骨干医师签名）科主任签字后，向药学部提交《超说明书用药备案申请表》并附循证医学证据（包括国内外说明书、政府文件、RCT的系统评价或Meta分析文献、其他对照试验、病例观察文献、指南、专家共识等）。药学部初审后报医务科对其进行循证医学评价，医务科审核同意后，药学部报医院药事会及伦理委员会审批。</w:t>
      </w:r>
    </w:p>
    <w:p>
      <w:pPr>
        <w:spacing w:line="360" w:lineRule="auto"/>
        <w:ind w:firstLine="480" w:firstLineChars="200"/>
        <w:rPr>
          <w:rFonts w:ascii="仿宋_GB2312" w:eastAsia="仿宋_GB2312" w:hAnsi="仿宋_GB2312" w:cs="仿宋_GB2312" w:hint="eastAsia"/>
          <w:b w:val="0"/>
          <w:bCs w:val="0"/>
          <w:color w:val="auto"/>
          <w:sz w:val="24"/>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_GB2312" w:eastAsia="仿宋_GB2312" w:hAnsi="仿宋_GB2312" w:cs="仿宋_GB2312" w:hint="eastAsia"/>
          <w:b w:val="0"/>
          <w:bCs w:val="0"/>
          <w:color w:val="auto"/>
          <w:sz w:val="24"/>
          <w:szCs w:val="24"/>
        </w:rPr>
        <w:t>2</w:t>
      </w:r>
      <w:r>
        <w:rPr>
          <w:rFonts w:ascii="仿宋_GB2312" w:eastAsia="仿宋_GB2312" w:hAnsi="仿宋_GB2312" w:cs="仿宋_GB2312" w:hint="eastAsia"/>
          <w:b w:val="0"/>
          <w:bCs w:val="0"/>
          <w:color w:val="auto"/>
          <w:sz w:val="24"/>
          <w:szCs w:val="24"/>
          <w:lang w:eastAsia="zh-CN"/>
        </w:rPr>
        <w:t>.</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经药事会和伦理委员会审批通过的超说明书用药品种，统一在医务部门备案，目录保留在医务部门和药学部门。</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3</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在医务部门备案后的超说明书用药可在全院范围内应用。在紧急情况下使用未经备案的超说明书用药方案的，由科主任提出超说明书用药申请，上报药学部门和医务部门同意后可使用。确无时间提前申请的，可在抢救结束后补交申请及审批资料。审批通过的可按批准方案使用，未通过的立即停止使用。</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4</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临床确需超说明书用药时，对患者要实行告知并签署知情同意书。医师应充分告知患者用药方案、治疗步骤、预后情况及可能出现的风险，患者签署知情同意书后方可使用。签署的知情同意书一式两份，一份交患者，一份留存于病历中。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（四）</w:t>
      </w:r>
      <w:r>
        <w:rPr>
          <w:rFonts w:ascii="仿宋_GB2312" w:eastAsia="仿宋_GB2312" w:hAnsi="仿宋_GB2312" w:cs="仿宋_GB2312" w:hint="eastAsia"/>
          <w:b w:val="0"/>
          <w:bCs w:val="0"/>
          <w:color w:val="auto"/>
          <w:sz w:val="24"/>
          <w:szCs w:val="24"/>
        </w:rPr>
        <w:t>超说明书用药的调剂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药师调剂涉及超说明书用药处方时，需认真核对是否符合药学部下发的《超说明书用药备案目录》中相关内容，确认无误后方可调剂。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（五）</w:t>
      </w:r>
      <w:r>
        <w:rPr>
          <w:rFonts w:ascii="仿宋_GB2312" w:eastAsia="仿宋_GB2312" w:hAnsi="仿宋_GB2312" w:cs="仿宋_GB2312" w:hint="eastAsia"/>
          <w:b w:val="0"/>
          <w:bCs w:val="0"/>
          <w:color w:val="auto"/>
          <w:sz w:val="24"/>
          <w:szCs w:val="24"/>
        </w:rPr>
        <w:t>监督管理 </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1</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药学部负责超说明书用药的追踪分析评价，提供专业技术支持。发现问题及时</w:t>
      </w:r>
      <w:r>
        <w:rPr>
          <w:rFonts w:ascii="仿宋_GB2312" w:eastAsia="仿宋_GB2312" w:hAnsi="仿宋_GB2312" w:cs="仿宋_GB2312" w:hint="eastAsia"/>
          <w:b w:val="0"/>
          <w:bCs w:val="0"/>
          <w:color w:val="auto"/>
          <w:sz w:val="24"/>
          <w:szCs w:val="24"/>
          <w:lang w:eastAsia="zh-CN"/>
        </w:rPr>
        <w:t>停止并</w:t>
      </w:r>
      <w:r>
        <w:rPr>
          <w:rFonts w:ascii="仿宋_GB2312" w:eastAsia="仿宋_GB2312" w:hAnsi="仿宋_GB2312" w:cs="仿宋_GB2312" w:hint="eastAsia"/>
          <w:b w:val="0"/>
          <w:bCs w:val="0"/>
          <w:color w:val="auto"/>
          <w:sz w:val="24"/>
          <w:szCs w:val="24"/>
        </w:rPr>
        <w:t>上报医院医疗质量管理部门。</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rPr>
        <w:t>2</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医院医疗质量管理部门负责临床超说明书用药的监管。对未经许可擅自超说明书用药的医师，医院将责令改正、警告、通报批评，扣罚奖金100元至500元；对擅自超说明书用药造成严重不良后果者，将视同医疗责任事故处理，并与医师考核、晋升职称挂钩，医院可视情节及后果轻重取消其处方权。 </w:t>
      </w:r>
    </w:p>
    <w:p>
      <w:pPr>
        <w:numPr>
          <w:ilvl w:val="0"/>
          <w:numId w:val="0"/>
        </w:numPr>
        <w:spacing w:line="360" w:lineRule="auto"/>
        <w:ind w:firstLine="480" w:firstLineChars="200"/>
        <w:rPr>
          <w:rFonts w:hint="eastAsia"/>
          <w:b w:val="0"/>
          <w:bCs w:val="0"/>
          <w:color w:val="auto"/>
          <w:sz w:val="24"/>
        </w:rPr>
      </w:pPr>
      <w:r>
        <w:rPr>
          <w:rFonts w:ascii="仿宋_GB2312" w:eastAsia="仿宋_GB2312" w:hAnsi="仿宋_GB2312" w:cs="仿宋_GB2312" w:hint="eastAsia"/>
          <w:b w:val="0"/>
          <w:bCs w:val="0"/>
          <w:color w:val="auto"/>
          <w:sz w:val="24"/>
          <w:szCs w:val="24"/>
        </w:rPr>
        <w:t>3</w:t>
      </w:r>
      <w:r>
        <w:rPr>
          <w:rFonts w:ascii="仿宋_GB2312" w:eastAsia="仿宋_GB2312" w:hAnsi="仿宋_GB2312" w:cs="仿宋_GB2312" w:hint="eastAsia"/>
          <w:b w:val="0"/>
          <w:bCs w:val="0"/>
          <w:color w:val="auto"/>
          <w:sz w:val="24"/>
          <w:szCs w:val="24"/>
          <w:lang w:eastAsia="zh-CN"/>
        </w:rPr>
        <w:t>.</w:t>
      </w:r>
      <w:r>
        <w:rPr>
          <w:rFonts w:ascii="仿宋_GB2312" w:eastAsia="仿宋_GB2312" w:hAnsi="仿宋_GB2312" w:cs="仿宋_GB2312" w:hint="eastAsia"/>
          <w:b w:val="0"/>
          <w:bCs w:val="0"/>
          <w:color w:val="auto"/>
          <w:sz w:val="24"/>
          <w:szCs w:val="24"/>
        </w:rPr>
        <w:t>药师未按照规定调剂超说明书用药处方，造成不良后果的，医院将责令改正、警告、通报批评，扣罚奖金100元至300元，并与药师考核、晋升职称挂钩，医院可视情节及后果轻重取消其调剂处方权。</w:t>
      </w:r>
      <w:r>
        <w:rPr>
          <w:rFonts w:hint="eastAsia"/>
          <w:b w:val="0"/>
          <w:bCs w:val="0"/>
          <w:color w:val="auto"/>
          <w:sz w:val="24"/>
          <w:szCs w:val="24"/>
        </w:rPr>
        <w:t xml:space="preserve"> </w:t>
      </w:r>
    </w:p>
    <w:p>
      <w:pPr>
        <w:spacing w:line="360" w:lineRule="auto"/>
        <w:jc w:val="both"/>
        <w:rPr>
          <w:rFonts w:ascii="黑体" w:eastAsia="黑体" w:hAnsi="黑体" w:cs="黑体" w:hint="eastAsia"/>
          <w:b/>
          <w:color w:val="auto"/>
          <w:sz w:val="28"/>
          <w:szCs w:val="28"/>
        </w:rPr>
      </w:pPr>
      <w:r>
        <w:rPr>
          <w:rFonts w:ascii="黑体" w:eastAsia="黑体" w:hAnsi="黑体" w:cs="黑体" w:hint="eastAsia"/>
          <w:b/>
          <w:color w:val="auto"/>
          <w:sz w:val="28"/>
          <w:szCs w:val="28"/>
          <w:lang w:eastAsia="zh-CN"/>
        </w:rPr>
        <w:t>十七、</w:t>
      </w:r>
      <w:r>
        <w:rPr>
          <w:rFonts w:ascii="黑体" w:eastAsia="黑体" w:hAnsi="黑体" w:cs="黑体" w:hint="eastAsia"/>
          <w:b/>
          <w:color w:val="auto"/>
          <w:sz w:val="28"/>
          <w:szCs w:val="28"/>
        </w:rPr>
        <w:t>药品调剂制度</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（一）</w:t>
      </w:r>
      <w:r>
        <w:rPr>
          <w:rFonts w:ascii="仿宋_GB2312" w:eastAsia="仿宋_GB2312" w:hAnsi="仿宋_GB2312" w:cs="仿宋_GB2312" w:hint="eastAsia"/>
          <w:color w:val="auto"/>
          <w:sz w:val="24"/>
          <w:szCs w:val="24"/>
        </w:rPr>
        <w:t>取得药学专业技术职务任职资格的人员方可从事处方调剂工作。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（二）</w:t>
      </w:r>
      <w:r>
        <w:rPr>
          <w:rFonts w:ascii="仿宋_GB2312" w:eastAsia="仿宋_GB2312" w:hAnsi="仿宋_GB2312" w:cs="仿宋_GB2312" w:hint="eastAsia"/>
          <w:color w:val="auto"/>
          <w:sz w:val="24"/>
          <w:szCs w:val="24"/>
        </w:rPr>
        <w:t>药师在执业的医疗机构取得处方调剂资格</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药师签名或者专用签章式样应当在本机构留样备查。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（三）</w:t>
      </w:r>
      <w:r>
        <w:rPr>
          <w:rFonts w:ascii="仿宋_GB2312" w:eastAsia="仿宋_GB2312" w:hAnsi="仿宋_GB2312" w:cs="仿宋_GB2312" w:hint="eastAsia"/>
          <w:color w:val="auto"/>
          <w:sz w:val="24"/>
          <w:szCs w:val="24"/>
        </w:rPr>
        <w:t>具有药师以上专业技术职务任职资格的人员负责处方审核、评估、核对、发药以及安全用药指导；药士从事处方调配工作。</w:t>
      </w:r>
    </w:p>
    <w:p>
      <w:pPr>
        <w:spacing w:line="360" w:lineRule="auto"/>
        <w:ind w:firstLine="480" w:firstLineChars="200"/>
        <w:rPr>
          <w:rFonts w:ascii="仿宋_GB2312" w:eastAsia="仿宋_GB2312" w:hAnsi="仿宋_GB2312" w:cs="仿宋_GB2312" w:hint="eastAsia"/>
          <w:color w:val="auto"/>
          <w:sz w:val="24"/>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_GB2312" w:eastAsia="仿宋_GB2312" w:hAnsi="仿宋_GB2312" w:cs="仿宋_GB2312" w:hint="eastAsia"/>
          <w:color w:val="auto"/>
          <w:sz w:val="24"/>
          <w:szCs w:val="24"/>
          <w:lang w:eastAsia="zh-CN"/>
        </w:rPr>
        <w:t>（四）</w:t>
      </w:r>
      <w:r>
        <w:rPr>
          <w:rFonts w:ascii="仿宋_GB2312" w:eastAsia="仿宋_GB2312" w:hAnsi="仿宋_GB2312" w:cs="仿宋_GB2312" w:hint="eastAsia"/>
          <w:color w:val="auto"/>
          <w:sz w:val="24"/>
          <w:szCs w:val="24"/>
        </w:rPr>
        <w:t>药师应当凭医师处方调剂处方药品，非经医师处方不得调剂。</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（五）</w:t>
      </w:r>
      <w:r>
        <w:rPr>
          <w:rFonts w:ascii="仿宋_GB2312" w:eastAsia="仿宋_GB2312" w:hAnsi="仿宋_GB2312" w:cs="仿宋_GB2312" w:hint="eastAsia"/>
          <w:color w:val="auto"/>
          <w:sz w:val="24"/>
          <w:szCs w:val="24"/>
        </w:rPr>
        <w:t>药师应当按照操作规程调剂处方药品：认真审核处方，准确调配药品，正确书写药袋或粘贴标签，注明患者姓名和药品名称、用法、用量，包装；向患者交付药品时，按照药品说明书或者处方用法，进行用药交待与指导，包括每种药品的用法、用量、注意事项等。 </w:t>
      </w:r>
    </w:p>
    <w:p>
      <w:pPr>
        <w:spacing w:line="360" w:lineRule="auto"/>
        <w:ind w:firstLine="360" w:firstLineChars="1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（六）</w:t>
      </w:r>
      <w:r>
        <w:rPr>
          <w:rFonts w:ascii="仿宋_GB2312" w:eastAsia="仿宋_GB2312" w:hAnsi="仿宋_GB2312" w:cs="仿宋_GB2312" w:hint="eastAsia"/>
          <w:color w:val="auto"/>
          <w:sz w:val="24"/>
          <w:szCs w:val="24"/>
        </w:rPr>
        <w:t>药师应当认真逐项检查处方前记、正文和后记书写是否清晰、完整，并确认处方的合法性。 </w:t>
      </w:r>
    </w:p>
    <w:p>
      <w:pPr>
        <w:spacing w:line="360" w:lineRule="auto"/>
        <w:ind w:firstLine="495"/>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（七）</w:t>
      </w:r>
      <w:r>
        <w:rPr>
          <w:rFonts w:ascii="仿宋_GB2312" w:eastAsia="仿宋_GB2312" w:hAnsi="仿宋_GB2312" w:cs="仿宋_GB2312" w:hint="eastAsia"/>
          <w:color w:val="auto"/>
          <w:sz w:val="24"/>
          <w:szCs w:val="24"/>
        </w:rPr>
        <w:t>药师应当对处方用药适宜性进行审核，审核内容包括：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1.</w:t>
      </w:r>
      <w:r>
        <w:rPr>
          <w:rFonts w:ascii="仿宋_GB2312" w:eastAsia="仿宋_GB2312" w:hAnsi="仿宋_GB2312" w:cs="仿宋_GB2312" w:hint="eastAsia"/>
          <w:color w:val="auto"/>
          <w:sz w:val="24"/>
          <w:szCs w:val="24"/>
        </w:rPr>
        <w:t>规定必须做皮试的药品，处方医师是否注明过敏试验及结果的判定； </w:t>
      </w:r>
    </w:p>
    <w:p>
      <w:p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w:t>
      </w:r>
      <w:r>
        <w:rPr>
          <w:rFonts w:ascii="仿宋_GB2312" w:eastAsia="仿宋_GB2312" w:hAnsi="仿宋_GB2312" w:cs="仿宋_GB2312" w:hint="eastAsia"/>
          <w:color w:val="auto"/>
          <w:sz w:val="24"/>
          <w:szCs w:val="24"/>
          <w:lang w:val="en-US" w:eastAsia="zh-CN"/>
        </w:rPr>
        <w:t xml:space="preserve">  2.</w:t>
      </w:r>
      <w:r>
        <w:rPr>
          <w:rFonts w:ascii="仿宋_GB2312" w:eastAsia="仿宋_GB2312" w:hAnsi="仿宋_GB2312" w:cs="仿宋_GB2312" w:hint="eastAsia"/>
          <w:color w:val="auto"/>
          <w:sz w:val="24"/>
          <w:szCs w:val="24"/>
        </w:rPr>
        <w:t>处方用药与临床诊断的相符性；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3.</w:t>
      </w:r>
      <w:r>
        <w:rPr>
          <w:rFonts w:ascii="仿宋_GB2312" w:eastAsia="仿宋_GB2312" w:hAnsi="仿宋_GB2312" w:cs="仿宋_GB2312" w:hint="eastAsia"/>
          <w:color w:val="auto"/>
          <w:sz w:val="24"/>
          <w:szCs w:val="24"/>
        </w:rPr>
        <w:t>剂量、用法的正确性；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4.</w:t>
      </w:r>
      <w:r>
        <w:rPr>
          <w:rFonts w:ascii="仿宋_GB2312" w:eastAsia="仿宋_GB2312" w:hAnsi="仿宋_GB2312" w:cs="仿宋_GB2312" w:hint="eastAsia"/>
          <w:color w:val="auto"/>
          <w:sz w:val="24"/>
          <w:szCs w:val="24"/>
        </w:rPr>
        <w:t>选用剂型与给药途径的合理性；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5.</w:t>
      </w:r>
      <w:r>
        <w:rPr>
          <w:rFonts w:ascii="仿宋_GB2312" w:eastAsia="仿宋_GB2312" w:hAnsi="仿宋_GB2312" w:cs="仿宋_GB2312" w:hint="eastAsia"/>
          <w:color w:val="auto"/>
          <w:sz w:val="24"/>
          <w:szCs w:val="24"/>
        </w:rPr>
        <w:t>是否有重复给药现象；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6.</w:t>
      </w:r>
      <w:r>
        <w:rPr>
          <w:rFonts w:ascii="仿宋_GB2312" w:eastAsia="仿宋_GB2312" w:hAnsi="仿宋_GB2312" w:cs="仿宋_GB2312" w:hint="eastAsia"/>
          <w:color w:val="auto"/>
          <w:sz w:val="24"/>
          <w:szCs w:val="24"/>
        </w:rPr>
        <w:t>是否有潜在临床意义的药物相互作用和配伍禁忌；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val="en-US" w:eastAsia="zh-CN"/>
        </w:rPr>
        <w:t>7.</w:t>
      </w:r>
      <w:r>
        <w:rPr>
          <w:rFonts w:ascii="仿宋_GB2312" w:eastAsia="仿宋_GB2312" w:hAnsi="仿宋_GB2312" w:cs="仿宋_GB2312" w:hint="eastAsia"/>
          <w:color w:val="auto"/>
          <w:sz w:val="24"/>
          <w:szCs w:val="24"/>
        </w:rPr>
        <w:t>其它用药不适宜情况。 </w:t>
      </w:r>
    </w:p>
    <w:p>
      <w:pPr>
        <w:spacing w:line="360" w:lineRule="auto"/>
        <w:ind w:firstLine="360" w:firstLineChars="1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（八）</w:t>
      </w:r>
      <w:r>
        <w:rPr>
          <w:rFonts w:ascii="仿宋_GB2312" w:eastAsia="仿宋_GB2312" w:hAnsi="仿宋_GB2312" w:cs="仿宋_GB2312" w:hint="eastAsia"/>
          <w:color w:val="auto"/>
          <w:sz w:val="24"/>
          <w:szCs w:val="24"/>
        </w:rPr>
        <w:t>药师经处方审核后，认为存在用药不适宜时，应当告知处方医师，请其确认或者重新开具处方。 </w:t>
      </w:r>
    </w:p>
    <w:p>
      <w:pPr>
        <w:spacing w:line="360" w:lineRule="auto"/>
        <w:ind w:firstLine="360" w:firstLineChars="1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val="en-US" w:eastAsia="zh-CN"/>
        </w:rPr>
        <w:t>（九）</w:t>
      </w:r>
      <w:r>
        <w:rPr>
          <w:rFonts w:ascii="仿宋_GB2312" w:eastAsia="仿宋_GB2312" w:hAnsi="仿宋_GB2312" w:cs="仿宋_GB2312" w:hint="eastAsia"/>
          <w:color w:val="auto"/>
          <w:sz w:val="24"/>
          <w:szCs w:val="24"/>
        </w:rPr>
        <w:t>药师发现严重不合理用药或者用药错误，应当拒绝调剂，及时告知处方医师，并应当记录，按照有关规定报告。 </w:t>
      </w:r>
    </w:p>
    <w:p>
      <w:p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（十）</w:t>
      </w:r>
      <w:r>
        <w:rPr>
          <w:rFonts w:ascii="仿宋_GB2312" w:eastAsia="仿宋_GB2312" w:hAnsi="仿宋_GB2312" w:cs="仿宋_GB2312" w:hint="eastAsia"/>
          <w:color w:val="auto"/>
          <w:sz w:val="24"/>
          <w:szCs w:val="24"/>
        </w:rPr>
        <w:t>药师调剂处方时必须做到“四查十对”：查处方，对科别、姓名、年龄；查药品，对药名、剂型、规格、数量；查配伍禁忌，对药品性状、用法用量；查用药合理性，对临床诊断。 </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lang w:eastAsia="zh-CN"/>
        </w:rPr>
        <w:t>（十一）</w:t>
      </w:r>
      <w:r>
        <w:rPr>
          <w:rFonts w:ascii="仿宋_GB2312" w:eastAsia="仿宋_GB2312" w:hAnsi="仿宋_GB2312" w:cs="仿宋_GB2312" w:hint="eastAsia"/>
          <w:color w:val="auto"/>
          <w:sz w:val="24"/>
          <w:szCs w:val="24"/>
        </w:rPr>
        <w:t>急诊处方及抢救用药保证随到随配</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门诊药房实行24小时昼夜上班制，为急诊科及病房提供24小时×7天的药学调剂服务。</w:t>
      </w:r>
    </w:p>
    <w:p>
      <w:p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（十二）</w:t>
      </w:r>
      <w:r>
        <w:rPr>
          <w:rFonts w:ascii="仿宋_GB2312" w:eastAsia="仿宋_GB2312" w:hAnsi="仿宋_GB2312" w:cs="仿宋_GB2312" w:hint="eastAsia"/>
          <w:color w:val="auto"/>
          <w:sz w:val="24"/>
          <w:szCs w:val="24"/>
        </w:rPr>
        <w:t>药师在完成处方调剂后，应当在处方上签名或者加盖专用签章。 </w:t>
      </w:r>
    </w:p>
    <w:p>
      <w:p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xml:space="preserve">    </w:t>
      </w:r>
      <w:r>
        <w:rPr>
          <w:rFonts w:ascii="仿宋_GB2312" w:eastAsia="仿宋_GB2312" w:hAnsi="仿宋_GB2312" w:cs="仿宋_GB2312" w:hint="eastAsia"/>
          <w:color w:val="auto"/>
          <w:sz w:val="24"/>
          <w:szCs w:val="24"/>
          <w:lang w:val="en-US" w:eastAsia="zh-CN"/>
        </w:rPr>
        <w:t xml:space="preserve"> （十三）</w:t>
      </w:r>
      <w:r>
        <w:rPr>
          <w:rFonts w:ascii="仿宋_GB2312" w:eastAsia="仿宋_GB2312" w:hAnsi="仿宋_GB2312" w:cs="仿宋_GB2312" w:hint="eastAsia"/>
          <w:color w:val="auto"/>
          <w:sz w:val="24"/>
          <w:szCs w:val="24"/>
        </w:rPr>
        <w:t>药师应当对麻醉药品和第一类精神药品处方，按年月日逐日编制顺序号。 </w:t>
      </w:r>
    </w:p>
    <w:p>
      <w:pPr>
        <w:spacing w:line="360" w:lineRule="auto"/>
        <w:ind w:firstLine="480" w:firstLineChars="200"/>
        <w:rPr>
          <w:rFonts w:ascii="仿宋_GB2312" w:eastAsia="仿宋_GB2312" w:hAnsi="仿宋_GB2312" w:cs="仿宋_GB2312" w:hint="eastAsia"/>
          <w:color w:val="auto"/>
          <w:sz w:val="24"/>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eastAsia="zh-CN"/>
        </w:rPr>
        <w:t>（十四）</w:t>
      </w:r>
      <w:r>
        <w:rPr>
          <w:rFonts w:ascii="仿宋_GB2312" w:eastAsia="仿宋_GB2312" w:hAnsi="仿宋_GB2312" w:cs="仿宋_GB2312" w:hint="eastAsia"/>
          <w:color w:val="auto"/>
          <w:sz w:val="24"/>
          <w:szCs w:val="24"/>
        </w:rPr>
        <w:t>药师对于不规范处方或者不能判定其合法性的处方，不得调剂。    </w:t>
      </w:r>
    </w:p>
    <w:p>
      <w:pPr>
        <w:numPr>
          <w:ilvl w:val="0"/>
          <w:numId w:val="0"/>
        </w:numPr>
        <w:spacing w:line="360" w:lineRule="auto"/>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    </w:t>
      </w:r>
      <w:r>
        <w:rPr>
          <w:rFonts w:ascii="仿宋_GB2312" w:eastAsia="仿宋_GB2312" w:hAnsi="仿宋_GB2312" w:cs="仿宋_GB2312" w:hint="eastAsia"/>
          <w:color w:val="auto"/>
          <w:sz w:val="24"/>
          <w:szCs w:val="24"/>
          <w:lang w:val="en-US" w:eastAsia="zh-CN"/>
        </w:rPr>
        <w:t xml:space="preserve"> （十五）</w:t>
      </w:r>
      <w:r>
        <w:rPr>
          <w:rFonts w:ascii="仿宋_GB2312" w:eastAsia="仿宋_GB2312" w:hAnsi="仿宋_GB2312" w:cs="仿宋_GB2312" w:hint="eastAsia"/>
          <w:color w:val="auto"/>
          <w:sz w:val="24"/>
          <w:szCs w:val="24"/>
        </w:rPr>
        <w:t>医疗机构应当将本机构基本用药供应目录</w:t>
      </w:r>
      <w:r>
        <w:rPr>
          <w:rFonts w:ascii="仿宋_GB2312" w:eastAsia="仿宋_GB2312" w:hAnsi="仿宋_GB2312" w:cs="仿宋_GB2312" w:hint="eastAsia"/>
          <w:color w:val="auto"/>
          <w:sz w:val="24"/>
          <w:szCs w:val="24"/>
          <w:lang w:eastAsia="zh-CN"/>
        </w:rPr>
        <w:t>中</w:t>
      </w:r>
      <w:r>
        <w:rPr>
          <w:rFonts w:ascii="仿宋_GB2312" w:eastAsia="仿宋_GB2312" w:hAnsi="仿宋_GB2312" w:cs="仿宋_GB2312" w:hint="eastAsia"/>
          <w:color w:val="auto"/>
          <w:sz w:val="24"/>
          <w:szCs w:val="24"/>
        </w:rPr>
        <w:t>同类药品相关信息告知患者。 除麻醉药品、精神药品、医疗用毒性药品外，医疗机构不得限制门诊就诊人员持处方到药品零售企业购药。</w:t>
      </w:r>
    </w:p>
    <w:p>
      <w:pPr>
        <w:spacing w:line="360" w:lineRule="auto"/>
        <w:jc w:val="both"/>
        <w:rPr>
          <w:rFonts w:ascii="黑体" w:eastAsia="黑体" w:hAnsi="黑体" w:cs="黑体" w:hint="eastAsia"/>
          <w:color w:val="auto"/>
          <w:sz w:val="28"/>
          <w:szCs w:val="28"/>
        </w:rPr>
      </w:pPr>
      <w:r>
        <w:rPr>
          <w:rFonts w:ascii="黑体" w:eastAsia="黑体" w:hAnsi="黑体" w:cs="黑体" w:hint="eastAsia"/>
          <w:b/>
          <w:color w:val="auto"/>
          <w:sz w:val="28"/>
          <w:szCs w:val="28"/>
          <w:lang w:eastAsia="zh-CN"/>
        </w:rPr>
        <w:t>十八、药师</w:t>
      </w:r>
      <w:r>
        <w:rPr>
          <w:rFonts w:ascii="黑体" w:eastAsia="黑体" w:hAnsi="黑体" w:cs="黑体" w:hint="eastAsia"/>
          <w:b/>
          <w:color w:val="auto"/>
          <w:sz w:val="28"/>
          <w:szCs w:val="28"/>
        </w:rPr>
        <w:t>用药交</w:t>
      </w:r>
      <w:r>
        <w:rPr>
          <w:rFonts w:ascii="黑体" w:eastAsia="黑体" w:hAnsi="黑体" w:cs="黑体" w:hint="eastAsia"/>
          <w:b/>
          <w:color w:val="auto"/>
          <w:sz w:val="28"/>
          <w:szCs w:val="28"/>
          <w:lang w:eastAsia="zh-CN"/>
        </w:rPr>
        <w:t>待</w:t>
      </w:r>
      <w:r>
        <w:rPr>
          <w:rFonts w:ascii="黑体" w:eastAsia="黑体" w:hAnsi="黑体" w:cs="黑体" w:hint="eastAsia"/>
          <w:b/>
          <w:color w:val="auto"/>
          <w:sz w:val="28"/>
          <w:szCs w:val="28"/>
        </w:rPr>
        <w:t>制度及程序</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为</w:t>
      </w:r>
      <w:r>
        <w:rPr>
          <w:rFonts w:ascii="仿宋_GB2312" w:eastAsia="仿宋_GB2312" w:hAnsi="仿宋_GB2312" w:cs="仿宋_GB2312" w:hint="eastAsia"/>
          <w:color w:val="auto"/>
          <w:sz w:val="24"/>
          <w:szCs w:val="24"/>
          <w:lang w:eastAsia="zh-CN"/>
        </w:rPr>
        <w:t>进一步提高</w:t>
      </w:r>
      <w:r>
        <w:rPr>
          <w:rFonts w:ascii="仿宋_GB2312" w:eastAsia="仿宋_GB2312" w:hAnsi="仿宋_GB2312" w:cs="仿宋_GB2312" w:hint="eastAsia"/>
          <w:color w:val="auto"/>
          <w:sz w:val="24"/>
          <w:szCs w:val="24"/>
        </w:rPr>
        <w:t>药师对患者合理用药交</w:t>
      </w:r>
      <w:r>
        <w:rPr>
          <w:rFonts w:ascii="仿宋_GB2312" w:eastAsia="仿宋_GB2312" w:hAnsi="仿宋_GB2312" w:cs="仿宋_GB2312" w:hint="eastAsia"/>
          <w:color w:val="auto"/>
          <w:sz w:val="24"/>
          <w:szCs w:val="24"/>
          <w:lang w:eastAsia="zh-CN"/>
        </w:rPr>
        <w:t>待水平</w:t>
      </w:r>
      <w:r>
        <w:rPr>
          <w:rFonts w:ascii="仿宋_GB2312" w:eastAsia="仿宋_GB2312" w:hAnsi="仿宋_GB2312" w:cs="仿宋_GB2312" w:hint="eastAsia"/>
          <w:color w:val="auto"/>
          <w:sz w:val="24"/>
          <w:szCs w:val="24"/>
        </w:rPr>
        <w:t>，</w:t>
      </w:r>
      <w:r>
        <w:rPr>
          <w:rFonts w:ascii="仿宋_GB2312" w:eastAsia="仿宋_GB2312" w:hAnsi="仿宋_GB2312" w:cs="仿宋_GB2312" w:hint="eastAsia"/>
          <w:color w:val="auto"/>
          <w:sz w:val="24"/>
          <w:szCs w:val="24"/>
          <w:lang w:eastAsia="zh-CN"/>
        </w:rPr>
        <w:t>保证所有患者能获得准确的用药信息，</w:t>
      </w:r>
      <w:r>
        <w:rPr>
          <w:rFonts w:ascii="仿宋_GB2312" w:eastAsia="仿宋_GB2312" w:hAnsi="仿宋_GB2312" w:cs="仿宋_GB2312" w:hint="eastAsia"/>
          <w:color w:val="auto"/>
          <w:sz w:val="24"/>
          <w:szCs w:val="24"/>
        </w:rPr>
        <w:t>使患者用药达到安全、有效、经济</w:t>
      </w:r>
      <w:r>
        <w:rPr>
          <w:rFonts w:ascii="仿宋_GB2312" w:eastAsia="仿宋_GB2312" w:hAnsi="仿宋_GB2312" w:cs="仿宋_GB2312" w:hint="eastAsia"/>
          <w:color w:val="auto"/>
          <w:sz w:val="24"/>
          <w:szCs w:val="24"/>
          <w:lang w:eastAsia="zh-CN"/>
        </w:rPr>
        <w:t>的原则</w:t>
      </w:r>
      <w:r>
        <w:rPr>
          <w:rFonts w:ascii="仿宋_GB2312" w:eastAsia="仿宋_GB2312" w:hAnsi="仿宋_GB2312" w:cs="仿宋_GB2312" w:hint="eastAsia"/>
          <w:color w:val="auto"/>
          <w:sz w:val="24"/>
          <w:szCs w:val="24"/>
        </w:rPr>
        <w:t>，</w:t>
      </w:r>
      <w:r>
        <w:rPr>
          <w:rFonts w:ascii="仿宋_GB2312" w:eastAsia="仿宋_GB2312" w:hAnsi="仿宋_GB2312" w:cs="仿宋_GB2312" w:hint="eastAsia"/>
          <w:color w:val="auto"/>
          <w:sz w:val="24"/>
          <w:szCs w:val="24"/>
          <w:lang w:eastAsia="zh-CN"/>
        </w:rPr>
        <w:t>特</w:t>
      </w:r>
      <w:r>
        <w:rPr>
          <w:rFonts w:ascii="仿宋_GB2312" w:eastAsia="仿宋_GB2312" w:hAnsi="仿宋_GB2312" w:cs="仿宋_GB2312" w:hint="eastAsia"/>
          <w:color w:val="auto"/>
          <w:sz w:val="24"/>
          <w:szCs w:val="24"/>
        </w:rPr>
        <w:t>制定药</w:t>
      </w:r>
      <w:r>
        <w:rPr>
          <w:rFonts w:ascii="仿宋_GB2312" w:eastAsia="仿宋_GB2312" w:hAnsi="仿宋_GB2312" w:cs="仿宋_GB2312" w:hint="eastAsia"/>
          <w:color w:val="auto"/>
          <w:sz w:val="24"/>
          <w:szCs w:val="24"/>
          <w:lang w:eastAsia="zh-CN"/>
        </w:rPr>
        <w:t>师</w:t>
      </w:r>
      <w:r>
        <w:rPr>
          <w:rFonts w:ascii="仿宋_GB2312" w:eastAsia="仿宋_GB2312" w:hAnsi="仿宋_GB2312" w:cs="仿宋_GB2312" w:hint="eastAsia"/>
          <w:color w:val="auto"/>
          <w:sz w:val="24"/>
          <w:szCs w:val="24"/>
        </w:rPr>
        <w:t>用药交</w:t>
      </w:r>
      <w:r>
        <w:rPr>
          <w:rFonts w:ascii="仿宋_GB2312" w:eastAsia="仿宋_GB2312" w:hAnsi="仿宋_GB2312" w:cs="仿宋_GB2312" w:hint="eastAsia"/>
          <w:color w:val="auto"/>
          <w:sz w:val="24"/>
          <w:szCs w:val="24"/>
          <w:lang w:eastAsia="zh-CN"/>
        </w:rPr>
        <w:t>待</w:t>
      </w:r>
      <w:r>
        <w:rPr>
          <w:rFonts w:ascii="仿宋_GB2312" w:eastAsia="仿宋_GB2312" w:hAnsi="仿宋_GB2312" w:cs="仿宋_GB2312" w:hint="eastAsia"/>
          <w:color w:val="auto"/>
          <w:sz w:val="24"/>
          <w:szCs w:val="24"/>
        </w:rPr>
        <w:t>制度及程序</w:t>
      </w:r>
      <w:r>
        <w:rPr>
          <w:rFonts w:ascii="仿宋_GB2312" w:eastAsia="仿宋_GB2312" w:hAnsi="仿宋_GB2312" w:cs="仿宋_GB2312" w:hint="eastAsia"/>
          <w:color w:val="auto"/>
          <w:sz w:val="24"/>
          <w:szCs w:val="24"/>
          <w:lang w:eastAsia="zh-CN"/>
        </w:rPr>
        <w:t>。</w:t>
      </w:r>
    </w:p>
    <w:p>
      <w:pPr>
        <w:spacing w:line="360" w:lineRule="auto"/>
        <w:ind w:firstLine="600" w:firstLineChars="25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（一）</w:t>
      </w:r>
      <w:r>
        <w:rPr>
          <w:rFonts w:ascii="仿宋_GB2312" w:eastAsia="仿宋_GB2312" w:hAnsi="仿宋_GB2312" w:cs="仿宋_GB2312" w:hint="eastAsia"/>
          <w:b w:val="0"/>
          <w:bCs w:val="0"/>
          <w:color w:val="auto"/>
          <w:sz w:val="24"/>
          <w:szCs w:val="24"/>
        </w:rPr>
        <w:t>用药</w:t>
      </w:r>
      <w:r>
        <w:rPr>
          <w:rFonts w:ascii="仿宋_GB2312" w:eastAsia="仿宋_GB2312" w:hAnsi="仿宋_GB2312" w:cs="仿宋_GB2312" w:hint="eastAsia"/>
          <w:b w:val="0"/>
          <w:bCs w:val="0"/>
          <w:color w:val="auto"/>
          <w:sz w:val="24"/>
          <w:szCs w:val="24"/>
          <w:lang w:eastAsia="zh-CN"/>
        </w:rPr>
        <w:t>交待</w:t>
      </w:r>
      <w:r>
        <w:rPr>
          <w:rFonts w:ascii="仿宋_GB2312" w:eastAsia="仿宋_GB2312" w:hAnsi="仿宋_GB2312" w:cs="仿宋_GB2312" w:hint="eastAsia"/>
          <w:b w:val="0"/>
          <w:bCs w:val="0"/>
          <w:color w:val="auto"/>
          <w:sz w:val="24"/>
          <w:szCs w:val="24"/>
        </w:rPr>
        <w:t>制度</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发药</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，是指药剂人员在调剂工作中，用语言和（或）文字的方式，将所配发药品的用法、用量、禁忌及其注意事项明确、详细地告诉病人或其家属。</w:t>
      </w:r>
      <w:r>
        <w:rPr>
          <w:rFonts w:ascii="仿宋_GB2312" w:eastAsia="仿宋_GB2312" w:hAnsi="仿宋_GB2312" w:cs="仿宋_GB2312" w:hint="eastAsia"/>
          <w:color w:val="auto"/>
          <w:sz w:val="24"/>
          <w:szCs w:val="24"/>
          <w:shd w:val="clear" w:color="auto" w:fill="FFFFFF"/>
        </w:rPr>
        <w:t>通过发药</w:t>
      </w:r>
      <w:r>
        <w:rPr>
          <w:rFonts w:ascii="仿宋_GB2312" w:eastAsia="仿宋_GB2312" w:hAnsi="仿宋_GB2312" w:cs="仿宋_GB2312" w:hint="eastAsia"/>
          <w:color w:val="auto"/>
          <w:sz w:val="24"/>
          <w:szCs w:val="24"/>
          <w:shd w:val="clear" w:color="auto" w:fill="FFFFFF"/>
          <w:lang w:eastAsia="zh-CN"/>
        </w:rPr>
        <w:t>交待</w:t>
      </w:r>
      <w:r>
        <w:rPr>
          <w:rFonts w:ascii="仿宋_GB2312" w:eastAsia="仿宋_GB2312" w:hAnsi="仿宋_GB2312" w:cs="仿宋_GB2312" w:hint="eastAsia"/>
          <w:color w:val="auto"/>
          <w:sz w:val="24"/>
          <w:szCs w:val="24"/>
          <w:shd w:val="clear" w:color="auto" w:fill="FFFFFF"/>
        </w:rPr>
        <w:t>实现患者的用药知晓，是避免患者用药错误，提高其用药依从性的关键环节之一。</w:t>
      </w:r>
      <w:r>
        <w:rPr>
          <w:rFonts w:ascii="仿宋_GB2312" w:eastAsia="仿宋_GB2312" w:hAnsi="仿宋_GB2312" w:cs="仿宋_GB2312" w:hint="eastAsia"/>
          <w:color w:val="auto"/>
          <w:sz w:val="24"/>
          <w:szCs w:val="24"/>
        </w:rPr>
        <w:t> </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剂人员除应具备一定水平的药学专业知识和丰富的实践经验外，还应努力学习临床医学、社会学、心理学、公共卫生及防疫保健等多学科的知识和信息，不断学习和补充相关专业的新理论、新知识，这样才能全方位、多角度、及时准确地解答病人的咨询和</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用药应注意的问题。 </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药剂人员应强化岗位责任意识，自觉遵守规章制度，努力规范自己的行为。本着同情和理解的心情，正确对待病人，详细</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用药中应注意的事项和可能出现的反应，耐心解释病人的疑问。 </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4</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在与病人沟通的过程中，注意语言技巧，做到</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问题简单易懂，解答问题准确无误，书写内容规范清楚。 </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5</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要正确理解临床医师的用药意图，发药</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要与医嘱相符。 </w:t>
      </w:r>
    </w:p>
    <w:p>
      <w:pPr>
        <w:spacing w:line="360" w:lineRule="auto"/>
        <w:ind w:firstLine="600" w:firstLineChars="25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6</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对特殊药品重点</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。毒性药品、麻醉药品、精神药品、某些特殊用途的药品应重点交待清楚。</w:t>
      </w:r>
    </w:p>
    <w:p>
      <w:pPr>
        <w:spacing w:line="360" w:lineRule="auto"/>
        <w:ind w:firstLine="480" w:firstLineChars="200"/>
        <w:rPr>
          <w:rFonts w:ascii="仿宋_GB2312" w:eastAsia="仿宋_GB2312" w:hAnsi="仿宋_GB2312" w:cs="仿宋_GB2312" w:hint="eastAsia"/>
          <w:b w:val="0"/>
          <w:bCs w:val="0"/>
          <w:color w:val="auto"/>
          <w:sz w:val="24"/>
        </w:rPr>
      </w:pPr>
      <w:r>
        <w:rPr>
          <w:rFonts w:ascii="仿宋_GB2312" w:eastAsia="仿宋_GB2312" w:hAnsi="仿宋_GB2312" w:cs="仿宋_GB2312" w:hint="eastAsia"/>
          <w:b w:val="0"/>
          <w:bCs w:val="0"/>
          <w:color w:val="auto"/>
          <w:sz w:val="24"/>
          <w:szCs w:val="24"/>
          <w:lang w:eastAsia="zh-CN"/>
        </w:rPr>
        <w:t>（二）</w:t>
      </w:r>
      <w:r>
        <w:rPr>
          <w:rFonts w:ascii="仿宋_GB2312" w:eastAsia="仿宋_GB2312" w:hAnsi="仿宋_GB2312" w:cs="仿宋_GB2312" w:hint="eastAsia"/>
          <w:b w:val="0"/>
          <w:bCs w:val="0"/>
          <w:color w:val="auto"/>
          <w:sz w:val="24"/>
          <w:szCs w:val="24"/>
        </w:rPr>
        <w:t>用药</w:t>
      </w:r>
      <w:r>
        <w:rPr>
          <w:rFonts w:ascii="仿宋_GB2312" w:eastAsia="仿宋_GB2312" w:hAnsi="仿宋_GB2312" w:cs="仿宋_GB2312" w:hint="eastAsia"/>
          <w:b w:val="0"/>
          <w:bCs w:val="0"/>
          <w:color w:val="auto"/>
          <w:sz w:val="24"/>
          <w:szCs w:val="24"/>
          <w:lang w:eastAsia="zh-CN"/>
        </w:rPr>
        <w:t>交待</w:t>
      </w:r>
      <w:r>
        <w:rPr>
          <w:rFonts w:ascii="仿宋_GB2312" w:eastAsia="仿宋_GB2312" w:hAnsi="仿宋_GB2312" w:cs="仿宋_GB2312" w:hint="eastAsia"/>
          <w:b w:val="0"/>
          <w:bCs w:val="0"/>
          <w:color w:val="auto"/>
          <w:sz w:val="24"/>
          <w:szCs w:val="24"/>
        </w:rPr>
        <w:t>的程序</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1</w:t>
      </w:r>
      <w:r>
        <w:rPr>
          <w:rFonts w:ascii="仿宋_GB2312" w:eastAsia="仿宋_GB2312" w:hAnsi="仿宋_GB2312" w:cs="仿宋_GB2312" w:hint="eastAsia"/>
          <w:color w:val="auto"/>
          <w:sz w:val="24"/>
          <w:szCs w:val="24"/>
          <w:lang w:eastAsia="zh-CN"/>
        </w:rPr>
        <w:t>.</w:t>
      </w:r>
      <w:r>
        <w:rPr>
          <w:rFonts w:ascii="仿宋_GB2312" w:eastAsia="仿宋_GB2312" w:hAnsi="仿宋_GB2312" w:cs="仿宋_GB2312" w:hint="eastAsia"/>
          <w:color w:val="auto"/>
          <w:sz w:val="24"/>
          <w:szCs w:val="24"/>
        </w:rPr>
        <w:t>对患者进行</w:t>
      </w:r>
      <w:r>
        <w:rPr>
          <w:rFonts w:ascii="仿宋_GB2312" w:eastAsia="仿宋_GB2312" w:hAnsi="仿宋_GB2312" w:cs="仿宋_GB2312" w:hint="eastAsia"/>
          <w:color w:val="auto"/>
          <w:sz w:val="24"/>
          <w:szCs w:val="24"/>
          <w:lang w:eastAsia="zh-CN"/>
        </w:rPr>
        <w:t>面对面用药交待</w:t>
      </w:r>
      <w:r>
        <w:rPr>
          <w:rFonts w:ascii="仿宋_GB2312" w:eastAsia="仿宋_GB2312" w:hAnsi="仿宋_GB2312" w:cs="仿宋_GB2312" w:hint="eastAsia"/>
          <w:color w:val="auto"/>
          <w:sz w:val="24"/>
          <w:szCs w:val="24"/>
        </w:rPr>
        <w:t>或者书面</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的方式告知患者药品的用法用量。</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2</w:t>
      </w:r>
      <w:r>
        <w:rPr>
          <w:rFonts w:ascii="仿宋_GB2312" w:eastAsia="仿宋_GB2312" w:hAnsi="仿宋_GB2312" w:cs="仿宋_GB2312" w:hint="eastAsia"/>
          <w:color w:val="auto"/>
          <w:sz w:val="24"/>
          <w:szCs w:val="24"/>
          <w:lang w:eastAsia="zh-CN"/>
        </w:rPr>
        <w:t>.交待</w:t>
      </w:r>
      <w:r>
        <w:rPr>
          <w:rFonts w:ascii="仿宋_GB2312" w:eastAsia="仿宋_GB2312" w:hAnsi="仿宋_GB2312" w:cs="仿宋_GB2312" w:hint="eastAsia"/>
          <w:color w:val="auto"/>
          <w:sz w:val="24"/>
          <w:szCs w:val="24"/>
        </w:rPr>
        <w:t>具体的服药时间。</w:t>
      </w:r>
    </w:p>
    <w:p>
      <w:pPr>
        <w:spacing w:line="360" w:lineRule="auto"/>
        <w:ind w:firstLine="480" w:firstLineChars="200"/>
        <w:rPr>
          <w:rFonts w:ascii="仿宋_GB2312" w:eastAsia="仿宋_GB2312" w:hAnsi="仿宋_GB2312" w:cs="仿宋_GB2312" w:hint="eastAsia"/>
          <w:color w:val="auto"/>
          <w:sz w:val="24"/>
        </w:rPr>
      </w:pPr>
      <w:r>
        <w:rPr>
          <w:rFonts w:ascii="仿宋_GB2312" w:eastAsia="仿宋_GB2312" w:hAnsi="仿宋_GB2312" w:cs="仿宋_GB2312" w:hint="eastAsia"/>
          <w:color w:val="auto"/>
          <w:sz w:val="24"/>
          <w:szCs w:val="24"/>
        </w:rPr>
        <w:t>3</w:t>
      </w:r>
      <w:r>
        <w:rPr>
          <w:rFonts w:ascii="仿宋_GB2312" w:eastAsia="仿宋_GB2312" w:hAnsi="仿宋_GB2312" w:cs="仿宋_GB2312" w:hint="eastAsia"/>
          <w:color w:val="auto"/>
          <w:sz w:val="24"/>
          <w:szCs w:val="24"/>
          <w:lang w:eastAsia="zh-CN"/>
        </w:rPr>
        <w:t>.交待药品</w:t>
      </w:r>
      <w:r>
        <w:rPr>
          <w:rFonts w:ascii="仿宋_GB2312" w:eastAsia="仿宋_GB2312" w:hAnsi="仿宋_GB2312" w:cs="仿宋_GB2312" w:hint="eastAsia"/>
          <w:color w:val="auto"/>
          <w:sz w:val="24"/>
          <w:szCs w:val="24"/>
        </w:rPr>
        <w:t>不良反应，并且告知患者应对的方法。</w:t>
      </w:r>
      <w:r>
        <w:rPr>
          <w:rFonts w:ascii="仿宋_GB2312" w:eastAsia="仿宋_GB2312" w:hAnsi="仿宋_GB2312" w:cs="仿宋_GB2312" w:hint="eastAsia"/>
          <w:color w:val="auto"/>
          <w:sz w:val="24"/>
        </w:rPr>
        <w:br/>
      </w:r>
      <w:r>
        <w:rPr>
          <w:rFonts w:ascii="仿宋_GB2312" w:eastAsia="仿宋_GB2312" w:hAnsi="仿宋_GB2312" w:cs="仿宋_GB2312"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https://d.book118.com/195202332344011120</w:t>
        </w:r>
      </w:hyperlink>
    </w:p>
    <w:p>
      <w:pPr>
        <w:spacing w:line="360" w:lineRule="auto"/>
        <w:ind w:firstLine="480" w:firstLineChars="200"/>
        <w:rPr>
          <w:rFonts w:ascii="仿宋_GB2312" w:eastAsia="仿宋_GB2312" w:hAnsi="仿宋_GB2312" w:cs="仿宋_GB2312" w:hint="eastAsia"/>
          <w:color w:val="auto"/>
          <w:sz w:val="24"/>
        </w:rPr>
      </w:pPr>
    </w:p>
    <w:sectPr>
      <w:headerReference w:type="default" r:id="rId56"/>
      <w:footerReference w:type="default" r:id="rId57"/>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8267010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94512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60871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65573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942418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41905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390633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38769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7866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82446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63029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05204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8310682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25504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73407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906632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65104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99891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122079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8964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32858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137769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89997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835556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3025548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bookmarkStart w:id="0" w:name="_GoBack"/>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8286"/>
        <w:tab w:val="clear" w:pos="8306"/>
      </w:tabs>
      <w:rPr>
        <w:rFonts w:eastAsia="楷体" w:hint="default"/>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DD44FB5"/>
    <w:multiLevelType w:val="singleLevel"/>
    <w:tmpl w:val="9DD44FB5"/>
    <w:lvl w:ilvl="0">
      <w:start w:val="1"/>
      <w:numFmt w:val="chineseCounting"/>
      <w:suff w:val="nothing"/>
      <w:lvlText w:val="（%1）"/>
      <w:lvlJc w:val="left"/>
      <w:rPr>
        <w:rFonts w:hint="eastAsia"/>
      </w:rPr>
    </w:lvl>
  </w:abstractNum>
  <w:abstractNum w:abstractNumId="1">
    <w:nsid w:val="A7971A0D"/>
    <w:multiLevelType w:val="singleLevel"/>
    <w:tmpl w:val="A7971A0D"/>
    <w:lvl w:ilvl="0">
      <w:start w:val="1"/>
      <w:numFmt w:val="chineseCounting"/>
      <w:suff w:val="nothing"/>
      <w:lvlText w:val="（%1）"/>
      <w:lvlJc w:val="left"/>
      <w:rPr>
        <w:rFonts w:hint="eastAsia"/>
      </w:rPr>
    </w:lvl>
  </w:abstractNum>
  <w:abstractNum w:abstractNumId="2">
    <w:nsid w:val="DC95B5B0"/>
    <w:multiLevelType w:val="singleLevel"/>
    <w:tmpl w:val="DC95B5B0"/>
    <w:lvl w:ilvl="0">
      <w:start w:val="1"/>
      <w:numFmt w:val="chineseCounting"/>
      <w:suff w:val="nothing"/>
      <w:lvlText w:val="（%1）"/>
      <w:lvlJc w:val="left"/>
      <w:rPr>
        <w:rFonts w:hint="eastAsia"/>
      </w:rPr>
    </w:lvl>
  </w:abstractNum>
  <w:abstractNum w:abstractNumId="3">
    <w:nsid w:val="1F93415B"/>
    <w:multiLevelType w:val="singleLevel"/>
    <w:tmpl w:val="1F93415B"/>
    <w:lvl w:ilvl="0">
      <w:start w:val="1"/>
      <w:numFmt w:val="chineseCounting"/>
      <w:suff w:val="space"/>
      <w:lvlText w:val="（%1）"/>
      <w:lvlJc w:val="left"/>
      <w:rPr>
        <w:rFonts w:hint="eastAsia"/>
      </w:rPr>
    </w:lvl>
  </w:abstractNum>
  <w:abstractNum w:abstractNumId="4">
    <w:nsid w:val="2D34A751"/>
    <w:multiLevelType w:val="singleLevel"/>
    <w:tmpl w:val="A7971A0D"/>
    <w:lvl w:ilvl="0">
      <w:start w:val="1"/>
      <w:numFmt w:val="chineseCounting"/>
      <w:suff w:val="nothing"/>
      <w:lvlText w:val="（%1）"/>
      <w:lvlJc w:val="left"/>
      <w:rPr>
        <w:rFonts w:hint="eastAsia"/>
      </w:rPr>
    </w:lvl>
  </w:abstractNum>
  <w:abstractNum w:abstractNumId="5">
    <w:nsid w:val="52C41AD2"/>
    <w:multiLevelType w:val="singleLevel"/>
    <w:tmpl w:val="1F93415B"/>
    <w:lvl w:ilvl="0">
      <w:start w:val="1"/>
      <w:numFmt w:val="chineseCounting"/>
      <w:suff w:val="space"/>
      <w:lvlText w:val="（%1）"/>
      <w:lvlJc w:val="left"/>
      <w:rPr>
        <w:rFonts w:hint="eastAsia"/>
      </w:rPr>
    </w:lvl>
  </w:abstractNum>
  <w:num w:numId="1">
    <w:abstractNumId w:val="2"/>
  </w:num>
  <w:num w:numId="2">
    <w:abstractNumId w:val="3"/>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E1826"/>
    <w:rsid w:val="03400745"/>
    <w:rsid w:val="058D3ACF"/>
    <w:rsid w:val="07850B57"/>
    <w:rsid w:val="0A4A552B"/>
    <w:rsid w:val="14C61F92"/>
    <w:rsid w:val="21C97C15"/>
    <w:rsid w:val="26045EEA"/>
    <w:rsid w:val="29771964"/>
    <w:rsid w:val="2E4F497A"/>
    <w:rsid w:val="3572438D"/>
    <w:rsid w:val="363C4655"/>
    <w:rsid w:val="379D264E"/>
    <w:rsid w:val="3C695910"/>
    <w:rsid w:val="443E3BBB"/>
    <w:rsid w:val="53CF1517"/>
    <w:rsid w:val="565B1997"/>
    <w:rsid w:val="5A5002C4"/>
    <w:rsid w:val="5FCE335B"/>
    <w:rsid w:val="63DE6C9D"/>
    <w:rsid w:val="655F7D0F"/>
    <w:rsid w:val="74DE5041"/>
    <w:rsid w:val="79447535"/>
    <w:rsid w:val="7B554144"/>
    <w:rsid w:val="7FCA25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
    <w:unhideWhenUsed/>
    <w:qFormat/>
    <w:pPr>
      <w:jc w:val="left"/>
      <w:outlineLvl w:val="1"/>
    </w:pPr>
    <w:rPr>
      <w:rFonts w:ascii="宋体" w:eastAsia="宋体" w:hAnsi="宋体" w:cs="Times New Roman" w:hint="eastAsia"/>
      <w:kern w:val="0"/>
      <w:sz w:val="24"/>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yperlink" Target="https://d.book118.com/195202332344011120" TargetMode="Externa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Administrator.6VTLCG5A5RWLNUO</dc:creator>
  <cp:lastModifiedBy>沐宇舒荷</cp:lastModifiedBy>
  <cp:revision>0</cp:revision>
  <dcterms:created xsi:type="dcterms:W3CDTF">2014-10-29T12:08:00Z</dcterms:created>
  <dcterms:modified xsi:type="dcterms:W3CDTF">2021-08-10T00:43:29Z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5D663AA0C86341BFBA7D40ED3071E2ED</vt:lpwstr>
  </property>
  <property fmtid="{D5CDD505-2E9C-101B-9397-08002B2CF9AE}" pid="3" name="KSOProductBuildVer">
    <vt:lpwstr>2052-11.1.0.10700</vt:lpwstr>
  </property>
</Properties>
</file>