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overflowPunct w:val="0"/>
        <w:spacing w:line="360" w:lineRule="auto"/>
        <w:ind w:left="105" w:leftChars="50"/>
        <w:jc w:val="center"/>
        <w:textAlignment w:val="center"/>
        <w:rPr>
          <w:rFonts w:ascii="Times New Roman" w:eastAsia="幼圆" w:hAnsi="Times New Roman" w:cs="Times New Roman"/>
          <w:b/>
          <w:sz w:val="40"/>
          <w:szCs w:val="32"/>
        </w:rPr>
      </w:pPr>
      <w:bookmarkStart w:id="0" w:name="_GoBack"/>
      <w:bookmarkEnd w:id="0"/>
      <w:r>
        <w:rPr>
          <w:rFonts w:ascii="Times New Roman" w:eastAsia="幼圆" w:hAnsi="Times New Roman" w:cs="Times New Roman"/>
          <w:b/>
          <w:sz w:val="40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11823700</wp:posOffset>
            </wp:positionH>
            <wp:positionV relativeFrom="topMargin">
              <wp:posOffset>11176000</wp:posOffset>
            </wp:positionV>
            <wp:extent cx="254000" cy="431800"/>
            <wp:effectExtent l="0" t="0" r="12700" b="6350"/>
            <wp:wrapNone/>
            <wp:docPr id="100051" name="图片 1000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幼圆" w:hAnsi="Times New Roman" w:cs="Times New Roman"/>
          <w:b/>
          <w:sz w:val="40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125095</wp:posOffset>
                </wp:positionV>
                <wp:extent cx="1614170" cy="533400"/>
                <wp:effectExtent l="0" t="0" r="24765" b="19050"/>
                <wp:wrapNone/>
                <wp:docPr id="30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4170" cy="533400"/>
                        </a:xfrm>
                        <a:prstGeom prst="rect">
                          <a:avLst/>
                        </a:prstGeom>
                        <a:solidFill>
                          <a:schemeClr val="bg2"/>
                        </a:solidFill>
                        <a:ln>
                          <a:prstDash val="sysDot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华文中宋" w:eastAsia="华文中宋" w:hAnsi="华文中宋" w:cs="Times New Roman"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华文中宋" w:eastAsia="华文中宋" w:hAnsi="华文中宋" w:cs="Times New Roman" w:hint="eastAsia"/>
                                <w:i/>
                                <w:sz w:val="28"/>
                                <w:szCs w:val="28"/>
                              </w:rPr>
                              <w:t>A练——基础过关</w:t>
                            </w:r>
                          </w:p>
                        </w:txbxContent>
                      </wps:txbx>
                      <wps:bodyPr rot="0" vert="horz" wrap="square" anchor="ctr" anchorCtr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5" type="#_x0000_t202" style="width:127.1pt;height:42pt;margin-top:9.85pt;margin-left:0.15pt;mso-wrap-distance-bottom:0;mso-wrap-distance-left:9pt;mso-wrap-distance-right:9pt;mso-wrap-distance-top:0;position:absolute;v-text-anchor:middle;z-index:251659264" fillcolor="#eeece1" stroked="t" strokecolor="#c0504d" strokeweight="2pt">
                <v:stroke dashstyle="1 1"/>
                <v:textbox>
                  <w:txbxContent>
                    <w:p>
                      <w:pPr>
                        <w:rPr>
                          <w:rFonts w:ascii="华文中宋" w:eastAsia="华文中宋" w:hAnsi="华文中宋" w:cs="Times New Roman"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华文中宋" w:eastAsia="华文中宋" w:hAnsi="华文中宋" w:cs="Times New Roman" w:hint="eastAsia"/>
                          <w:i/>
                          <w:sz w:val="28"/>
                          <w:szCs w:val="28"/>
                        </w:rPr>
                        <w:t>A练——基础过关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幼圆" w:hAnsi="Times New Roman" w:cs="Times New Roman"/>
          <w:b/>
          <w:sz w:val="40"/>
          <w:szCs w:val="32"/>
        </w:rPr>
        <w:t>第一章  物质及其变化</w:t>
      </w:r>
    </w:p>
    <w:p>
      <w:pPr>
        <w:overflowPunct w:val="0"/>
        <w:spacing w:line="360" w:lineRule="auto"/>
        <w:ind w:left="105" w:leftChars="50"/>
        <w:jc w:val="center"/>
        <w:textAlignment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第一节  物质的分类及转化</w:t>
      </w:r>
    </w:p>
    <w:p>
      <w:pPr>
        <w:overflowPunct w:val="0"/>
        <w:spacing w:line="360" w:lineRule="auto"/>
        <w:ind w:left="105" w:leftChars="50"/>
        <w:jc w:val="center"/>
        <w:textAlignment w:val="center"/>
        <w:rPr>
          <w:rFonts w:ascii="Times New Roman" w:eastAsia="华文中宋" w:hAnsi="Times New Roman" w:cs="Times New Roman"/>
          <w:color w:val="0070C0"/>
          <w:kern w:val="0"/>
          <w:sz w:val="28"/>
        </w:rPr>
      </w:pPr>
      <w:r>
        <w:rPr>
          <w:rFonts w:ascii="Times New Roman" w:eastAsia="华文中宋" w:hAnsi="Times New Roman" w:cs="Times New Roman"/>
          <w:color w:val="0070C0"/>
          <w:kern w:val="0"/>
          <w:sz w:val="28"/>
        </w:rPr>
        <w:t>课时</w:t>
      </w:r>
      <w:r>
        <w:rPr>
          <w:rFonts w:ascii="Times New Roman" w:eastAsia="华文中宋" w:hAnsi="Times New Roman" w:cs="Times New Roman" w:hint="eastAsia"/>
          <w:color w:val="0070C0"/>
          <w:kern w:val="0"/>
          <w:sz w:val="28"/>
        </w:rPr>
        <w:t>2</w:t>
      </w:r>
      <w:r>
        <w:rPr>
          <w:rFonts w:ascii="Times New Roman" w:eastAsia="华文中宋" w:hAnsi="Times New Roman" w:cs="Times New Roman"/>
          <w:color w:val="0070C0"/>
          <w:kern w:val="0"/>
          <w:sz w:val="28"/>
        </w:rPr>
        <w:t xml:space="preserve">  物质的转化</w:t>
      </w:r>
    </w:p>
    <w:p>
      <w:pPr>
        <w:overflowPunct w:val="0"/>
        <w:spacing w:line="360" w:lineRule="auto"/>
        <w:textAlignment w:val="center"/>
        <w:rPr>
          <w:rFonts w:ascii="方正姚体" w:eastAsia="方正姚体" w:hAnsi="Times New Roman" w:cs="Times New Roman"/>
          <w:color w:val="000000" w:themeColor="text1"/>
          <w:kern w:val="0"/>
          <w:sz w:val="28"/>
          <w:bdr w:val="single" w:sz="4" w:space="0" w:color="auto"/>
          <w14:textFill>
            <w14:solidFill>
              <w14:schemeClr w14:val="tx1"/>
            </w14:solidFill>
          </w14:textFill>
        </w:rPr>
      </w:pPr>
      <w:r>
        <w:rPr>
          <w:rFonts w:ascii="方正姚体" w:eastAsia="方正姚体" w:hAnsi="Times New Roman" w:cs="Times New Roman" w:hint="eastAsia"/>
          <w:color w:val="000000" w:themeColor="text1"/>
          <w:kern w:val="0"/>
          <w:sz w:val="24"/>
          <w:szCs w:val="21"/>
          <w:bdr w:val="single" w:sz="4" w:space="0" w:color="auto"/>
          <w:shd w:val="pct10" w:color="auto" w:fill="FFFFFF"/>
          <w14:textFill>
            <w14:solidFill>
              <w14:schemeClr w14:val="tx1"/>
            </w14:solidFill>
          </w14:textFill>
        </w:rPr>
        <w:t>本课学习目标</w:t>
      </w:r>
    </w:p>
    <w:p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Cs/>
          <w:szCs w:val="21"/>
        </w:rPr>
      </w:pPr>
      <w:r>
        <w:rPr>
          <w:rFonts w:ascii="Times New Roman" w:eastAsia="宋体" w:hAnsi="Times New Roman" w:cs="Times New Roman"/>
          <w:bCs/>
          <w:szCs w:val="21"/>
        </w:rPr>
        <w:t>1.</w:t>
      </w:r>
      <w:r>
        <w:rPr>
          <w:rFonts w:ascii="Times New Roman" w:eastAsia="宋体" w:hAnsi="Times New Roman" w:cs="Times New Roman"/>
        </w:rPr>
        <w:t>理解酸、碱、盐的概念、化学性质及其相互联系</w:t>
      </w:r>
      <w:r>
        <w:rPr>
          <w:rFonts w:ascii="Times New Roman" w:eastAsia="宋体" w:hAnsi="Times New Roman" w:cs="Times New Roman"/>
          <w:bCs/>
          <w:szCs w:val="21"/>
        </w:rPr>
        <w:t>；</w:t>
      </w:r>
    </w:p>
    <w:p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Cs/>
          <w:szCs w:val="21"/>
        </w:rPr>
      </w:pPr>
      <w:r>
        <w:rPr>
          <w:rFonts w:ascii="Times New Roman" w:eastAsia="宋体" w:hAnsi="Times New Roman" w:cs="Times New Roman"/>
          <w:bCs/>
          <w:szCs w:val="21"/>
        </w:rPr>
        <w:t>2.根据物质的组成和形式，掌握物质之间的转化关系；</w:t>
      </w:r>
    </w:p>
    <w:p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>3.熟悉常见反应类型的特征与应用；认识工业生产中物质的制备途径和要求。</w:t>
      </w:r>
    </w:p>
    <w:p>
      <w:pPr>
        <w:spacing w:line="360" w:lineRule="auto"/>
        <w:jc w:val="left"/>
        <w:rPr>
          <w:rFonts w:asciiTheme="minorEastAsia" w:hAnsiTheme="minorEastAsia" w:cs="Times New Roman"/>
          <w:szCs w:val="21"/>
        </w:rPr>
      </w:pPr>
      <w:r>
        <w:rPr>
          <w:rFonts w:ascii="Times New Roman" w:eastAsia="黑体" w:hAnsi="Times New Roman" w:cs="Times New Roman" w:hint="eastAsia"/>
          <w:szCs w:val="21"/>
        </w:rPr>
        <w:t>重点：应用分类法建立各类物质的转化关系模型。</w:t>
      </w:r>
    </w:p>
    <w:p>
      <w:pPr>
        <w:overflowPunct w:val="0"/>
        <w:spacing w:line="360" w:lineRule="auto"/>
        <w:textAlignment w:val="center"/>
        <w:rPr>
          <w:rFonts w:ascii="方正姚体" w:eastAsia="方正姚体" w:hAnsi="Times New Roman" w:cs="Times New Roman"/>
          <w:color w:val="000000" w:themeColor="text1"/>
          <w:kern w:val="0"/>
          <w:sz w:val="28"/>
          <w:bdr w:val="single" w:sz="4" w:space="0" w:color="auto"/>
          <w14:textFill>
            <w14:solidFill>
              <w14:schemeClr w14:val="tx1"/>
            </w14:solidFill>
          </w14:textFill>
        </w:rPr>
      </w:pPr>
      <w:r>
        <w:rPr>
          <w:rFonts w:ascii="方正姚体" w:eastAsia="方正姚体" w:hAnsi="Times New Roman" w:cs="Times New Roman" w:hint="eastAsia"/>
          <w:color w:val="000000" w:themeColor="text1"/>
          <w:kern w:val="0"/>
          <w:sz w:val="24"/>
          <w:szCs w:val="21"/>
          <w:bdr w:val="single" w:sz="4" w:space="0" w:color="auto"/>
          <w:shd w:val="pct10" w:color="auto" w:fill="FFFFFF"/>
          <w14:textFill>
            <w14:solidFill>
              <w14:schemeClr w14:val="tx1"/>
            </w14:solidFill>
          </w14:textFill>
        </w:rPr>
        <w:t>课前预习导学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1</w:t>
      </w:r>
      <w:r>
        <w:rPr>
          <w:rFonts w:ascii="Times New Roman" w:eastAsia="宋体" w:hAnsi="Times New Roman" w:cs="Times New Roman"/>
        </w:rPr>
        <w:t>．酸的主要化学性质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165"/>
        <w:gridCol w:w="395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酸的主要化学性质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反应实例(以盐酸为例，写出化学方程式)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(1)与活泼金属反应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______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(2)与碱性氧化物反应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______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(3)与碱反应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______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(4)与某些盐反应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______</w:t>
            </w:r>
          </w:p>
        </w:tc>
      </w:tr>
    </w:tbl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[思考] 从微观角度来看，不同的酸溶液中都含有___________，故酸的化学通性都由___________体现。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2</w:t>
      </w:r>
      <w:r>
        <w:rPr>
          <w:rFonts w:ascii="Times New Roman" w:eastAsia="宋体" w:hAnsi="Times New Roman" w:cs="Times New Roman"/>
        </w:rPr>
        <w:t>．碱的主要化学性质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165"/>
        <w:gridCol w:w="4184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碱的主要化学性质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反应实例(以NaOH为例，写出化学方程式)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(1)与酸反应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______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(2)与酸性氧化物反应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______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(3)与某些盐反应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______</w:t>
            </w:r>
          </w:p>
        </w:tc>
      </w:tr>
    </w:tbl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[思考] 从微观角度来看，不同的碱溶液中都含有___________，故碱的化学通性都由___________体现。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3</w:t>
      </w:r>
      <w:r>
        <w:rPr>
          <w:rFonts w:ascii="Times New Roman" w:eastAsia="宋体" w:hAnsi="Times New Roman" w:cs="Times New Roman"/>
        </w:rPr>
        <w:t>．盐的主要化学性质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145"/>
        <w:gridCol w:w="4198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盐的主要化学性质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反应实例(以CuSO</w:t>
            </w:r>
            <w:r>
              <w:rPr>
                <w:rFonts w:ascii="Times New Roman" w:eastAsia="宋体" w:hAnsi="Times New Roman" w:cs="Times New Roman"/>
                <w:vertAlign w:val="subscript"/>
              </w:rPr>
              <w:t>4</w:t>
            </w:r>
            <w:r>
              <w:rPr>
                <w:rFonts w:ascii="Times New Roman" w:eastAsia="宋体" w:hAnsi="Times New Roman" w:cs="Times New Roman"/>
              </w:rPr>
              <w:t>为例，写出化学方程式)</w:t>
            </w:r>
          </w:p>
        </w:tc>
      </w:tr>
    </w:tbl>
    <w:p>
      <w:p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145"/>
        <w:gridCol w:w="4198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(1)与碱反应(如氢氧化钡溶液)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_____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(2)与某些盐反应(如氯化钡溶液)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_____</w:t>
            </w:r>
          </w:p>
        </w:tc>
      </w:tr>
      <w:tr>
        <w:tblPrEx>
          <w:tblW w:w="0" w:type="auto"/>
          <w:tblInd w:w="0" w:type="dxa"/>
          <w:tblCellMar>
            <w:top w:w="120" w:type="dxa"/>
            <w:left w:w="120" w:type="dxa"/>
            <w:bottom w:w="120" w:type="dxa"/>
            <w:right w:w="120" w:type="dxa"/>
          </w:tblCellMar>
        </w:tblPrEx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(3)与某些活泼金属反应(如Fe)</w:t>
            </w:r>
          </w:p>
        </w:tc>
        <w:tc>
          <w:tcPr>
            <w:tcW w:w="0" w:type="auto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jc w:val="left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_____</w:t>
            </w:r>
          </w:p>
        </w:tc>
      </w:tr>
    </w:tbl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[注意] 从微观角度来看，不同的硫酸盐溶液中都含有___________，发生复分解反应时，硫酸盐的化学通性由___________体现。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4</w:t>
      </w:r>
      <w:r>
        <w:rPr>
          <w:rFonts w:ascii="Times New Roman" w:eastAsia="宋体" w:hAnsi="Times New Roman" w:cs="Times New Roman"/>
        </w:rPr>
        <w:t>．根据物质组成和性质，通过化学变化可以实现物质之间的转化。转化过程中，元素是不会改变的，这是考虑如何实现物质之间转化的最基本的依据，如由钙或碳元素组成的物质之间的转化可用如下转化关系表示：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Ca</w:t>
      </w:r>
      <w:r>
        <w:rPr>
          <w:rFonts w:ascii="Times New Roman" w:eastAsia="宋体" w:hAnsi="Times New Roman" w:cs="Times New Roman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eqId6f3181f25d0c56a300a176f59bc4bc53" style="width:31.8pt;height:13.8pt" o:ole="" coordsize="21600,21600" o:preferrelative="t" filled="f" stroked="f">
            <v:stroke joinstyle="miter"/>
            <v:imagedata r:id="rId7" o:title="eqId6f3181f25d0c56a300a176f59bc4bc53"/>
            <o:lock v:ext="edit" aspectratio="t"/>
            <w10:anchorlock/>
          </v:shape>
          <o:OLEObject Type="Embed" ProgID="Equation.DSMT4" ShapeID="_x0000_i1026" DrawAspect="Content" ObjectID="_1468075725" r:id="rId8"/>
        </w:object>
      </w:r>
      <w:r>
        <w:rPr>
          <w:rFonts w:ascii="Times New Roman" w:eastAsia="宋体" w:hAnsi="Times New Roman" w:cs="Times New Roman"/>
        </w:rPr>
        <w:t xml:space="preserve"> CaO</w:t>
      </w:r>
      <w:r>
        <w:rPr>
          <w:rFonts w:ascii="Times New Roman" w:eastAsia="宋体" w:hAnsi="Times New Roman" w:cs="Times New Roman"/>
        </w:rPr>
        <w:object>
          <v:shape id="_x0000_i1027" type="#_x0000_t75" alt="eqIdf86846b2b7ea78f0dc7ef10d9df64530" style="width:52.8pt;height:15pt" o:ole="" coordsize="21600,21600" o:preferrelative="t" filled="f" stroked="f">
            <v:stroke joinstyle="miter"/>
            <v:imagedata r:id="rId9" o:title="eqIdf86846b2b7ea78f0dc7ef10d9df64530"/>
            <o:lock v:ext="edit" aspectratio="t"/>
            <w10:anchorlock/>
          </v:shape>
          <o:OLEObject Type="Embed" ProgID="Equation.DSMT4" ShapeID="_x0000_i1027" DrawAspect="Content" ObjectID="_1468075726" r:id="rId10"/>
        </w:object>
      </w:r>
      <w:r>
        <w:rPr>
          <w:rFonts w:ascii="Times New Roman" w:eastAsia="宋体" w:hAnsi="Times New Roman" w:cs="Times New Roman"/>
        </w:rPr>
        <w:t>Ca(OH)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object>
          <v:shape id="_x0000_i1028" type="#_x0000_t75" alt="eqId3b08f9e16180d295e3ef7ddc1f9991c0" style="width:52.8pt;height:15pt" o:ole="" coordsize="21600,21600" o:preferrelative="t" filled="f" stroked="f">
            <v:stroke joinstyle="miter"/>
            <v:imagedata r:id="rId11" o:title="eqId3b08f9e16180d295e3ef7ddc1f9991c0"/>
            <o:lock v:ext="edit" aspectratio="t"/>
            <w10:anchorlock/>
          </v:shape>
          <o:OLEObject Type="Embed" ProgID="Equation.DSMT4" ShapeID="_x0000_i1028" DrawAspect="Content" ObjectID="_1468075727" r:id="rId12"/>
        </w:object>
      </w:r>
      <w:r>
        <w:rPr>
          <w:rFonts w:ascii="Times New Roman" w:eastAsia="宋体" w:hAnsi="Times New Roman" w:cs="Times New Roman"/>
        </w:rPr>
        <w:t>CaCO</w:t>
      </w:r>
      <w:r>
        <w:rPr>
          <w:rFonts w:ascii="Times New Roman" w:eastAsia="宋体" w:hAnsi="Times New Roman" w:cs="Times New Roman"/>
          <w:vertAlign w:val="subscript"/>
        </w:rPr>
        <w:t>3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</w:t>
      </w:r>
      <w:r>
        <w:rPr>
          <w:rFonts w:ascii="Times New Roman" w:eastAsia="宋体" w:hAnsi="Times New Roman" w:cs="Times New Roman"/>
        </w:rPr>
        <w:object>
          <v:shape id="_x0000_i1029" type="#_x0000_t75" alt="eqIde5d5463f91e47bb3bfa7c137c7914e7d" style="width:52.8pt;height:15pt" o:ole="" coordsize="21600,21600" o:preferrelative="t" filled="f" stroked="f">
            <v:stroke joinstyle="miter"/>
            <v:imagedata r:id="rId13" o:title="eqIde5d5463f91e47bb3bfa7c137c7914e7d"/>
            <o:lock v:ext="edit" aspectratio="t"/>
            <w10:anchorlock/>
          </v:shape>
          <o:OLEObject Type="Embed" ProgID="Equation.DSMT4" ShapeID="_x0000_i1029" DrawAspect="Content" ObjectID="_1468075728" r:id="rId14"/>
        </w:object>
      </w:r>
      <w:r>
        <w:rPr>
          <w:rFonts w:ascii="Times New Roman" w:eastAsia="宋体" w:hAnsi="Times New Roman" w:cs="Times New Roman"/>
        </w:rPr>
        <w:t>CO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object>
          <v:shape id="_x0000_i1030" type="#_x0000_t75" alt="eqId456736dc32137d79ea6e903be2387d65" style="width:52.8pt;height:15pt" o:ole="" coordsize="21600,21600" o:preferrelative="t" filled="f" stroked="f">
            <v:stroke joinstyle="miter"/>
            <v:imagedata r:id="rId15" o:title="eqId456736dc32137d79ea6e903be2387d65"/>
            <o:lock v:ext="edit" aspectratio="t"/>
            <w10:anchorlock/>
          </v:shape>
          <o:OLEObject Type="Embed" ProgID="Equation.DSMT4" ShapeID="_x0000_i1030" DrawAspect="Content" ObjectID="_1468075729" r:id="rId16"/>
        </w:object>
      </w:r>
      <w:r>
        <w:rPr>
          <w:rFonts w:ascii="Times New Roman" w:eastAsia="宋体" w:hAnsi="Times New Roman" w:cs="Times New Roman"/>
        </w:rPr>
        <w:t>H</w:t>
      </w:r>
      <w:r>
        <w:rPr>
          <w:rFonts w:ascii="Times New Roman" w:eastAsia="宋体" w:hAnsi="Times New Roman" w:cs="Times New Roman"/>
          <w:vertAlign w:val="subscript"/>
        </w:rPr>
        <w:t>2</w:t>
      </w:r>
      <w:r>
        <w:rPr>
          <w:rFonts w:ascii="Times New Roman" w:eastAsia="宋体" w:hAnsi="Times New Roman" w:cs="Times New Roman"/>
        </w:rPr>
        <w:t>CO</w:t>
      </w:r>
      <w:r>
        <w:rPr>
          <w:rFonts w:ascii="Times New Roman" w:eastAsia="宋体" w:hAnsi="Times New Roman" w:cs="Times New Roman"/>
          <w:vertAlign w:val="subscript"/>
        </w:rPr>
        <w:t>3</w:t>
      </w:r>
      <w:r>
        <w:rPr>
          <w:rFonts w:ascii="Times New Roman" w:eastAsia="宋体" w:hAnsi="Times New Roman" w:cs="Times New Roman"/>
        </w:rPr>
        <w:object>
          <v:shape id="_x0000_i1031" type="#_x0000_t75" alt="eqId6ad9fec7acc6243916f730c8f82d63a0" style="width:52.8pt;height:15pt" o:ole="" coordsize="21600,21600" o:preferrelative="t" filled="f" stroked="f">
            <v:stroke joinstyle="miter"/>
            <v:imagedata r:id="rId17" o:title="eqId6ad9fec7acc6243916f730c8f82d63a0"/>
            <o:lock v:ext="edit" aspectratio="t"/>
            <w10:anchorlock/>
          </v:shape>
          <o:OLEObject Type="Embed" ProgID="Equation.DSMT4" ShapeID="_x0000_i1031" DrawAspect="Content" ObjectID="_1468075730" r:id="rId18"/>
        </w:object>
      </w:r>
      <w:r>
        <w:rPr>
          <w:rFonts w:ascii="Times New Roman" w:eastAsia="宋体" w:hAnsi="Times New Roman" w:cs="Times New Roman"/>
        </w:rPr>
        <w:t>CaCO</w:t>
      </w:r>
      <w:r>
        <w:rPr>
          <w:rFonts w:ascii="Times New Roman" w:eastAsia="宋体" w:hAnsi="Times New Roman" w:cs="Times New Roman"/>
          <w:vertAlign w:val="subscript"/>
        </w:rPr>
        <w:t>3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上述各步转化的化学方程式及反应类型分别为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(1)___________ 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(2)___________ 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(3)___________ 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(4)___________ 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(5)___________ ；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(6)___________ ；</w:t>
      </w:r>
    </w:p>
    <w:p>
      <w:pPr>
        <w:overflowPunct w:val="0"/>
        <w:spacing w:line="360" w:lineRule="auto"/>
        <w:textAlignment w:val="center"/>
        <w:rPr>
          <w:rFonts w:ascii="方正姚体" w:eastAsia="方正姚体" w:hAnsi="Times New Roman" w:cs="Times New Roman"/>
          <w:color w:val="000000" w:themeColor="text1"/>
          <w:kern w:val="0"/>
          <w:sz w:val="28"/>
          <w:bdr w:val="single" w:sz="4" w:space="0" w:color="auto"/>
          <w14:textFill>
            <w14:solidFill>
              <w14:schemeClr w14:val="tx1"/>
            </w14:solidFill>
          </w14:textFill>
        </w:rPr>
      </w:pPr>
      <w:r>
        <w:rPr>
          <w:rFonts w:ascii="方正姚体" w:eastAsia="方正姚体" w:hAnsi="Times New Roman" w:cs="Times New Roman" w:hint="eastAsia"/>
          <w:color w:val="000000" w:themeColor="text1"/>
          <w:kern w:val="0"/>
          <w:sz w:val="24"/>
          <w:szCs w:val="21"/>
          <w:bdr w:val="single" w:sz="4" w:space="0" w:color="auto"/>
          <w:shd w:val="pct10" w:color="auto" w:fill="FFFFFF"/>
          <w14:textFill>
            <w14:solidFill>
              <w14:schemeClr w14:val="tx1"/>
            </w14:solidFill>
          </w14:textFill>
        </w:rPr>
        <w:t>当堂练习达标</w:t>
      </w:r>
    </w:p>
    <w:p>
      <w:pPr>
        <w:spacing w:line="360" w:lineRule="auto"/>
        <w:jc w:val="left"/>
        <w:rPr>
          <w:rFonts w:ascii="Times New Roman" w:eastAsia="黑体" w:hAnsi="Times New Roman" w:cs="Times New Roman"/>
          <w:szCs w:val="21"/>
        </w:rPr>
      </w:pPr>
      <w:r>
        <w:rPr>
          <w:rFonts w:ascii="Times New Roman" w:eastAsia="黑体" w:hAnsi="Times New Roman" w:cs="Times New Roman"/>
          <w:szCs w:val="21"/>
        </w:rPr>
        <w:t>知识点一  化学反应基本类型的判断</w:t>
      </w:r>
    </w:p>
    <w:p>
      <w:pPr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 w:cs="Times New Roman"/>
          <w:bCs/>
        </w:rPr>
      </w:pPr>
      <w:r>
        <w:rPr>
          <w:rFonts w:ascii="Times New Roman" w:eastAsia="宋体" w:hAnsi="Times New Roman" w:cs="Times New Roman" w:hint="eastAsia"/>
          <w:bCs/>
        </w:rPr>
        <w:t>1</w:t>
      </w:r>
      <w:r>
        <w:rPr>
          <w:rFonts w:ascii="Times New Roman" w:eastAsia="宋体" w:hAnsi="Times New Roman" w:cs="Times New Roman"/>
          <w:bCs/>
        </w:rPr>
        <w:t>．下列关于化学反应类型的叙述中，正确的是</w:t>
      </w:r>
    </w:p>
    <w:p>
      <w:pPr>
        <w:tabs>
          <w:tab w:val="left" w:pos="4153"/>
        </w:tabs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  <w:bCs/>
        </w:rPr>
      </w:pPr>
      <w:r>
        <w:rPr>
          <w:rFonts w:ascii="Times New Roman" w:eastAsia="宋体" w:hAnsi="Times New Roman" w:cs="Times New Roman"/>
          <w:bCs/>
        </w:rPr>
        <w:t>A．凡是生成盐和水的反应一定是中和反应</w:t>
      </w:r>
      <w:r>
        <w:rPr>
          <w:rFonts w:ascii="Times New Roman" w:eastAsia="宋体" w:hAnsi="Times New Roman" w:cs="Times New Roman"/>
          <w:bCs/>
        </w:rPr>
        <w:tab/>
      </w:r>
    </w:p>
    <w:p>
      <w:pPr>
        <w:tabs>
          <w:tab w:val="left" w:pos="4153"/>
        </w:tabs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 w:cs="Times New Roman"/>
          <w:bCs/>
        </w:rPr>
      </w:pPr>
      <w:r>
        <w:rPr>
          <w:rFonts w:ascii="Times New Roman" w:eastAsia="宋体" w:hAnsi="Times New Roman" w:cs="Times New Roman"/>
          <w:bCs/>
        </w:rPr>
        <w:t>B．复分解反应一定没有单质参加</w:t>
      </w:r>
    </w:p>
    <w:p>
      <w:pPr>
        <w:tabs>
          <w:tab w:val="left" w:pos="4153"/>
        </w:tabs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 w:cs="Times New Roman" w:hint="eastAsia"/>
          <w:bCs/>
        </w:rPr>
      </w:pPr>
      <w:r>
        <w:rPr>
          <w:rFonts w:ascii="Times New Roman" w:eastAsia="宋体" w:hAnsi="Times New Roman" w:cs="Times New Roman"/>
          <w:bCs/>
        </w:rPr>
        <w:t>C．一种单质和一种化合物的反应一定是置换反应</w:t>
      </w:r>
      <w:r>
        <w:rPr>
          <w:rFonts w:ascii="Times New Roman" w:eastAsia="宋体" w:hAnsi="Times New Roman" w:cs="Times New Roman"/>
          <w:bCs/>
        </w:rPr>
        <w:tab/>
      </w:r>
    </w:p>
    <w:p>
      <w:pPr>
        <w:tabs>
          <w:tab w:val="left" w:pos="4153"/>
        </w:tabs>
        <w:adjustRightInd w:val="0"/>
        <w:snapToGrid w:val="0"/>
        <w:spacing w:line="360" w:lineRule="auto"/>
        <w:jc w:val="left"/>
        <w:textAlignment w:val="center"/>
        <w:rPr>
          <w:rFonts w:ascii="Times New Roman" w:eastAsia="宋体" w:hAnsi="Times New Roman" w:cs="Times New Roman"/>
          <w:bCs/>
        </w:rPr>
      </w:pPr>
      <w:r>
        <w:rPr>
          <w:rFonts w:ascii="Times New Roman" w:eastAsia="宋体" w:hAnsi="Times New Roman" w:cs="Times New Roman"/>
          <w:bCs/>
        </w:rPr>
        <w:t>D．分解反应的生成物一定有单质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 w:hint="eastAsia"/>
        </w:rPr>
        <w:t>2</w:t>
      </w:r>
      <w:r>
        <w:rPr>
          <w:rFonts w:ascii="Times New Roman" w:hAnsi="Times New Roman" w:cs="Times New Roman"/>
        </w:rPr>
        <w:t>．</w:t>
      </w:r>
      <w:r>
        <w:rPr>
          <w:rFonts w:ascii="Times New Roman" w:eastAsia="宋体" w:hAnsi="Times New Roman" w:cs="Times New Roman"/>
        </w:rPr>
        <w:t>工业生产高纯硅涉及的化学方程之一为</w:t>
      </w:r>
      <w:r>
        <w:rPr>
          <w:rFonts w:ascii="Times New Roman" w:eastAsia="Times New Roman" w:hAnsi="Times New Roman" w:cs="Times New Roman"/>
        </w:rPr>
        <w:t>SiO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+2C</w:t>
      </w:r>
      <w:r>
        <w:rPr>
          <w:rFonts w:ascii="Times New Roman" w:hAnsi="Times New Roman" w:cs="Times New Roman"/>
        </w:rPr>
        <w:object>
          <v:shape id="_x0000_i1032" type="#_x0000_t75" alt="eqIdd96d698faf25427ebd78ac51856b1cec" style="width:26.9pt;height:38.2pt" o:ole="" coordsize="21600,21600" o:preferrelative="t" filled="f" stroked="f">
            <v:stroke joinstyle="miter"/>
            <v:imagedata r:id="rId19" o:title="eqIdd96d698faf25427ebd78ac51856b1cec"/>
            <o:lock v:ext="edit" aspectratio="t"/>
            <w10:anchorlock/>
          </v:shape>
          <o:OLEObject Type="Embed" ProgID="Equation.DSMT4" ShapeID="_x0000_i1032" DrawAspect="Content" ObjectID="_1468075731" r:id="rId20"/>
        </w:object>
      </w:r>
      <w:r>
        <w:rPr>
          <w:rFonts w:ascii="Times New Roman" w:eastAsia="Times New Roman" w:hAnsi="Times New Roman" w:cs="Times New Roman"/>
        </w:rPr>
        <w:t>Si+2CO↑</w:t>
      </w:r>
      <w:r>
        <w:rPr>
          <w:rFonts w:ascii="Times New Roman" w:eastAsia="宋体" w:hAnsi="Times New Roman" w:cs="Times New Roman"/>
        </w:rPr>
        <w:t>，该反应属于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t>置换反应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eastAsia="宋体" w:hAnsi="Times New Roman" w:cs="Times New Roman"/>
        </w:rPr>
        <w:t>分解反应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eastAsia="宋体" w:hAnsi="Times New Roman" w:cs="Times New Roman"/>
        </w:rPr>
        <w:t>化合反应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eastAsia="宋体" w:hAnsi="Times New Roman" w:cs="Times New Roman"/>
        </w:rPr>
        <w:t>复分解反应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>．</w:t>
      </w:r>
      <w:r>
        <w:rPr>
          <w:rFonts w:ascii="Times New Roman" w:eastAsia="宋体" w:hAnsi="Times New Roman" w:cs="Times New Roman"/>
        </w:rPr>
        <w:t>利用下列流程制取烧碱，在整个流程中没有涉及的化学反应类型是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https://d.book118.com/195230030303011124</w:t>
        </w:r>
      </w:hyperlink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15507"/>
    <w:rsid w:val="00032146"/>
    <w:rsid w:val="00041561"/>
    <w:rsid w:val="0004675E"/>
    <w:rsid w:val="00051F46"/>
    <w:rsid w:val="00071361"/>
    <w:rsid w:val="00074F17"/>
    <w:rsid w:val="000777B6"/>
    <w:rsid w:val="00092AC2"/>
    <w:rsid w:val="000A11E5"/>
    <w:rsid w:val="000B6691"/>
    <w:rsid w:val="000C00B1"/>
    <w:rsid w:val="000C3F31"/>
    <w:rsid w:val="000D38AA"/>
    <w:rsid w:val="000D7007"/>
    <w:rsid w:val="000E2263"/>
    <w:rsid w:val="000E4A0D"/>
    <w:rsid w:val="000E6F27"/>
    <w:rsid w:val="0010086E"/>
    <w:rsid w:val="001157F8"/>
    <w:rsid w:val="0011654E"/>
    <w:rsid w:val="001374DA"/>
    <w:rsid w:val="00146953"/>
    <w:rsid w:val="00151C6C"/>
    <w:rsid w:val="0017778F"/>
    <w:rsid w:val="00191499"/>
    <w:rsid w:val="001C00EC"/>
    <w:rsid w:val="001C5535"/>
    <w:rsid w:val="001D264D"/>
    <w:rsid w:val="001D4CC8"/>
    <w:rsid w:val="001E071B"/>
    <w:rsid w:val="001E25DE"/>
    <w:rsid w:val="001E2D39"/>
    <w:rsid w:val="001E492C"/>
    <w:rsid w:val="001F7A30"/>
    <w:rsid w:val="0020199E"/>
    <w:rsid w:val="002140CD"/>
    <w:rsid w:val="002227B0"/>
    <w:rsid w:val="00241D2D"/>
    <w:rsid w:val="00260DA9"/>
    <w:rsid w:val="00262D13"/>
    <w:rsid w:val="00267B8F"/>
    <w:rsid w:val="0027067E"/>
    <w:rsid w:val="002771D2"/>
    <w:rsid w:val="002B2733"/>
    <w:rsid w:val="002C7E27"/>
    <w:rsid w:val="002D2CA7"/>
    <w:rsid w:val="002D6A82"/>
    <w:rsid w:val="002E56FE"/>
    <w:rsid w:val="002F0034"/>
    <w:rsid w:val="002F3EFD"/>
    <w:rsid w:val="00303D81"/>
    <w:rsid w:val="003148EB"/>
    <w:rsid w:val="00316A1B"/>
    <w:rsid w:val="00346E63"/>
    <w:rsid w:val="003476BB"/>
    <w:rsid w:val="00350902"/>
    <w:rsid w:val="00356A6D"/>
    <w:rsid w:val="00363227"/>
    <w:rsid w:val="00375DFE"/>
    <w:rsid w:val="00380854"/>
    <w:rsid w:val="003823AA"/>
    <w:rsid w:val="00382586"/>
    <w:rsid w:val="00397F12"/>
    <w:rsid w:val="003A53AC"/>
    <w:rsid w:val="003A722A"/>
    <w:rsid w:val="003B4074"/>
    <w:rsid w:val="003B6A60"/>
    <w:rsid w:val="003D687D"/>
    <w:rsid w:val="003F1EFD"/>
    <w:rsid w:val="003F5969"/>
    <w:rsid w:val="00401952"/>
    <w:rsid w:val="0040402F"/>
    <w:rsid w:val="00412C7F"/>
    <w:rsid w:val="004151FC"/>
    <w:rsid w:val="004345D7"/>
    <w:rsid w:val="00443702"/>
    <w:rsid w:val="00467572"/>
    <w:rsid w:val="0047331D"/>
    <w:rsid w:val="00474D14"/>
    <w:rsid w:val="00486104"/>
    <w:rsid w:val="00490809"/>
    <w:rsid w:val="00496965"/>
    <w:rsid w:val="00497F78"/>
    <w:rsid w:val="004A28E0"/>
    <w:rsid w:val="004A3F48"/>
    <w:rsid w:val="004A5D3E"/>
    <w:rsid w:val="004A6B13"/>
    <w:rsid w:val="004B3CD2"/>
    <w:rsid w:val="004C3107"/>
    <w:rsid w:val="004C7201"/>
    <w:rsid w:val="004D1F2F"/>
    <w:rsid w:val="004F27C7"/>
    <w:rsid w:val="00516410"/>
    <w:rsid w:val="00537BEE"/>
    <w:rsid w:val="00543158"/>
    <w:rsid w:val="00547B5F"/>
    <w:rsid w:val="00551DBB"/>
    <w:rsid w:val="0056487D"/>
    <w:rsid w:val="005A10DA"/>
    <w:rsid w:val="005C454E"/>
    <w:rsid w:val="005D4291"/>
    <w:rsid w:val="005D77A0"/>
    <w:rsid w:val="00600D29"/>
    <w:rsid w:val="006118C9"/>
    <w:rsid w:val="00623DD3"/>
    <w:rsid w:val="00633680"/>
    <w:rsid w:val="00635404"/>
    <w:rsid w:val="00647715"/>
    <w:rsid w:val="006519C7"/>
    <w:rsid w:val="00655CA5"/>
    <w:rsid w:val="0066771E"/>
    <w:rsid w:val="00667A82"/>
    <w:rsid w:val="006A62C9"/>
    <w:rsid w:val="006C00F6"/>
    <w:rsid w:val="006E406D"/>
    <w:rsid w:val="006F0BDD"/>
    <w:rsid w:val="006F3295"/>
    <w:rsid w:val="007161C7"/>
    <w:rsid w:val="00721109"/>
    <w:rsid w:val="00753E7B"/>
    <w:rsid w:val="00767320"/>
    <w:rsid w:val="00773439"/>
    <w:rsid w:val="007757FD"/>
    <w:rsid w:val="007A43E3"/>
    <w:rsid w:val="007B4292"/>
    <w:rsid w:val="007C0374"/>
    <w:rsid w:val="007D7FDF"/>
    <w:rsid w:val="007E1C5C"/>
    <w:rsid w:val="007E4654"/>
    <w:rsid w:val="007E6691"/>
    <w:rsid w:val="007F19F1"/>
    <w:rsid w:val="007F3EEE"/>
    <w:rsid w:val="00803419"/>
    <w:rsid w:val="0081069C"/>
    <w:rsid w:val="008124A7"/>
    <w:rsid w:val="008201A7"/>
    <w:rsid w:val="00820D23"/>
    <w:rsid w:val="008231B3"/>
    <w:rsid w:val="00823A09"/>
    <w:rsid w:val="0085328A"/>
    <w:rsid w:val="00881ED5"/>
    <w:rsid w:val="008833D6"/>
    <w:rsid w:val="00883725"/>
    <w:rsid w:val="008A36E9"/>
    <w:rsid w:val="008A62A4"/>
    <w:rsid w:val="008D7545"/>
    <w:rsid w:val="008F1BE0"/>
    <w:rsid w:val="008F3AF6"/>
    <w:rsid w:val="008F7B0B"/>
    <w:rsid w:val="009035F2"/>
    <w:rsid w:val="009069DE"/>
    <w:rsid w:val="009116C3"/>
    <w:rsid w:val="00913910"/>
    <w:rsid w:val="00950E0C"/>
    <w:rsid w:val="009513EE"/>
    <w:rsid w:val="00962479"/>
    <w:rsid w:val="00965AD4"/>
    <w:rsid w:val="00995CC3"/>
    <w:rsid w:val="009A056D"/>
    <w:rsid w:val="009A2072"/>
    <w:rsid w:val="009A3698"/>
    <w:rsid w:val="009A607F"/>
    <w:rsid w:val="009A7BE6"/>
    <w:rsid w:val="009D0D9B"/>
    <w:rsid w:val="009D6E8A"/>
    <w:rsid w:val="009E5A9D"/>
    <w:rsid w:val="009F0B76"/>
    <w:rsid w:val="00A03058"/>
    <w:rsid w:val="00A2284B"/>
    <w:rsid w:val="00A254A3"/>
    <w:rsid w:val="00A50E95"/>
    <w:rsid w:val="00A70188"/>
    <w:rsid w:val="00A865EA"/>
    <w:rsid w:val="00A908F1"/>
    <w:rsid w:val="00A97E7F"/>
    <w:rsid w:val="00AC006C"/>
    <w:rsid w:val="00AC1DE3"/>
    <w:rsid w:val="00B007E0"/>
    <w:rsid w:val="00B02878"/>
    <w:rsid w:val="00B03C8B"/>
    <w:rsid w:val="00B205AE"/>
    <w:rsid w:val="00B32243"/>
    <w:rsid w:val="00B4253A"/>
    <w:rsid w:val="00B4489F"/>
    <w:rsid w:val="00BA427C"/>
    <w:rsid w:val="00BB23F4"/>
    <w:rsid w:val="00BB46E9"/>
    <w:rsid w:val="00BD57D6"/>
    <w:rsid w:val="00BD7BEA"/>
    <w:rsid w:val="00BE5AD4"/>
    <w:rsid w:val="00BE6B1A"/>
    <w:rsid w:val="00BF2518"/>
    <w:rsid w:val="00BF281D"/>
    <w:rsid w:val="00BF4AD7"/>
    <w:rsid w:val="00C02FC6"/>
    <w:rsid w:val="00C035AB"/>
    <w:rsid w:val="00C06D82"/>
    <w:rsid w:val="00C2613D"/>
    <w:rsid w:val="00C368E4"/>
    <w:rsid w:val="00C40F2C"/>
    <w:rsid w:val="00C429C3"/>
    <w:rsid w:val="00CB0297"/>
    <w:rsid w:val="00CB78BF"/>
    <w:rsid w:val="00CC0F5E"/>
    <w:rsid w:val="00CE4494"/>
    <w:rsid w:val="00D1761D"/>
    <w:rsid w:val="00D32E18"/>
    <w:rsid w:val="00D436D8"/>
    <w:rsid w:val="00D47C2A"/>
    <w:rsid w:val="00D551EE"/>
    <w:rsid w:val="00D567C5"/>
    <w:rsid w:val="00D82C10"/>
    <w:rsid w:val="00D904FC"/>
    <w:rsid w:val="00D92911"/>
    <w:rsid w:val="00D96692"/>
    <w:rsid w:val="00DB27B6"/>
    <w:rsid w:val="00DB693B"/>
    <w:rsid w:val="00DC47A2"/>
    <w:rsid w:val="00DC6C49"/>
    <w:rsid w:val="00DD0D58"/>
    <w:rsid w:val="00DD6415"/>
    <w:rsid w:val="00DD7C63"/>
    <w:rsid w:val="00DE2F4E"/>
    <w:rsid w:val="00DE74BD"/>
    <w:rsid w:val="00E01619"/>
    <w:rsid w:val="00E03742"/>
    <w:rsid w:val="00E0403B"/>
    <w:rsid w:val="00E11CAF"/>
    <w:rsid w:val="00E26868"/>
    <w:rsid w:val="00E57D3C"/>
    <w:rsid w:val="00E866FF"/>
    <w:rsid w:val="00E91DA9"/>
    <w:rsid w:val="00E9273E"/>
    <w:rsid w:val="00E979F9"/>
    <w:rsid w:val="00EA4134"/>
    <w:rsid w:val="00EC28F0"/>
    <w:rsid w:val="00ED3034"/>
    <w:rsid w:val="00ED422B"/>
    <w:rsid w:val="00EF66F4"/>
    <w:rsid w:val="00F003F6"/>
    <w:rsid w:val="00F03884"/>
    <w:rsid w:val="00F2101F"/>
    <w:rsid w:val="00F30139"/>
    <w:rsid w:val="00F3217C"/>
    <w:rsid w:val="00F43736"/>
    <w:rsid w:val="00F610DE"/>
    <w:rsid w:val="00F6191B"/>
    <w:rsid w:val="00F63CE9"/>
    <w:rsid w:val="00F67343"/>
    <w:rsid w:val="00F85A1E"/>
    <w:rsid w:val="00FA62A7"/>
    <w:rsid w:val="00FC4E46"/>
    <w:rsid w:val="00FD02C9"/>
    <w:rsid w:val="00FD3891"/>
    <w:rsid w:val="00FE49FE"/>
    <w:rsid w:val="00FF4FFA"/>
    <w:rsid w:val="5C317F0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uiPriority="0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uiPriority="0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autoRedefine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autoRedefine/>
    <w:semiHidden/>
    <w:unhideWhenUsed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1"/>
    <w:autoRedefine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autoRedefine/>
    <w:uiPriority w:val="99"/>
    <w:semiHidden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qFormat/>
    <w:rPr>
      <w:sz w:val="18"/>
      <w:szCs w:val="18"/>
    </w:rPr>
  </w:style>
  <w:style w:type="paragraph" w:customStyle="1" w:styleId="Bodytext1">
    <w:name w:val="Body text|1"/>
    <w:basedOn w:val="Normal"/>
    <w:autoRedefine/>
    <w:qFormat/>
    <w:pPr>
      <w:spacing w:line="403" w:lineRule="auto"/>
      <w:ind w:firstLine="320"/>
      <w:jc w:val="left"/>
    </w:pPr>
    <w:rPr>
      <w:rFonts w:ascii="宋体" w:eastAsia="宋体" w:hAnsi="宋体" w:cs="宋体"/>
      <w:kern w:val="0"/>
      <w:sz w:val="20"/>
      <w:szCs w:val="20"/>
      <w:lang w:val="zh-TW" w:eastAsia="zh-TW" w:bidi="zh-TW"/>
    </w:rPr>
  </w:style>
  <w:style w:type="character" w:customStyle="1" w:styleId="Char2">
    <w:name w:val="纯文本 Char"/>
    <w:basedOn w:val="DefaultParagraphFont"/>
    <w:link w:val="PlainText"/>
    <w:autoRedefine/>
    <w:qFormat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3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4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5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6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7.bin" /><Relationship Id="rId21" Type="http://schemas.openxmlformats.org/officeDocument/2006/relationships/hyperlink" Target="https://d.book118.com/195230030303011124" TargetMode="External" /><Relationship Id="rId22" Type="http://schemas.openxmlformats.org/officeDocument/2006/relationships/theme" Target="theme/theme1.xml" /><Relationship Id="rId23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wmf" /><Relationship Id="rId8" Type="http://schemas.openxmlformats.org/officeDocument/2006/relationships/oleObject" Target="embeddings/oleObject1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A37A8E-7D20-4BE2-986D-FF4E0D53B2B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2070</Words>
  <Characters>11803</Characters>
  <Application>Microsoft Office Word</Application>
  <DocSecurity>0</DocSecurity>
  <Lines>98</Lines>
  <Paragraphs>27</Paragraphs>
  <ScaleCrop>false</ScaleCrop>
  <Company/>
  <LinksUpToDate>false</LinksUpToDate>
  <CharactersWithSpaces>13846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5</cp:revision>
  <dcterms:created xsi:type="dcterms:W3CDTF">2022-06-15T07:46:00Z</dcterms:created>
  <dcterms:modified xsi:type="dcterms:W3CDTF">2024-03-13T08:30:01Z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DC745CA9C8404354B1872648ED6A832B_13</vt:lpwstr>
  </property>
  <property fmtid="{D5CDD505-2E9C-101B-9397-08002B2CF9AE}" pid="7" name="KSOProductBuildVer">
    <vt:lpwstr>2052-12.1.0.16364</vt:lpwstr>
  </property>
</Properties>
</file>