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  <w:bookmarkStart w:id="0" w:name="_GoBack"/>
      <w:bookmarkEnd w:id="0"/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spacing w:before="254" w:line="360" w:lineRule="auto"/>
        <w:ind w:left="273"/>
        <w:jc w:val="center"/>
        <w:outlineLvl w:val="0"/>
        <w:rPr>
          <w:rFonts w:ascii="微软雅黑" w:eastAsia="微软雅黑" w:hAnsi="微软雅黑" w:cs="微软雅黑"/>
          <w:b/>
          <w:bCs/>
          <w:color w:val="2D54A0"/>
          <w:spacing w:val="8"/>
          <w:sz w:val="59"/>
          <w:szCs w:val="59"/>
        </w:rPr>
      </w:pPr>
      <w:r>
        <w:rPr>
          <w:rFonts w:ascii="微软雅黑" w:eastAsia="微软雅黑" w:hAnsi="微软雅黑" w:cs="微软雅黑"/>
          <w:b/>
          <w:bCs/>
          <w:color w:val="2D54A0"/>
          <w:spacing w:val="9"/>
          <w:sz w:val="59"/>
          <w:szCs w:val="59"/>
        </w:rPr>
        <w:t>2024年非金属材料试验机行</w:t>
      </w:r>
      <w:r>
        <w:rPr>
          <w:rFonts w:ascii="微软雅黑" w:eastAsia="微软雅黑" w:hAnsi="微软雅黑" w:cs="微软雅黑"/>
          <w:b/>
          <w:bCs/>
          <w:color w:val="2D54A0"/>
          <w:spacing w:val="8"/>
          <w:sz w:val="59"/>
          <w:szCs w:val="59"/>
        </w:rPr>
        <w:t>业趋势报告</w:t>
      </w:r>
    </w:p>
    <w:p>
      <w:pPr>
        <w:spacing w:before="254" w:line="360" w:lineRule="auto"/>
        <w:ind w:left="273"/>
        <w:jc w:val="center"/>
        <w:outlineLvl w:val="0"/>
        <w:rPr>
          <w:rFonts w:ascii="微软雅黑" w:eastAsia="微软雅黑" w:hAnsi="微软雅黑" w:cs="微软雅黑"/>
          <w:b/>
          <w:bCs/>
          <w:color w:val="2D54A0"/>
          <w:spacing w:val="8"/>
          <w:sz w:val="59"/>
          <w:szCs w:val="59"/>
        </w:rPr>
      </w:pPr>
    </w:p>
    <w:p>
      <w:pPr>
        <w:spacing w:before="254" w:line="360" w:lineRule="auto"/>
        <w:ind w:left="273"/>
        <w:jc w:val="center"/>
        <w:outlineLvl w:val="0"/>
        <w:rPr>
          <w:rFonts w:ascii="微软雅黑" w:eastAsia="微软雅黑" w:hAnsi="微软雅黑" w:cs="微软雅黑"/>
          <w:b/>
          <w:bCs/>
          <w:color w:val="2D54A0"/>
          <w:spacing w:val="8"/>
          <w:sz w:val="59"/>
          <w:szCs w:val="59"/>
        </w:rPr>
      </w:pPr>
    </w:p>
    <w:p>
      <w:pPr>
        <w:spacing w:before="254" w:line="360" w:lineRule="auto"/>
        <w:ind w:left="273"/>
        <w:jc w:val="center"/>
        <w:outlineLvl w:val="0"/>
        <w:rPr>
          <w:rFonts w:ascii="微软雅黑" w:eastAsia="微软雅黑" w:hAnsi="微软雅黑" w:cs="微软雅黑"/>
          <w:b/>
          <w:bCs/>
          <w:color w:val="2D54A0"/>
          <w:spacing w:val="8"/>
          <w:sz w:val="59"/>
          <w:szCs w:val="59"/>
        </w:rPr>
      </w:pPr>
    </w:p>
    <w:p>
      <w:pPr>
        <w:spacing w:before="254" w:line="360" w:lineRule="auto"/>
        <w:ind w:left="273"/>
        <w:jc w:val="center"/>
        <w:outlineLvl w:val="0"/>
        <w:rPr>
          <w:rFonts w:ascii="微软雅黑" w:eastAsia="微软雅黑" w:hAnsi="微软雅黑" w:cs="微软雅黑"/>
          <w:b/>
          <w:bCs/>
          <w:color w:val="2D54A0"/>
          <w:spacing w:val="8"/>
          <w:sz w:val="59"/>
          <w:szCs w:val="59"/>
        </w:rPr>
      </w:pPr>
    </w:p>
    <w:p>
      <w:pPr>
        <w:spacing w:before="254" w:line="360" w:lineRule="auto"/>
        <w:ind w:left="273"/>
        <w:jc w:val="center"/>
        <w:outlineLvl w:val="0"/>
        <w:rPr>
          <w:rFonts w:ascii="微软雅黑" w:eastAsia="微软雅黑" w:hAnsi="微软雅黑" w:cs="微软雅黑" w:hint="default"/>
          <w:b/>
          <w:bCs/>
          <w:color w:val="2D54A0"/>
          <w:spacing w:val="8"/>
          <w:sz w:val="44"/>
          <w:szCs w:val="44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微软雅黑" w:eastAsia="微软雅黑" w:hAnsi="微软雅黑" w:cs="微软雅黑" w:hint="eastAsia"/>
          <w:b/>
          <w:bCs/>
          <w:color w:val="2D54A0"/>
          <w:spacing w:val="8"/>
          <w:sz w:val="44"/>
          <w:szCs w:val="44"/>
          <w:lang w:val="en-US" w:eastAsia="zh-CN"/>
        </w:rPr>
        <w:t>《2024年最新评估分析》</w:t>
      </w:r>
    </w:p>
    <w:p>
      <w:pPr>
        <w:spacing w:line="360" w:lineRule="auto"/>
        <w:jc w:val="center"/>
        <w:rPr>
          <w:rFonts w:ascii="微软雅黑" w:eastAsia="微软雅黑" w:hAnsi="微软雅黑" w:cs="微软雅黑" w:hint="eastAsia"/>
          <w:b/>
          <w:bCs w:val="0"/>
          <w:color w:val="2E54A1" w:themeColor="accent1" w:themeShade="BF"/>
          <w:sz w:val="40"/>
        </w:rPr>
      </w:pPr>
      <w:r>
        <w:rPr>
          <w:rFonts w:ascii="微软雅黑" w:eastAsia="微软雅黑" w:hAnsi="微软雅黑" w:cs="微软雅黑" w:hint="eastAsia"/>
          <w:b/>
          <w:bCs w:val="0"/>
          <w:color w:val="2E54A1" w:themeColor="accent1" w:themeShade="BF"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19937" w:history="1">
        <w:r>
          <w:rPr>
            <w:rFonts w:ascii="微软雅黑" w:eastAsia="微软雅黑" w:hAnsi="微软雅黑" w:cs="微软雅黑" w:hint="eastAsia"/>
            <w:color w:val="001CAC" w:themeColor="hyperlink" w:themeShade="BF"/>
            <w:lang w:eastAsia="zh-CN"/>
          </w:rPr>
          <w:t>前言</w:t>
        </w:r>
        <w:r>
          <w:tab/>
        </w:r>
        <w:r>
          <w:fldChar w:fldCharType="begin"/>
        </w:r>
        <w:r>
          <w:instrText xml:space="preserve"> PAGEREF _Toc19937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1284" w:history="1">
        <w:r>
          <w:rPr>
            <w:rFonts w:ascii="微软雅黑" w:eastAsia="微软雅黑" w:hAnsi="微软雅黑" w:cs="微软雅黑" w:hint="eastAsia"/>
            <w:color w:val="001CAC" w:themeColor="hyperlink" w:themeShade="BF"/>
            <w:szCs w:val="32"/>
            <w:lang w:eastAsia="zh-CN"/>
          </w:rPr>
          <w:t>一、项目技术流程</w:t>
        </w:r>
        <w:r>
          <w:tab/>
        </w:r>
        <w:r>
          <w:fldChar w:fldCharType="begin"/>
        </w:r>
        <w:r>
          <w:instrText xml:space="preserve"> PAGEREF _Toc11284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006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(一)、技术方案选择</w:t>
        </w:r>
        <w:r>
          <w:tab/>
        </w:r>
        <w:r>
          <w:fldChar w:fldCharType="begin"/>
        </w:r>
        <w:r>
          <w:instrText xml:space="preserve"> PAGEREF _Toc26006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124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(二)、设备选型方案</w:t>
        </w:r>
        <w:r>
          <w:tab/>
        </w:r>
        <w:r>
          <w:fldChar w:fldCharType="begin"/>
        </w:r>
        <w:r>
          <w:instrText xml:space="preserve"> PAGEREF _Toc14124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341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(三)、技术流程与工艺设计</w:t>
        </w:r>
        <w:r>
          <w:tab/>
        </w:r>
        <w:r>
          <w:fldChar w:fldCharType="begin"/>
        </w:r>
        <w:r>
          <w:instrText xml:space="preserve"> PAGEREF _Toc6341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6091" w:history="1">
        <w:r>
          <w:rPr>
            <w:rFonts w:ascii="微软雅黑" w:eastAsia="微软雅黑" w:hAnsi="微软雅黑" w:cs="微软雅黑" w:hint="eastAsia"/>
            <w:color w:val="001CAC" w:themeColor="hyperlink" w:themeShade="BF"/>
            <w:szCs w:val="32"/>
            <w:lang w:eastAsia="zh-CN"/>
          </w:rPr>
          <w:t>二、非金属材料试验机行业选址方案分析</w:t>
        </w:r>
        <w:r>
          <w:tab/>
        </w:r>
        <w:r>
          <w:fldChar w:fldCharType="begin"/>
        </w:r>
        <w:r>
          <w:instrText xml:space="preserve"> PAGEREF _Toc16091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938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(一)、非金属材料试验机行业选址影响因素</w:t>
        </w:r>
        <w:r>
          <w:tab/>
        </w:r>
        <w:r>
          <w:fldChar w:fldCharType="begin"/>
        </w:r>
        <w:r>
          <w:instrText xml:space="preserve"> PAGEREF _Toc16938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369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(二)、非金属材料试验机行业选址原则</w:t>
        </w:r>
        <w:r>
          <w:tab/>
        </w:r>
        <w:r>
          <w:fldChar w:fldCharType="begin"/>
        </w:r>
        <w:r>
          <w:instrText xml:space="preserve"> PAGEREF _Toc5369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587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(三)、消费习惯对非金属材料试验机行业选址的影响</w:t>
        </w:r>
        <w:r>
          <w:tab/>
        </w:r>
        <w:r>
          <w:fldChar w:fldCharType="begin"/>
        </w:r>
        <w:r>
          <w:instrText xml:space="preserve"> PAGEREF _Toc3587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581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(四)、消费能力对非金属材料试验机行业选址的影响</w:t>
        </w:r>
        <w:r>
          <w:tab/>
        </w:r>
        <w:r>
          <w:fldChar w:fldCharType="begin"/>
        </w:r>
        <w:r>
          <w:instrText xml:space="preserve"> PAGEREF _Toc30581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73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(五)、经营成本对非金属材料试验机行业选址的影响</w:t>
        </w:r>
        <w:r>
          <w:tab/>
        </w:r>
        <w:r>
          <w:fldChar w:fldCharType="begin"/>
        </w:r>
        <w:r>
          <w:instrText xml:space="preserve"> PAGEREF _Toc673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497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(六)、交通条件对非金属材料试验机行业选址的影响</w:t>
        </w:r>
        <w:r>
          <w:tab/>
        </w:r>
        <w:r>
          <w:fldChar w:fldCharType="begin"/>
        </w:r>
        <w:r>
          <w:instrText xml:space="preserve"> PAGEREF _Toc31497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2988" w:history="1">
        <w:r>
          <w:rPr>
            <w:rFonts w:ascii="微软雅黑" w:eastAsia="微软雅黑" w:hAnsi="微软雅黑" w:cs="微软雅黑" w:hint="eastAsia"/>
            <w:color w:val="001CAC" w:themeColor="hyperlink" w:themeShade="BF"/>
            <w:szCs w:val="32"/>
            <w:lang w:eastAsia="zh-CN"/>
          </w:rPr>
          <w:t>三、非金属材料试验机行业投资管理策略</w:t>
        </w:r>
        <w:r>
          <w:tab/>
        </w:r>
        <w:r>
          <w:fldChar w:fldCharType="begin"/>
        </w:r>
        <w:r>
          <w:instrText xml:space="preserve"> PAGEREF _Toc12988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375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(一)、非金属材料试验机行业投资估算主要内容</w:t>
        </w:r>
        <w:r>
          <w:tab/>
        </w:r>
        <w:r>
          <w:fldChar w:fldCharType="begin"/>
        </w:r>
        <w:r>
          <w:instrText xml:space="preserve"> PAGEREF _Toc7375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909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(二)、非金属材料试验机行业设备购置投资费用管理</w:t>
        </w:r>
        <w:r>
          <w:tab/>
        </w:r>
        <w:r>
          <w:fldChar w:fldCharType="begin"/>
        </w:r>
        <w:r>
          <w:instrText xml:space="preserve"> PAGEREF _Toc3909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665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(三)、非金属材料试验机行业装修施工投资费用管理</w:t>
        </w:r>
        <w:r>
          <w:tab/>
        </w:r>
        <w:r>
          <w:fldChar w:fldCharType="begin"/>
        </w:r>
        <w:r>
          <w:instrText xml:space="preserve"> PAGEREF _Toc14665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548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(四)、非金属材料试验机行业流动资金管理</w:t>
        </w:r>
        <w:r>
          <w:tab/>
        </w:r>
        <w:r>
          <w:fldChar w:fldCharType="begin"/>
        </w:r>
        <w:r>
          <w:instrText xml:space="preserve"> PAGEREF _Toc15548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3765" w:history="1">
        <w:r>
          <w:rPr>
            <w:rFonts w:ascii="微软雅黑" w:eastAsia="微软雅黑" w:hAnsi="微软雅黑" w:cs="微软雅黑" w:hint="eastAsia"/>
            <w:color w:val="001CAC" w:themeColor="hyperlink" w:themeShade="BF"/>
            <w:szCs w:val="32"/>
            <w:lang w:eastAsia="zh-CN"/>
          </w:rPr>
          <w:t>四、安全与劳动保护</w:t>
        </w:r>
        <w:r>
          <w:tab/>
        </w:r>
        <w:r>
          <w:fldChar w:fldCharType="begin"/>
        </w:r>
        <w:r>
          <w:instrText xml:space="preserve"> PAGEREF _Toc23765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383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(一)、设计依据与法规合规</w:t>
        </w:r>
        <w:r>
          <w:tab/>
        </w:r>
        <w:r>
          <w:fldChar w:fldCharType="begin"/>
        </w:r>
        <w:r>
          <w:instrText xml:space="preserve"> PAGEREF _Toc12383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559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(二)、劳动安全预期效果评价</w:t>
        </w:r>
        <w:r>
          <w:tab/>
        </w:r>
        <w:r>
          <w:fldChar w:fldCharType="begin"/>
        </w:r>
        <w:r>
          <w:instrText xml:space="preserve"> PAGEREF _Toc16559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276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(三)、主要防范措施</w:t>
        </w:r>
        <w:r>
          <w:tab/>
        </w:r>
        <w:r>
          <w:fldChar w:fldCharType="begin"/>
        </w:r>
        <w:r>
          <w:instrText xml:space="preserve"> PAGEREF _Toc15276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8412" w:history="1">
        <w:r>
          <w:rPr>
            <w:rFonts w:ascii="微软雅黑" w:eastAsia="微软雅黑" w:hAnsi="微软雅黑" w:cs="微软雅黑" w:hint="eastAsia"/>
            <w:color w:val="001CAC" w:themeColor="hyperlink" w:themeShade="BF"/>
            <w:szCs w:val="32"/>
            <w:lang w:eastAsia="zh-CN"/>
          </w:rPr>
          <w:t>五、资金筹措与投资分析</w:t>
        </w:r>
        <w:r>
          <w:tab/>
        </w:r>
        <w:r>
          <w:fldChar w:fldCharType="begin"/>
        </w:r>
        <w:r>
          <w:instrText xml:space="preserve"> PAGEREF _Toc8412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455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(一)、资金需求与筹措计划</w:t>
        </w:r>
        <w:r>
          <w:tab/>
        </w:r>
        <w:r>
          <w:fldChar w:fldCharType="begin"/>
        </w:r>
        <w:r>
          <w:instrText xml:space="preserve"> PAGEREF _Toc8455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043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(二)、投资分析与回报预期</w:t>
        </w:r>
        <w:r>
          <w:tab/>
        </w:r>
        <w:r>
          <w:fldChar w:fldCharType="begin"/>
        </w:r>
        <w:r>
          <w:instrText xml:space="preserve"> PAGEREF _Toc15043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5224" w:history="1">
        <w:r>
          <w:rPr>
            <w:rFonts w:ascii="微软雅黑" w:eastAsia="微软雅黑" w:hAnsi="微软雅黑" w:cs="微软雅黑" w:hint="eastAsia"/>
            <w:color w:val="001CAC" w:themeColor="hyperlink" w:themeShade="BF"/>
            <w:szCs w:val="32"/>
            <w:lang w:eastAsia="zh-CN"/>
          </w:rPr>
          <w:t>六、可持续发展与绿色经营</w:t>
        </w:r>
        <w:r>
          <w:tab/>
        </w:r>
        <w:r>
          <w:fldChar w:fldCharType="begin"/>
        </w:r>
        <w:r>
          <w:instrText xml:space="preserve"> PAGEREF _Toc25224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7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(一)、可持续发展战略与目标</w:t>
        </w:r>
        <w:r>
          <w:tab/>
        </w:r>
        <w:r>
          <w:fldChar w:fldCharType="begin"/>
        </w:r>
        <w:r>
          <w:instrText xml:space="preserve"> PAGEREF _Toc317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467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(二)、环保政策与实践</w:t>
        </w:r>
        <w:r>
          <w:tab/>
        </w:r>
        <w:r>
          <w:fldChar w:fldCharType="begin"/>
        </w:r>
        <w:r>
          <w:instrText xml:space="preserve"> PAGEREF _Toc17467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942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(三)、资源利用与循环经济</w:t>
        </w:r>
        <w:r>
          <w:tab/>
        </w:r>
        <w:r>
          <w:fldChar w:fldCharType="begin"/>
        </w:r>
        <w:r>
          <w:instrText xml:space="preserve"> PAGEREF _Toc14942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64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(四)、碳中和与生态足迹</w:t>
        </w:r>
        <w:r>
          <w:tab/>
        </w:r>
        <w:r>
          <w:fldChar w:fldCharType="begin"/>
        </w:r>
        <w:r>
          <w:instrText xml:space="preserve"> PAGEREF _Toc1364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7235" w:history="1">
        <w:r>
          <w:rPr>
            <w:rFonts w:ascii="微软雅黑" w:eastAsia="微软雅黑" w:hAnsi="微软雅黑" w:cs="微软雅黑" w:hint="eastAsia"/>
            <w:color w:val="001CAC" w:themeColor="hyperlink" w:themeShade="BF"/>
            <w:szCs w:val="32"/>
            <w:lang w:eastAsia="zh-CN"/>
          </w:rPr>
          <w:t>七、质量管理与持续改进</w:t>
        </w:r>
        <w:r>
          <w:tab/>
        </w:r>
        <w:r>
          <w:fldChar w:fldCharType="begin"/>
        </w:r>
        <w:r>
          <w:instrText xml:space="preserve"> PAGEREF _Toc7235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335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(一)、质量管理体系建设</w:t>
        </w:r>
        <w:r>
          <w:tab/>
        </w:r>
        <w:r>
          <w:fldChar w:fldCharType="begin"/>
        </w:r>
        <w:r>
          <w:instrText xml:space="preserve"> PAGEREF _Toc12335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057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(二)、生产过程控制与优化</w:t>
        </w:r>
        <w:r>
          <w:tab/>
        </w:r>
        <w:r>
          <w:fldChar w:fldCharType="begin"/>
        </w:r>
        <w:r>
          <w:instrText xml:space="preserve"> PAGEREF _Toc27057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7947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(三)、产品质量检验与测试</w:t>
        </w:r>
        <w:r>
          <w:tab/>
        </w:r>
        <w:r>
          <w:fldChar w:fldCharType="begin"/>
        </w:r>
        <w:r>
          <w:instrText xml:space="preserve"> PAGEREF _Toc7947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576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(四)、用户反馈与质量改进</w:t>
        </w:r>
        <w:r>
          <w:tab/>
        </w:r>
        <w:r>
          <w:fldChar w:fldCharType="begin"/>
        </w:r>
        <w:r>
          <w:instrText xml:space="preserve"> PAGEREF _Toc21576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996" w:history="1">
        <w:r>
          <w:rPr>
            <w:rFonts w:ascii="微软雅黑" w:eastAsia="微软雅黑" w:hAnsi="微软雅黑" w:cs="微软雅黑" w:hint="eastAsia"/>
            <w:color w:val="001CAC" w:themeColor="hyperlink" w:themeShade="BF"/>
            <w:szCs w:val="32"/>
            <w:lang w:eastAsia="zh-CN"/>
          </w:rPr>
          <w:t>八、非金属材料试验机行业制度建设与执行</w:t>
        </w:r>
        <w:r>
          <w:tab/>
        </w:r>
        <w:r>
          <w:fldChar w:fldCharType="begin"/>
        </w:r>
        <w:r>
          <w:instrText xml:space="preserve"> PAGEREF _Toc996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922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(一)、公司制度体系规划</w:t>
        </w:r>
        <w:r>
          <w:tab/>
        </w:r>
        <w:r>
          <w:fldChar w:fldCharType="begin"/>
        </w:r>
        <w:r>
          <w:instrText xml:space="preserve"> PAGEREF _Toc22922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657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(二)、员工手册编制与更新</w:t>
        </w:r>
        <w:r>
          <w:tab/>
        </w:r>
        <w:r>
          <w:fldChar w:fldCharType="begin"/>
        </w:r>
        <w:r>
          <w:instrText xml:space="preserve"> PAGEREF _Toc29657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618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(三)、制度宣导与培训</w:t>
        </w:r>
        <w:r>
          <w:tab/>
        </w:r>
        <w:r>
          <w:fldChar w:fldCharType="begin"/>
        </w:r>
        <w:r>
          <w:instrText xml:space="preserve"> PAGEREF _Toc14618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100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(四)、主要防范措施</w:t>
        </w:r>
        <w:r>
          <w:tab/>
        </w:r>
        <w:r>
          <w:fldChar w:fldCharType="begin"/>
        </w:r>
        <w:r>
          <w:instrText xml:space="preserve"> PAGEREF _Toc15100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971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(五)、制度优化与更新</w:t>
        </w:r>
        <w:r>
          <w:tab/>
        </w:r>
        <w:r>
          <w:fldChar w:fldCharType="begin"/>
        </w:r>
        <w:r>
          <w:instrText xml:space="preserve"> PAGEREF _Toc21971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9097" w:history="1">
        <w:r>
          <w:rPr>
            <w:rFonts w:ascii="微软雅黑" w:eastAsia="微软雅黑" w:hAnsi="微软雅黑" w:cs="微软雅黑" w:hint="eastAsia"/>
            <w:color w:val="001CAC" w:themeColor="hyperlink" w:themeShade="BF"/>
            <w:szCs w:val="32"/>
            <w:lang w:eastAsia="zh-CN"/>
          </w:rPr>
          <w:t>九、项目背景与概况</w:t>
        </w:r>
        <w:r>
          <w:tab/>
        </w:r>
        <w:r>
          <w:fldChar w:fldCharType="begin"/>
        </w:r>
        <w:r>
          <w:instrText xml:space="preserve"> PAGEREF _Toc9097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356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(一)、项目背景介绍</w:t>
        </w:r>
        <w:r>
          <w:tab/>
        </w:r>
        <w:r>
          <w:fldChar w:fldCharType="begin"/>
        </w:r>
        <w:r>
          <w:instrText xml:space="preserve"> PAGEREF _Toc8356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645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(二)、项目概况与目标</w:t>
        </w:r>
        <w:r>
          <w:tab/>
        </w:r>
        <w:r>
          <w:fldChar w:fldCharType="begin"/>
        </w:r>
        <w:r>
          <w:instrText xml:space="preserve"> PAGEREF _Toc29645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435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(三)、非金属材料试验机行业及市场分析</w:t>
        </w:r>
        <w:r>
          <w:tab/>
        </w:r>
        <w:r>
          <w:fldChar w:fldCharType="begin"/>
        </w:r>
        <w:r>
          <w:instrText xml:space="preserve"> PAGEREF _Toc25435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6449" w:history="1">
        <w:r>
          <w:rPr>
            <w:rFonts w:ascii="微软雅黑" w:eastAsia="微软雅黑" w:hAnsi="微软雅黑" w:cs="微软雅黑" w:hint="eastAsia"/>
            <w:color w:val="001CAC" w:themeColor="hyperlink" w:themeShade="BF"/>
            <w:szCs w:val="32"/>
            <w:lang w:eastAsia="zh-CN"/>
          </w:rPr>
          <w:t>十、非金属材料试验机行业人力资源管理策略</w:t>
        </w:r>
        <w:r>
          <w:tab/>
        </w:r>
        <w:r>
          <w:fldChar w:fldCharType="begin"/>
        </w:r>
        <w:r>
          <w:instrText xml:space="preserve"> PAGEREF _Toc16449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002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(一)、非金属材料试验机行业人力资源管理原则</w:t>
        </w:r>
        <w:r>
          <w:tab/>
        </w:r>
        <w:r>
          <w:fldChar w:fldCharType="begin"/>
        </w:r>
        <w:r>
          <w:instrText xml:space="preserve"> PAGEREF _Toc13002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476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(二)、非金属材料试验机行业劳动关系管理</w:t>
        </w:r>
        <w:r>
          <w:tab/>
        </w:r>
        <w:r>
          <w:fldChar w:fldCharType="begin"/>
        </w:r>
        <w:r>
          <w:instrText xml:space="preserve"> PAGEREF _Toc23476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162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(三)、非金属材料试验机行业人员配置方案</w:t>
        </w:r>
        <w:r>
          <w:tab/>
        </w:r>
        <w:r>
          <w:fldChar w:fldCharType="begin"/>
        </w:r>
        <w:r>
          <w:instrText xml:space="preserve"> PAGEREF _Toc19162 \h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725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(四)、非金属材料试验机行业员工招聘方案</w:t>
        </w:r>
        <w:r>
          <w:tab/>
        </w:r>
        <w:r>
          <w:fldChar w:fldCharType="begin"/>
        </w:r>
        <w:r>
          <w:instrText xml:space="preserve"> PAGEREF _Toc15725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796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(五)、非金属材料试验机行业绩效和薪酬管理方案</w:t>
        </w:r>
        <w:r>
          <w:tab/>
        </w:r>
        <w:r>
          <w:fldChar w:fldCharType="begin"/>
        </w:r>
        <w:r>
          <w:instrText xml:space="preserve"> PAGEREF _Toc27796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739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(六)、非金属材料试验机行业员工福利管理方案</w:t>
        </w:r>
        <w:r>
          <w:tab/>
        </w:r>
        <w:r>
          <w:fldChar w:fldCharType="begin"/>
        </w:r>
        <w:r>
          <w:instrText xml:space="preserve"> PAGEREF _Toc13739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1807" w:history="1">
        <w:r>
          <w:rPr>
            <w:rFonts w:ascii="微软雅黑" w:eastAsia="微软雅黑" w:hAnsi="微软雅黑" w:cs="微软雅黑" w:hint="eastAsia"/>
            <w:color w:val="001CAC" w:themeColor="hyperlink" w:themeShade="BF"/>
            <w:szCs w:val="32"/>
            <w:lang w:eastAsia="zh-CN"/>
          </w:rPr>
          <w:t>十一、非金属材料试验机行业市场营销分析</w:t>
        </w:r>
        <w:r>
          <w:tab/>
        </w:r>
        <w:r>
          <w:fldChar w:fldCharType="begin"/>
        </w:r>
        <w:r>
          <w:instrText xml:space="preserve"> PAGEREF _Toc21807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193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(一)、非金属材料试验机行业市场营销总体思路</w:t>
        </w:r>
        <w:r>
          <w:tab/>
        </w:r>
        <w:r>
          <w:fldChar w:fldCharType="begin"/>
        </w:r>
        <w:r>
          <w:instrText xml:space="preserve"> PAGEREF _Toc19193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207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(二)、非金属材料试验机行业组织市场分析</w:t>
        </w:r>
        <w:r>
          <w:tab/>
        </w:r>
        <w:r>
          <w:fldChar w:fldCharType="begin"/>
        </w:r>
        <w:r>
          <w:instrText xml:space="preserve"> PAGEREF _Toc24207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062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(三)、非金属材料试验机行业目标市场营销战略</w:t>
        </w:r>
        <w:r>
          <w:tab/>
        </w:r>
        <w:r>
          <w:fldChar w:fldCharType="begin"/>
        </w:r>
        <w:r>
          <w:instrText xml:space="preserve"> PAGEREF _Toc12062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403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(四)、非金属材料试验机行业定价策略</w:t>
        </w:r>
        <w:r>
          <w:tab/>
        </w:r>
        <w:r>
          <w:fldChar w:fldCharType="begin"/>
        </w:r>
        <w:r>
          <w:instrText xml:space="preserve"> PAGEREF _Toc7403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867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(五)、非金属材料试验机行业促销策略</w:t>
        </w:r>
        <w:r>
          <w:tab/>
        </w:r>
        <w:r>
          <w:fldChar w:fldCharType="begin"/>
        </w:r>
        <w:r>
          <w:instrText xml:space="preserve"> PAGEREF _Toc28867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864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(六)、非金属材料试验机行业品牌策略</w:t>
        </w:r>
        <w:r>
          <w:tab/>
        </w:r>
        <w:r>
          <w:fldChar w:fldCharType="begin"/>
        </w:r>
        <w:r>
          <w:instrText xml:space="preserve"> PAGEREF _Toc10864 \h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459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(七)、非金属材料试验机行业关系营销</w:t>
        </w:r>
        <w:r>
          <w:tab/>
        </w:r>
        <w:r>
          <w:fldChar w:fldCharType="begin"/>
        </w:r>
        <w:r>
          <w:instrText xml:space="preserve"> PAGEREF _Toc30459 \h </w:instrText>
        </w:r>
        <w:r>
          <w:fldChar w:fldCharType="separate"/>
        </w:r>
        <w:r>
          <w:t>68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419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(八)、非金属材料试验机行业体验营销</w:t>
        </w:r>
        <w:r>
          <w:tab/>
        </w:r>
        <w:r>
          <w:fldChar w:fldCharType="begin"/>
        </w:r>
        <w:r>
          <w:instrText xml:space="preserve"> PAGEREF _Toc6419 \h </w:instrText>
        </w:r>
        <w:r>
          <w:fldChar w:fldCharType="separate"/>
        </w:r>
        <w:r>
          <w:t>69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336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(九)、非金属材料试验机行业互联网营销</w:t>
        </w:r>
        <w:r>
          <w:tab/>
        </w:r>
        <w:r>
          <w:fldChar w:fldCharType="begin"/>
        </w:r>
        <w:r>
          <w:instrText xml:space="preserve"> PAGEREF _Toc32336 \h </w:instrText>
        </w:r>
        <w:r>
          <w:fldChar w:fldCharType="separate"/>
        </w:r>
        <w:r>
          <w:t>71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019" w:history="1">
        <w:r>
          <w:rPr>
            <w:rFonts w:ascii="微软雅黑" w:eastAsia="微软雅黑" w:hAnsi="微软雅黑" w:cs="微软雅黑" w:hint="eastAsia"/>
            <w:color w:val="001CAC" w:themeColor="hyperlink" w:themeShade="BF"/>
            <w:szCs w:val="32"/>
            <w:lang w:eastAsia="zh-CN"/>
          </w:rPr>
          <w:t>十二、制度运行与优化</w:t>
        </w:r>
        <w:r>
          <w:tab/>
        </w:r>
        <w:r>
          <w:fldChar w:fldCharType="begin"/>
        </w:r>
        <w:r>
          <w:instrText xml:space="preserve"> PAGEREF _Toc1019 \h </w:instrText>
        </w:r>
        <w:r>
          <w:fldChar w:fldCharType="separate"/>
        </w:r>
        <w:r>
          <w:t>73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209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(一)、制度执行与监督</w:t>
        </w:r>
        <w:r>
          <w:tab/>
        </w:r>
        <w:r>
          <w:fldChar w:fldCharType="begin"/>
        </w:r>
        <w:r>
          <w:instrText xml:space="preserve"> PAGEREF _Toc19209 \h </w:instrText>
        </w:r>
        <w:r>
          <w:fldChar w:fldCharType="separate"/>
        </w:r>
        <w:r>
          <w:t>73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698" w:history="1">
        <w:r>
          <w:rPr>
            <w:rFonts w:ascii="宋体" w:eastAsia="宋体" w:hAnsi="宋体" w:cs="宋体" w:hint="eastAsia"/>
            <w:bCs w:val="0"/>
            <w:szCs w:val="28"/>
            <w:lang w:eastAsia="zh-CN"/>
          </w:rPr>
          <w:t>(二)、制度优化与更新</w:t>
        </w:r>
        <w:r>
          <w:tab/>
        </w:r>
        <w:r>
          <w:fldChar w:fldCharType="begin"/>
        </w:r>
        <w:r>
          <w:instrText xml:space="preserve"> PAGEREF _Toc17698 \h </w:instrText>
        </w:r>
        <w:r>
          <w:fldChar w:fldCharType="separate"/>
        </w:r>
        <w:r>
          <w:t>73</w:t>
        </w:r>
        <w:r>
          <w:fldChar w:fldCharType="end"/>
        </w:r>
      </w:hyperlink>
    </w:p>
    <w:p>
      <w:r>
        <w:fldChar w:fldCharType="end"/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https://d.book118.com/195300033013011044</w:t>
        </w:r>
      </w:hyperlink>
    </w:p>
    <w:p/>
    <w:sectPr>
      <w:headerReference w:type="default" r:id="rId9"/>
      <w:footerReference w:type="default" r:id="rId10"/>
      <w:type w:val="nextPage"/>
      <w:pgSz w:w="11906" w:h="16838"/>
      <w:pgMar w:top="1440" w:right="1800" w:bottom="1440" w:left="1800" w:header="851" w:footer="992" w:gutter="0"/>
      <w:pgNumType w:start="3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82775B3"/>
    <w:rsid w:val="02623C3C"/>
    <w:rsid w:val="03734037"/>
    <w:rsid w:val="13614867"/>
    <w:rsid w:val="3DAC44EE"/>
    <w:rsid w:val="453746B4"/>
    <w:rsid w:val="482775B3"/>
    <w:rsid w:val="49C53810"/>
    <w:rsid w:val="4E155AC7"/>
    <w:rsid w:val="50930768"/>
    <w:rsid w:val="62A91464"/>
    <w:rsid w:val="692E1C42"/>
    <w:rsid w:val="7A1E385A"/>
  </w:rsids>
  <w:docVars>
    <w:docVar w:name="commondata" w:val="eyJoZGlkIjoiYjEzZTI3MzIxYzUxM2E3Y2YyMDVhZDRkMWU5YjExZDg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 w:qFormat="1"/>
    <w:lsdException w:name="toc 2" w:semiHidden="0" w:uiPriority="0" w:unhideWhenUsed="0" w:qFormat="1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 w:qFormat="1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 w:qFormat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autoRedefine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autoRedefine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autoRedefine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autoRedefine/>
    <w:semiHidden/>
    <w:qFormat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autoRedefine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  <w:autoRedefine/>
    <w:qFormat/>
  </w:style>
  <w:style w:type="paragraph" w:styleId="TOC2">
    <w:name w:val="toc 2"/>
    <w:basedOn w:val="Normal"/>
    <w:next w:val="Normal"/>
    <w:autoRedefine/>
    <w:qFormat/>
    <w:pPr>
      <w:ind w:left="420" w:leftChars="200"/>
    </w:pPr>
  </w:style>
  <w:style w:type="character" w:styleId="PageNumber">
    <w:name w:val="page number"/>
    <w:basedOn w:val="DefaultParagraphFont"/>
    <w:autoRedefine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3.xml" /><Relationship Id="rId11" Type="http://schemas.openxmlformats.org/officeDocument/2006/relationships/theme" Target="theme/theme1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yperlink" Target="https://d.book118.com/195300033013011044" TargetMode="External" /><Relationship Id="rId9" Type="http://schemas.openxmlformats.org/officeDocument/2006/relationships/header" Target="head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黄晨</dc:creator>
  <cp:lastModifiedBy>小海豹</cp:lastModifiedBy>
  <cp:revision>1</cp:revision>
  <dcterms:created xsi:type="dcterms:W3CDTF">2023-12-10T12:06:00Z</dcterms:created>
  <dcterms:modified xsi:type="dcterms:W3CDTF">2024-01-17T07:40:54Z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1E39AA5D4B7F4B19B7D16FD992F8235D_13</vt:lpwstr>
  </property>
  <property fmtid="{D5CDD505-2E9C-101B-9397-08002B2CF9AE}" pid="3" name="KSOProductBuildVer">
    <vt:lpwstr>2052-12.1.0.16120</vt:lpwstr>
  </property>
</Properties>
</file>