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生物农药及生物防治产品项目招商引资报告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85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_Toc14985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val="en-US"/>
          </w:rPr>
          <w:t>一、宏观环境分析</w:t>
        </w:r>
        <w:r>
          <w:tab/>
        </w:r>
        <w:r>
          <w:fldChar w:fldCharType="begin"/>
        </w:r>
        <w:r>
          <w:instrText xml:space="preserve"> PAGEREF _Toc26731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val="en-US"/>
          </w:rPr>
          <w:t>(一)、产业背景分析</w:t>
        </w:r>
        <w:r>
          <w:tab/>
        </w:r>
        <w:r>
          <w:fldChar w:fldCharType="begin"/>
        </w:r>
        <w:r>
          <w:instrText xml:space="preserve"> PAGEREF _Toc8308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_Toc4734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_Toc4190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val="en-US"/>
          </w:rPr>
          <w:t>(四)、生物农药及生物防治产品项目必要性分析</w:t>
        </w:r>
        <w:r>
          <w:tab/>
        </w:r>
        <w:r>
          <w:fldChar w:fldCharType="begin"/>
        </w:r>
        <w:r>
          <w:instrText xml:space="preserve"> PAGEREF _Toc29555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val="en-US"/>
          </w:rPr>
          <w:t>二、生物农药及生物防治产品项目背景及必要性</w:t>
        </w:r>
        <w:r>
          <w:tab/>
        </w:r>
        <w:r>
          <w:fldChar w:fldCharType="begin"/>
        </w:r>
        <w:r>
          <w:instrText xml:space="preserve"> PAGEREF _Toc27141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val="en-US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_Toc17674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val="en-US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_Toc23867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val="en-US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_Toc10392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val="en-US"/>
          </w:rPr>
          <w:t>(四)、保障措施</w:t>
        </w:r>
        <w:r>
          <w:tab/>
        </w:r>
        <w:r>
          <w:fldChar w:fldCharType="begin"/>
        </w:r>
        <w:r>
          <w:instrText xml:space="preserve"> PAGEREF _Toc7075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val="en-US"/>
          </w:rPr>
          <w:t>(五)、生物农药及生物防治产品项目实施的必要性</w:t>
        </w:r>
        <w:r>
          <w:tab/>
        </w:r>
        <w:r>
          <w:fldChar w:fldCharType="begin"/>
        </w:r>
        <w:r>
          <w:instrText xml:space="preserve"> PAGEREF _Toc20558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val="en-US"/>
          </w:rPr>
          <w:t>三、生物农药及生物防治产品筹建公司基本信息</w:t>
        </w:r>
        <w:r>
          <w:tab/>
        </w:r>
        <w:r>
          <w:fldChar w:fldCharType="begin"/>
        </w:r>
        <w:r>
          <w:instrText xml:space="preserve"> PAGEREF _Toc8539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6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_Toc22456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val="en-US"/>
          </w:rPr>
          <w:t>(二)、注册资本</w:t>
        </w:r>
        <w:r>
          <w:tab/>
        </w:r>
        <w:r>
          <w:fldChar w:fldCharType="begin"/>
        </w:r>
        <w:r>
          <w:instrText xml:space="preserve"> PAGEREF _Toc5119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val="en-US"/>
          </w:rPr>
          <w:t>(三)、注册地址</w:t>
        </w:r>
        <w:r>
          <w:tab/>
        </w:r>
        <w:r>
          <w:fldChar w:fldCharType="begin"/>
        </w:r>
        <w:r>
          <w:instrText xml:space="preserve"> PAGEREF _Toc27970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val="en-US"/>
          </w:rPr>
          <w:t>(四)、法人代表</w:t>
        </w:r>
        <w:r>
          <w:tab/>
        </w:r>
        <w:r>
          <w:fldChar w:fldCharType="begin"/>
        </w:r>
        <w:r>
          <w:instrText xml:space="preserve"> PAGEREF _Toc29345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val="en-US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_Toc15549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val="en-US"/>
          </w:rPr>
          <w:t>(六)、主要股东</w:t>
        </w:r>
        <w:r>
          <w:tab/>
        </w:r>
        <w:r>
          <w:fldChar w:fldCharType="begin"/>
        </w:r>
        <w:r>
          <w:instrText xml:space="preserve"> PAGEREF _Toc26285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2" w:history="1">
        <w:r>
          <w:rPr>
            <w:rFonts w:ascii="仿宋" w:eastAsia="仿宋" w:hAnsi="仿宋" w:cs="仿宋" w:hint="eastAsia"/>
            <w:lang w:val="en-US"/>
          </w:rPr>
          <w:t>四、技术创新风险的探讨</w:t>
        </w:r>
        <w:r>
          <w:tab/>
        </w:r>
        <w:r>
          <w:fldChar w:fldCharType="begin"/>
        </w:r>
        <w:r>
          <w:instrText xml:space="preserve"> PAGEREF _Toc19262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_Toc17625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val="en-US"/>
          </w:rPr>
          <w:t>五、战略制订框架</w:t>
        </w:r>
        <w:r>
          <w:tab/>
        </w:r>
        <w:r>
          <w:fldChar w:fldCharType="begin"/>
        </w:r>
        <w:r>
          <w:instrText xml:space="preserve"> PAGEREF _Toc14031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_Toc1670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val="en-US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_Toc8392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_Toc1857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13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_Toc32713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_Toc28491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val="en-US"/>
          </w:rPr>
          <w:t>七、生物农药及生物防治产品行业企业业务流程管理</w:t>
        </w:r>
        <w:r>
          <w:tab/>
        </w:r>
        <w:r>
          <w:fldChar w:fldCharType="begin"/>
        </w:r>
        <w:r>
          <w:instrText xml:space="preserve"> PAGEREF _Toc16043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_Toc15176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_Toc30697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_Toc4747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val="en-US"/>
          </w:rPr>
          <w:t>八、市场营销策略</w:t>
        </w:r>
        <w:r>
          <w:tab/>
        </w:r>
        <w:r>
          <w:fldChar w:fldCharType="begin"/>
        </w:r>
        <w:r>
          <w:instrText xml:space="preserve"> PAGEREF _Toc22857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3" w:history="1">
        <w:r>
          <w:rPr>
            <w:rFonts w:ascii="仿宋" w:eastAsia="仿宋" w:hAnsi="仿宋" w:cs="仿宋" w:hint="eastAsia"/>
            <w:lang w:val="en-US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_Toc26773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val="en-US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_Toc22987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val="en-US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_Toc3014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val="en-US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_Toc31793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val="en-US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_Toc4683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8" w:history="1">
        <w:r>
          <w:rPr>
            <w:rFonts w:ascii="仿宋" w:eastAsia="仿宋" w:hAnsi="仿宋" w:cs="仿宋" w:hint="eastAsia"/>
            <w:lang w:val="en-US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_Toc27288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val="en-US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_Toc24530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val="en-US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_Toc23540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val="en-US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_Toc4492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val="en-US"/>
          </w:rPr>
          <w:t>(一)、生物农药及生物防治产品项目工程设计总体要求</w:t>
        </w:r>
        <w:r>
          <w:tab/>
        </w:r>
        <w:r>
          <w:fldChar w:fldCharType="begin"/>
        </w:r>
        <w:r>
          <w:instrText xml:space="preserve"> PAGEREF _Toc31355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_Toc19326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_Toc31285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6" w:history="1">
        <w:r>
          <w:rPr>
            <w:rFonts w:ascii="仿宋" w:eastAsia="仿宋" w:hAnsi="仿宋" w:cs="仿宋" w:hint="eastAsia"/>
            <w:lang w:val="en-US"/>
          </w:rPr>
          <w:t>(四)、生物农药及生物防治产品项目选址原则</w:t>
        </w:r>
        <w:r>
          <w:tab/>
        </w:r>
        <w:r>
          <w:fldChar w:fldCharType="begin"/>
        </w:r>
        <w:r>
          <w:instrText xml:space="preserve"> PAGEREF _Toc31036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2" w:history="1">
        <w:r>
          <w:rPr>
            <w:rFonts w:ascii="仿宋" w:eastAsia="仿宋" w:hAnsi="仿宋" w:cs="仿宋" w:hint="eastAsia"/>
            <w:lang w:val="en-US"/>
          </w:rPr>
          <w:t>(五)、生物农药及生物防治产品项目选址综合评价</w:t>
        </w:r>
        <w:r>
          <w:tab/>
        </w:r>
        <w:r>
          <w:fldChar w:fldCharType="begin"/>
        </w:r>
        <w:r>
          <w:instrText xml:space="preserve"> PAGEREF _Toc18772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val="en-US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_Toc25974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_Toc20480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_Toc26375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val="en-US"/>
          </w:rPr>
          <w:t>十二、市场预测</w:t>
        </w:r>
        <w:r>
          <w:tab/>
        </w:r>
        <w:r>
          <w:fldChar w:fldCharType="begin"/>
        </w:r>
        <w:r>
          <w:instrText xml:space="preserve"> PAGEREF _Toc9137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_Toc5990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_Toc29277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1" w:history="1">
        <w:r>
          <w:rPr>
            <w:rFonts w:ascii="仿宋" w:eastAsia="仿宋" w:hAnsi="仿宋" w:cs="仿宋" w:hint="eastAsia"/>
            <w:lang w:val="en-US"/>
          </w:rPr>
          <w:t>十三、组织机构及人力资源</w:t>
        </w:r>
        <w:r>
          <w:tab/>
        </w:r>
        <w:r>
          <w:fldChar w:fldCharType="begin"/>
        </w:r>
        <w:r>
          <w:instrText xml:space="preserve"> PAGEREF _Toc26021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5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_Toc19450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_Toc12898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val="en-US"/>
          </w:rPr>
          <w:t>十四、员工家庭与工作平衡支持计划</w:t>
        </w:r>
        <w:r>
          <w:tab/>
        </w:r>
        <w:r>
          <w:fldChar w:fldCharType="begin"/>
        </w:r>
        <w:r>
          <w:instrText xml:space="preserve"> PAGEREF _Toc25892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_Toc17500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_Toc1003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_Toc8838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val="en-US"/>
          </w:rPr>
          <w:t>十五、生物农药及生物防治产品数字化发展方案</w:t>
        </w:r>
        <w:r>
          <w:tab/>
        </w:r>
        <w:r>
          <w:fldChar w:fldCharType="begin"/>
        </w:r>
        <w:r>
          <w:instrText xml:space="preserve"> PAGEREF _Toc4114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val="en-US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_Toc1991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_Toc19015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val="en-US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_Toc1497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val="en-US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_Toc2589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val="en-US"/>
          </w:rPr>
          <w:t>十六、生物农药及生物防治产品项目优势</w:t>
        </w:r>
        <w:r>
          <w:tab/>
        </w:r>
        <w:r>
          <w:fldChar w:fldCharType="begin"/>
        </w:r>
        <w:r>
          <w:instrText xml:space="preserve"> PAGEREF _Toc22487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val="en-US"/>
          </w:rPr>
          <w:t>(一)、地理位置优势</w:t>
        </w:r>
        <w:r>
          <w:tab/>
        </w:r>
        <w:r>
          <w:fldChar w:fldCharType="begin"/>
        </w:r>
        <w:r>
          <w:instrText xml:space="preserve"> PAGEREF _Toc8395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val="en-US"/>
          </w:rPr>
          <w:t>(二)、人才资源</w:t>
        </w:r>
        <w:r>
          <w:tab/>
        </w:r>
        <w:r>
          <w:fldChar w:fldCharType="begin"/>
        </w:r>
        <w:r>
          <w:instrText xml:space="preserve"> PAGEREF _Toc10871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val="en-US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_Toc12037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val="en-US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_Toc3863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val="en-US"/>
          </w:rPr>
          <w:t>十七、技术创新与安全管理</w:t>
        </w:r>
        <w:r>
          <w:tab/>
        </w:r>
        <w:r>
          <w:fldChar w:fldCharType="begin"/>
        </w:r>
        <w:r>
          <w:instrText xml:space="preserve"> PAGEREF _Toc28257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_Toc14320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_Toc13100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_Toc20276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_Toc20887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_Toc2027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_Toc10663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val="en-US"/>
          </w:rPr>
          <w:t>十八、第四十七章全球人才流动与交流</w:t>
        </w:r>
        <w:r>
          <w:tab/>
        </w:r>
        <w:r>
          <w:fldChar w:fldCharType="begin"/>
        </w:r>
        <w:r>
          <w:instrText xml:space="preserve"> PAGEREF _Toc16060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3" w:history="1">
        <w:r>
          <w:rPr>
            <w:rFonts w:ascii="仿宋" w:eastAsia="仿宋" w:hAnsi="仿宋" w:cs="仿宋" w:hint="eastAsia"/>
            <w:lang w:val="en-US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_Toc30543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val="en-US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_Toc29199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val="en-US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_Toc12437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val="en-US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_Toc21542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872" w:history="1">
        <w:r>
          <w:rPr>
            <w:rFonts w:ascii="仿宋" w:eastAsia="仿宋" w:hAnsi="仿宋" w:cs="仿宋" w:hint="eastAsia"/>
            <w:lang w:val="en-US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_Toc18872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val="en-US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_Toc3875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val="en-US"/>
          </w:rPr>
          <w:t>十九、社会责任</w:t>
        </w:r>
        <w:r>
          <w:tab/>
        </w:r>
        <w:r>
          <w:fldChar w:fldCharType="begin"/>
        </w:r>
        <w:r>
          <w:instrText xml:space="preserve"> PAGEREF _Toc14255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val="en-US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_Toc21011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val="en-US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_Toc2941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val="en-US"/>
          </w:rPr>
          <w:t>(三)、社区参与</w:t>
        </w:r>
        <w:r>
          <w:tab/>
        </w:r>
        <w:r>
          <w:fldChar w:fldCharType="begin"/>
        </w:r>
        <w:r>
          <w:instrText xml:space="preserve"> PAGEREF _Toc14195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val="en-US"/>
          </w:rPr>
          <w:t>二十、法人治理结构</w:t>
        </w:r>
        <w:r>
          <w:tab/>
        </w:r>
        <w:r>
          <w:fldChar w:fldCharType="begin"/>
        </w:r>
        <w:r>
          <w:instrText xml:space="preserve"> PAGEREF _Toc5409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_Toc22739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_Toc13116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_Toc16502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_Toc23705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val="en-US"/>
          </w:rPr>
          <w:t>二十一、制度建设与员工手册</w:t>
        </w:r>
        <w:r>
          <w:tab/>
        </w:r>
        <w:r>
          <w:fldChar w:fldCharType="begin"/>
        </w:r>
        <w:r>
          <w:instrText xml:space="preserve"> PAGEREF _Toc12587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val="en-US"/>
          </w:rPr>
          <w:t>(一)、公司制度建设</w:t>
        </w:r>
        <w:r>
          <w:tab/>
        </w:r>
        <w:r>
          <w:fldChar w:fldCharType="begin"/>
        </w:r>
        <w:r>
          <w:instrText xml:space="preserve"> PAGEREF _Toc6969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val="en-US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_Toc15791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_Toc11421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_Toc13397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_Toc22868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https://d.book118.com/195334201310011124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生物农药及生物防治产品项目招商引资报告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生物农药及生物防治产品项目招商引资报告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生物农药及生物防治产品项目招商引资报告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生物农药及生物防治产品项目招商引资报告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生物农药及生物防治产品项目招商引资报告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25386F"/>
    <w:rsid w:val="562538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95334201310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2024-03-20T18:04:00Z</dcterms:created>
  <dcterms:modified xsi:type="dcterms:W3CDTF">2024-03-20T18:04:29Z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