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spacing w:before="192"/>
        <w:ind w:left="4961" w:right="5019" w:firstLine="0"/>
        <w:jc w:val="center"/>
        <w:rPr>
          <w:rFonts w:ascii="宋体" w:eastAsia="宋体" w:hint="eastAsia"/>
          <w:b/>
          <w:sz w:val="42"/>
        </w:rPr>
      </w:pPr>
      <w:r>
        <w:rPr>
          <w:rFonts w:ascii="宋体" w:eastAsia="宋体" w:hint="eastAsia"/>
          <w:b/>
          <w:sz w:val="42"/>
        </w:rPr>
        <w:t>格力电器财务分析报告</w:t>
      </w:r>
    </w:p>
    <w:p>
      <w:pPr>
        <w:pStyle w:val="BodyText"/>
        <w:spacing w:before="9"/>
        <w:rPr>
          <w:rFonts w:ascii="宋体"/>
          <w:b/>
          <w:sz w:val="47"/>
        </w:rPr>
      </w:pPr>
    </w:p>
    <w:p>
      <w:pPr>
        <w:spacing w:before="0" w:line="312" w:lineRule="auto"/>
        <w:ind w:left="1280" w:right="9829" w:firstLine="0"/>
        <w:jc w:val="both"/>
        <w:rPr>
          <w:sz w:val="36"/>
        </w:rPr>
      </w:pPr>
      <w:r>
        <w:rPr>
          <w:b/>
          <w:sz w:val="36"/>
        </w:rPr>
        <w:t>第一节 重要提示及目录</w:t>
      </w:r>
      <w:r>
        <w:rPr>
          <w:sz w:val="36"/>
        </w:rPr>
        <w:t>重要提示</w:t>
      </w:r>
    </w:p>
    <w:p>
      <w:pPr>
        <w:spacing w:before="0" w:line="312" w:lineRule="auto"/>
        <w:ind w:left="1280" w:right="1337" w:firstLine="719"/>
        <w:jc w:val="both"/>
        <w:rPr>
          <w:sz w:val="36"/>
        </w:rPr>
      </w:pPr>
      <w:r>
        <w:rPr>
          <w:spacing w:val="-14"/>
          <w:sz w:val="36"/>
        </w:rPr>
        <w:t>本公司董事会、监事会及董事、监事、高级管理人员保证本报告所载资料不</w:t>
      </w:r>
      <w:r>
        <w:rPr>
          <w:spacing w:val="-11"/>
          <w:sz w:val="36"/>
        </w:rPr>
        <w:t>存在任何虚假记载、误导性陈述或者重大遗漏，并对其内容的真实性、准确性和</w:t>
      </w:r>
      <w:r>
        <w:rPr>
          <w:sz w:val="36"/>
        </w:rPr>
        <w:t>完整性承担个别及连带责任。</w:t>
      </w:r>
    </w:p>
    <w:p>
      <w:pPr>
        <w:spacing w:before="1" w:line="312" w:lineRule="auto"/>
        <w:ind w:left="1280" w:right="1342" w:firstLine="719"/>
        <w:jc w:val="left"/>
        <w:rPr>
          <w:sz w:val="36"/>
        </w:rPr>
      </w:pPr>
      <w:r>
        <w:rPr>
          <w:spacing w:val="-9"/>
          <w:sz w:val="36"/>
        </w:rPr>
        <w:t>本公司负责人董事长朱江洪先生、主管会计工作负责人望靖东先生、会计机</w:t>
      </w:r>
      <w:r>
        <w:rPr>
          <w:sz w:val="36"/>
        </w:rPr>
        <w:t>构负责人廖建雄先生声明：保证年度报告中财务报告的真实、完整。</w:t>
      </w:r>
    </w:p>
    <w:p>
      <w:pPr>
        <w:pStyle w:val="Heading1"/>
        <w:tabs>
          <w:tab w:val="left" w:pos="2727"/>
        </w:tabs>
        <w:spacing w:before="3"/>
      </w:pPr>
      <w:r>
        <w:t>第二节</w:t>
        <w:tab/>
        <w:t>公司基本情况简介</w:t>
      </w:r>
    </w:p>
    <w:p>
      <w:pPr>
        <w:spacing w:before="137"/>
        <w:ind w:left="1280" w:right="0" w:firstLine="0"/>
        <w:jc w:val="left"/>
        <w:rPr>
          <w:sz w:val="36"/>
        </w:rPr>
      </w:pPr>
      <w:r>
        <w:rPr>
          <w:sz w:val="36"/>
        </w:rPr>
        <w:t>（一）公司的法定名称：</w:t>
      </w:r>
    </w:p>
    <w:p>
      <w:pPr>
        <w:spacing w:before="140"/>
        <w:ind w:left="2180" w:right="0" w:firstLine="0"/>
        <w:jc w:val="left"/>
        <w:rPr>
          <w:sz w:val="36"/>
        </w:rPr>
      </w:pPr>
      <w:r>
        <w:rPr>
          <w:sz w:val="36"/>
        </w:rPr>
        <w:t>中文：珠海格力电器股份有限公司</w:t>
      </w:r>
    </w:p>
    <w:p>
      <w:pPr>
        <w:spacing w:before="140"/>
        <w:ind w:left="2180" w:right="0" w:firstLine="0"/>
        <w:jc w:val="left"/>
        <w:rPr>
          <w:sz w:val="36"/>
        </w:rPr>
      </w:pPr>
      <w:r>
        <w:rPr>
          <w:sz w:val="36"/>
        </w:rPr>
        <w:t>英文：GREE ELECTRIC APPLIANCES, INC. OF ZHUHAI</w:t>
      </w:r>
    </w:p>
    <w:p>
      <w:pPr>
        <w:spacing w:before="137"/>
        <w:ind w:left="2180" w:right="0" w:firstLine="0"/>
        <w:jc w:val="left"/>
        <w:rPr>
          <w:sz w:val="36"/>
        </w:rPr>
      </w:pPr>
      <w:r>
        <w:rPr>
          <w:sz w:val="36"/>
        </w:rPr>
        <w:t>英文缩写：GREE</w:t>
      </w:r>
    </w:p>
    <w:p>
      <w:pPr>
        <w:spacing w:before="140"/>
        <w:ind w:left="1280" w:right="0" w:firstLine="0"/>
        <w:jc w:val="left"/>
        <w:rPr>
          <w:sz w:val="36"/>
        </w:rPr>
      </w:pPr>
      <w:r>
        <w:rPr>
          <w:sz w:val="36"/>
        </w:rPr>
        <w:t>（二）公司法定代表人：朱江洪</w:t>
      </w:r>
    </w:p>
    <w:p>
      <w:pPr>
        <w:spacing w:before="140"/>
        <w:ind w:left="1280" w:right="0" w:firstLine="0"/>
        <w:jc w:val="left"/>
        <w:rPr>
          <w:sz w:val="36"/>
        </w:rPr>
      </w:pPr>
      <w:r>
        <w:rPr>
          <w:sz w:val="36"/>
        </w:rPr>
        <w:t>（三）公司董事会秘书：望靖东</w:t>
      </w:r>
    </w:p>
    <w:p>
      <w:pPr>
        <w:spacing w:before="136" w:line="312" w:lineRule="auto"/>
        <w:ind w:left="2180" w:right="6778" w:firstLine="0"/>
        <w:jc w:val="left"/>
        <w:rPr>
          <w:sz w:val="36"/>
        </w:rPr>
      </w:pPr>
      <w:r>
        <w:rPr>
          <w:sz w:val="36"/>
        </w:rPr>
        <w:t>联系地址：广东省珠海市前山金鸡西路联系电话：-3232</w:t>
      </w:r>
    </w:p>
    <w:p>
      <w:pPr>
        <w:spacing w:before="3" w:line="312" w:lineRule="auto"/>
        <w:ind w:left="2180" w:right="10918" w:firstLine="0"/>
        <w:jc w:val="left"/>
        <w:rPr>
          <w:sz w:val="36"/>
        </w:rPr>
      </w:pPr>
      <w:r>
        <w:rPr>
          <w:sz w:val="36"/>
        </w:rPr>
        <w:t>联系传真： 电子信箱：1</w:t>
      </w:r>
    </w:p>
    <w:p>
      <w:pPr>
        <w:spacing w:before="0"/>
        <w:ind w:left="2180" w:right="0" w:firstLine="0"/>
        <w:jc w:val="left"/>
        <w:rPr>
          <w:sz w:val="36"/>
        </w:rPr>
      </w:pPr>
      <w:r>
        <w:rPr>
          <w:sz w:val="36"/>
        </w:rPr>
        <w:t>证券事务代表：杨永兴</w:t>
      </w:r>
    </w:p>
    <w:p>
      <w:pPr>
        <w:spacing w:before="140" w:line="312" w:lineRule="auto"/>
        <w:ind w:left="2180" w:right="6778" w:firstLine="0"/>
        <w:jc w:val="left"/>
        <w:rPr>
          <w:sz w:val="36"/>
        </w:rPr>
      </w:pPr>
      <w:r>
        <w:rPr>
          <w:sz w:val="36"/>
        </w:rPr>
        <w:t>联系地址：广东省珠海市前山金鸡西路联系电话：-3232</w:t>
      </w:r>
    </w:p>
    <w:p>
      <w:pPr>
        <w:spacing w:before="0" w:line="312" w:lineRule="auto"/>
        <w:ind w:left="2180" w:right="10738" w:firstLine="0"/>
        <w:jc w:val="left"/>
        <w:rPr>
          <w:sz w:val="36"/>
        </w:rPr>
      </w:pPr>
      <w:r>
        <w:rPr>
          <w:sz w:val="36"/>
        </w:rPr>
        <w:t>联系传真： 电子信箱</w:t>
      </w:r>
      <w:r>
        <w:rPr>
          <w:spacing w:val="-7"/>
          <w:sz w:val="36"/>
        </w:rPr>
        <w:t>：2H</w:t>
      </w:r>
    </w:p>
    <w:p>
      <w:pPr>
        <w:spacing w:before="0" w:line="312" w:lineRule="auto"/>
        <w:ind w:left="2180" w:right="5876" w:hanging="900"/>
        <w:jc w:val="left"/>
        <w:rPr>
          <w:sz w:val="36"/>
        </w:rPr>
      </w:pPr>
      <w:r>
        <w:rPr>
          <w:sz w:val="36"/>
        </w:rPr>
        <w:t>（四）公司注册地址：广东省珠海市前山金鸡西路公司办公地址：广东省珠海市前山金鸡西路邮政编码：519070</w:t>
      </w:r>
    </w:p>
    <w:p>
      <w:pPr>
        <w:spacing w:before="1"/>
        <w:ind w:left="2180" w:right="0" w:firstLine="0"/>
        <w:jc w:val="left"/>
        <w:rPr>
          <w:sz w:val="36"/>
        </w:rPr>
      </w:pPr>
      <w:r>
        <w:rPr>
          <w:sz w:val="36"/>
        </w:rPr>
        <w:t>公司网址：3H</w:t>
      </w:r>
    </w:p>
    <w:p>
      <w:pPr>
        <w:spacing w:before="140"/>
        <w:ind w:left="2180" w:right="0" w:firstLine="0"/>
        <w:jc w:val="left"/>
        <w:rPr>
          <w:sz w:val="36"/>
        </w:rPr>
      </w:pPr>
      <w:r>
        <w:rPr>
          <w:sz w:val="36"/>
        </w:rPr>
        <w:t>公司电子信箱：4H</w:t>
      </w:r>
    </w:p>
    <w:p>
      <w:pPr>
        <w:pStyle w:val="Heading1"/>
        <w:tabs>
          <w:tab w:val="left" w:pos="2727"/>
        </w:tabs>
        <w:spacing w:before="165"/>
      </w:pPr>
      <w:r>
        <w:t>第三节</w:t>
        <w:tab/>
        <w:t>财务报表及其分析</w:t>
      </w:r>
    </w:p>
    <w:p>
      <w:pPr>
        <w:spacing w:before="320"/>
        <w:ind w:left="1280" w:right="0" w:firstLine="0"/>
        <w:jc w:val="left"/>
        <w:rPr>
          <w:b/>
          <w:sz w:val="36"/>
        </w:rPr>
      </w:pPr>
      <w:r>
        <w:rPr>
          <w:b/>
          <w:sz w:val="36"/>
        </w:rPr>
        <w:t>（一） 资产负债表</w:t>
      </w:r>
    </w:p>
    <w:p>
      <w:pPr>
        <w:pStyle w:val="BodyText"/>
        <w:spacing w:before="1"/>
        <w:rPr>
          <w:b/>
          <w:sz w:val="30"/>
        </w:rPr>
      </w:pPr>
    </w:p>
    <w:p>
      <w:pPr>
        <w:pStyle w:val="BodyText"/>
        <w:ind w:left="4982" w:right="5019"/>
        <w:jc w:val="center"/>
      </w:pPr>
      <w:r>
        <w:t>资产负债表水平分析表</w:t>
      </w:r>
    </w:p>
    <w:p>
      <w:pPr>
        <w:spacing w:after="0"/>
        <w:jc w:val="center"/>
        <w:sectPr>
          <w:headerReference w:type="default" r:id="rId4"/>
          <w:footerReference w:type="default" r:id="rId5"/>
          <w:type w:val="continuous"/>
          <w:pgSz w:w="17860" w:h="25260"/>
          <w:pgMar w:top="1200" w:right="1360" w:bottom="2020" w:left="1420" w:header="1005" w:footer="1822"/>
          <w:cols w:space="708"/>
        </w:sectPr>
      </w:pPr>
    </w:p>
    <w:p>
      <w:pPr>
        <w:pStyle w:val="BodyText"/>
        <w:rPr>
          <w:sz w:val="20"/>
        </w:rPr>
      </w:pPr>
      <w:r>
        <w:drawing>
          <wp:anchor distT="0" distB="0" distL="0" distR="0" simplePos="0" relativeHeight="251658240" behindDoc="1" locked="0" layoutInCell="1" allowOverlap="1">
            <wp:simplePos x="0" y="0"/>
            <wp:positionH relativeFrom="page">
              <wp:posOffset>1181100</wp:posOffset>
            </wp:positionH>
            <wp:positionV relativeFrom="page">
              <wp:posOffset>1181100</wp:posOffset>
            </wp:positionV>
            <wp:extent cx="9171813" cy="12845605"/>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6" cstate="print"/>
                    <a:stretch>
                      <a:fillRect/>
                    </a:stretch>
                  </pic:blipFill>
                  <pic:spPr>
                    <a:xfrm>
                      <a:off x="0" y="0"/>
                      <a:ext cx="9171813" cy="12845605"/>
                    </a:xfrm>
                    <a:prstGeom prst="rect">
                      <a:avLst/>
                    </a:prstGeom>
                  </pic:spPr>
                </pic:pic>
              </a:graphicData>
            </a:graphic>
          </wp:anchor>
        </w:drawing>
      </w:r>
    </w:p>
    <w:p>
      <w:pPr>
        <w:pStyle w:val="BodyText"/>
        <w:rPr>
          <w:sz w:val="20"/>
        </w:rPr>
      </w:pPr>
    </w:p>
    <w:p>
      <w:pPr>
        <w:pStyle w:val="BodyText"/>
        <w:rPr>
          <w:sz w:val="20"/>
        </w:rPr>
      </w:pPr>
    </w:p>
    <w:p>
      <w:pPr>
        <w:pStyle w:val="BodyText"/>
        <w:spacing w:before="10"/>
        <w:rPr>
          <w:sz w:val="18"/>
        </w:rPr>
      </w:pPr>
    </w:p>
    <w:tbl>
      <w:tblPr>
        <w:tblStyle w:val="TableNormal0"/>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10"/>
        <w:gridCol w:w="1660"/>
        <w:gridCol w:w="1058"/>
        <w:gridCol w:w="1179"/>
        <w:gridCol w:w="1044"/>
        <w:gridCol w:w="1378"/>
        <w:gridCol w:w="971"/>
        <w:gridCol w:w="1241"/>
        <w:gridCol w:w="702"/>
        <w:gridCol w:w="1832"/>
      </w:tblGrid>
      <w:tr>
        <w:tblPrEx>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131"/>
          <w:jc w:val="left"/>
        </w:trPr>
        <w:tc>
          <w:tcPr>
            <w:tcW w:w="3110" w:type="dxa"/>
          </w:tcPr>
          <w:p>
            <w:pPr>
              <w:pStyle w:val="TableParagraph"/>
              <w:spacing w:before="8"/>
              <w:rPr>
                <w:sz w:val="27"/>
              </w:rPr>
            </w:pPr>
          </w:p>
          <w:p>
            <w:pPr>
              <w:pStyle w:val="TableParagraph"/>
              <w:ind w:left="50"/>
              <w:rPr>
                <w:sz w:val="27"/>
              </w:rPr>
            </w:pPr>
            <w:r>
              <w:rPr>
                <w:sz w:val="27"/>
              </w:rPr>
              <w:t>项目</w:t>
            </w:r>
          </w:p>
          <w:p>
            <w:pPr>
              <w:pStyle w:val="TableParagraph"/>
              <w:rPr>
                <w:sz w:val="26"/>
              </w:rPr>
            </w:pPr>
          </w:p>
          <w:p>
            <w:pPr>
              <w:pStyle w:val="TableParagraph"/>
              <w:rPr>
                <w:sz w:val="26"/>
              </w:rPr>
            </w:pPr>
          </w:p>
          <w:p>
            <w:pPr>
              <w:pStyle w:val="TableParagraph"/>
              <w:spacing w:before="187"/>
              <w:ind w:left="50"/>
              <w:rPr>
                <w:sz w:val="27"/>
              </w:rPr>
            </w:pPr>
            <w:r>
              <w:rPr>
                <w:sz w:val="27"/>
              </w:rPr>
              <w:t>流动资产</w:t>
            </w:r>
          </w:p>
        </w:tc>
        <w:tc>
          <w:tcPr>
            <w:tcW w:w="1660" w:type="dxa"/>
          </w:tcPr>
          <w:p>
            <w:pPr>
              <w:pStyle w:val="TableParagraph"/>
              <w:spacing w:before="8"/>
              <w:rPr>
                <w:sz w:val="27"/>
              </w:rPr>
            </w:pPr>
          </w:p>
          <w:p>
            <w:pPr>
              <w:pStyle w:val="TableParagraph"/>
              <w:ind w:left="630"/>
              <w:rPr>
                <w:sz w:val="27"/>
              </w:rPr>
            </w:pPr>
            <w:r>
              <w:rPr>
                <w:sz w:val="27"/>
              </w:rPr>
              <w:t>期末</w:t>
            </w:r>
          </w:p>
        </w:tc>
        <w:tc>
          <w:tcPr>
            <w:tcW w:w="1058" w:type="dxa"/>
          </w:tcPr>
          <w:p>
            <w:pPr>
              <w:pStyle w:val="TableParagraph"/>
              <w:rPr>
                <w:rFonts w:ascii="Times New Roman"/>
                <w:sz w:val="26"/>
              </w:rPr>
            </w:pPr>
          </w:p>
        </w:tc>
        <w:tc>
          <w:tcPr>
            <w:tcW w:w="1179" w:type="dxa"/>
          </w:tcPr>
          <w:p>
            <w:pPr>
              <w:pStyle w:val="TableParagraph"/>
              <w:spacing w:before="8"/>
              <w:rPr>
                <w:sz w:val="27"/>
              </w:rPr>
            </w:pPr>
          </w:p>
          <w:p>
            <w:pPr>
              <w:pStyle w:val="TableParagraph"/>
              <w:ind w:left="162"/>
              <w:rPr>
                <w:sz w:val="27"/>
              </w:rPr>
            </w:pPr>
            <w:r>
              <w:rPr>
                <w:sz w:val="27"/>
              </w:rPr>
              <w:t>期初</w:t>
            </w:r>
          </w:p>
        </w:tc>
        <w:tc>
          <w:tcPr>
            <w:tcW w:w="1044" w:type="dxa"/>
          </w:tcPr>
          <w:p>
            <w:pPr>
              <w:pStyle w:val="TableParagraph"/>
              <w:rPr>
                <w:rFonts w:ascii="Times New Roman"/>
                <w:sz w:val="26"/>
              </w:rPr>
            </w:pPr>
          </w:p>
        </w:tc>
        <w:tc>
          <w:tcPr>
            <w:tcW w:w="1378" w:type="dxa"/>
          </w:tcPr>
          <w:p>
            <w:pPr>
              <w:pStyle w:val="TableParagraph"/>
              <w:spacing w:before="8"/>
              <w:rPr>
                <w:sz w:val="27"/>
              </w:rPr>
            </w:pPr>
          </w:p>
          <w:p>
            <w:pPr>
              <w:pStyle w:val="TableParagraph"/>
              <w:ind w:left="161"/>
              <w:rPr>
                <w:sz w:val="27"/>
              </w:rPr>
            </w:pPr>
            <w:r>
              <w:rPr>
                <w:sz w:val="27"/>
              </w:rPr>
              <w:t>变动额</w:t>
            </w:r>
          </w:p>
        </w:tc>
        <w:tc>
          <w:tcPr>
            <w:tcW w:w="971" w:type="dxa"/>
          </w:tcPr>
          <w:p>
            <w:pPr>
              <w:pStyle w:val="TableParagraph"/>
              <w:rPr>
                <w:rFonts w:ascii="Times New Roman"/>
                <w:sz w:val="26"/>
              </w:rPr>
            </w:pPr>
          </w:p>
        </w:tc>
        <w:tc>
          <w:tcPr>
            <w:tcW w:w="1241" w:type="dxa"/>
          </w:tcPr>
          <w:p>
            <w:pPr>
              <w:pStyle w:val="TableParagraph"/>
              <w:spacing w:before="8"/>
              <w:rPr>
                <w:sz w:val="27"/>
              </w:rPr>
            </w:pPr>
          </w:p>
          <w:p>
            <w:pPr>
              <w:pStyle w:val="TableParagraph"/>
              <w:ind w:left="159"/>
              <w:rPr>
                <w:sz w:val="27"/>
              </w:rPr>
            </w:pPr>
            <w:r>
              <w:rPr>
                <w:sz w:val="27"/>
              </w:rPr>
              <w:t>变动率</w:t>
            </w:r>
          </w:p>
        </w:tc>
        <w:tc>
          <w:tcPr>
            <w:tcW w:w="702" w:type="dxa"/>
          </w:tcPr>
          <w:p>
            <w:pPr>
              <w:pStyle w:val="TableParagraph"/>
              <w:rPr>
                <w:rFonts w:ascii="Times New Roman"/>
                <w:sz w:val="26"/>
              </w:rPr>
            </w:pPr>
          </w:p>
        </w:tc>
        <w:tc>
          <w:tcPr>
            <w:tcW w:w="1832" w:type="dxa"/>
          </w:tcPr>
          <w:p>
            <w:pPr>
              <w:pStyle w:val="TableParagraph"/>
              <w:spacing w:line="308" w:lineRule="exact"/>
              <w:ind w:left="161"/>
              <w:rPr>
                <w:sz w:val="27"/>
              </w:rPr>
            </w:pPr>
            <w:r>
              <w:rPr>
                <w:sz w:val="27"/>
              </w:rPr>
              <w:t>对总资产影响</w:t>
            </w:r>
          </w:p>
          <w:p>
            <w:pPr>
              <w:pStyle w:val="TableParagraph"/>
              <w:spacing w:before="12"/>
              <w:rPr>
                <w:sz w:val="33"/>
              </w:rPr>
            </w:pPr>
          </w:p>
          <w:p>
            <w:pPr>
              <w:pStyle w:val="TableParagraph"/>
              <w:ind w:left="161"/>
              <w:rPr>
                <w:sz w:val="27"/>
              </w:rPr>
            </w:pPr>
            <w:r>
              <w:rPr>
                <w:sz w:val="27"/>
              </w:rPr>
              <w:t>率</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货币资金</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spacing w:before="232"/>
              <w:ind w:right="160"/>
              <w:jc w:val="right"/>
              <w:rPr>
                <w:sz w:val="27"/>
              </w:rPr>
            </w:pPr>
            <w:r>
              <w:rPr>
                <w:sz w:val="27"/>
              </w:rPr>
              <w:t>.00</w:t>
            </w: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结算备付金</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ind w:right="50"/>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拆出资金</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ind w:right="50"/>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交易性金融资产</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衍生金融资产</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ind w:right="50"/>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应收票据</w:t>
            </w:r>
          </w:p>
        </w:tc>
        <w:tc>
          <w:tcPr>
            <w:tcW w:w="1660" w:type="dxa"/>
          </w:tcPr>
          <w:p>
            <w:pPr>
              <w:pStyle w:val="TableParagraph"/>
              <w:rPr>
                <w:rFonts w:ascii="Times New Roman"/>
                <w:sz w:val="26"/>
              </w:rPr>
            </w:pPr>
          </w:p>
        </w:tc>
        <w:tc>
          <w:tcPr>
            <w:tcW w:w="1058" w:type="dxa"/>
          </w:tcPr>
          <w:p>
            <w:pPr>
              <w:pStyle w:val="TableParagraph"/>
              <w:spacing w:before="232"/>
              <w:ind w:right="162"/>
              <w:jc w:val="right"/>
              <w:rPr>
                <w:sz w:val="27"/>
              </w:rPr>
            </w:pPr>
            <w:r>
              <w:rPr>
                <w:sz w:val="27"/>
              </w:rPr>
              <w:t>.00</w:t>
            </w:r>
          </w:p>
        </w:tc>
        <w:tc>
          <w:tcPr>
            <w:tcW w:w="1179" w:type="dxa"/>
          </w:tcPr>
          <w:p>
            <w:pPr>
              <w:pStyle w:val="TableParagraph"/>
              <w:rPr>
                <w:rFonts w:ascii="Times New Roman"/>
                <w:sz w:val="26"/>
              </w:rPr>
            </w:pPr>
          </w:p>
        </w:tc>
        <w:tc>
          <w:tcPr>
            <w:tcW w:w="1044" w:type="dxa"/>
          </w:tcPr>
          <w:p>
            <w:pPr>
              <w:pStyle w:val="TableParagraph"/>
              <w:spacing w:before="232"/>
              <w:ind w:right="162"/>
              <w:jc w:val="right"/>
              <w:rPr>
                <w:sz w:val="27"/>
              </w:rPr>
            </w:pPr>
            <w:r>
              <w:rPr>
                <w:sz w:val="27"/>
              </w:rPr>
              <w:t>.00</w:t>
            </w: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应收账款</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预付款项</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应收保费</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ind w:right="50"/>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应收分保账款</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ind w:right="50"/>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应收分保合同准备金</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ind w:right="50"/>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应收利息</w:t>
            </w:r>
          </w:p>
        </w:tc>
        <w:tc>
          <w:tcPr>
            <w:tcW w:w="1660" w:type="dxa"/>
          </w:tcPr>
          <w:p>
            <w:pPr>
              <w:pStyle w:val="TableParagraph"/>
              <w:rPr>
                <w:rFonts w:ascii="Times New Roman"/>
                <w:sz w:val="26"/>
              </w:rPr>
            </w:pPr>
          </w:p>
        </w:tc>
        <w:tc>
          <w:tcPr>
            <w:tcW w:w="1058" w:type="dxa"/>
          </w:tcPr>
          <w:p>
            <w:pPr>
              <w:pStyle w:val="TableParagraph"/>
              <w:spacing w:before="232"/>
              <w:ind w:right="162"/>
              <w:jc w:val="right"/>
              <w:rPr>
                <w:sz w:val="27"/>
              </w:rPr>
            </w:pPr>
            <w:r>
              <w:rPr>
                <w:sz w:val="27"/>
              </w:rPr>
              <w:t>.00</w:t>
            </w:r>
          </w:p>
        </w:tc>
        <w:tc>
          <w:tcPr>
            <w:tcW w:w="1179" w:type="dxa"/>
          </w:tcPr>
          <w:p>
            <w:pPr>
              <w:pStyle w:val="TableParagraph"/>
              <w:rPr>
                <w:rFonts w:ascii="Times New Roman"/>
                <w:sz w:val="26"/>
              </w:rPr>
            </w:pPr>
          </w:p>
        </w:tc>
        <w:tc>
          <w:tcPr>
            <w:tcW w:w="1044" w:type="dxa"/>
          </w:tcPr>
          <w:p>
            <w:pPr>
              <w:pStyle w:val="TableParagraph"/>
              <w:spacing w:before="232"/>
              <w:ind w:right="162"/>
              <w:jc w:val="right"/>
              <w:rPr>
                <w:sz w:val="27"/>
              </w:rPr>
            </w:pPr>
            <w:r>
              <w:rPr>
                <w:sz w:val="27"/>
              </w:rPr>
              <w:t>.00</w:t>
            </w:r>
          </w:p>
        </w:tc>
        <w:tc>
          <w:tcPr>
            <w:tcW w:w="1378" w:type="dxa"/>
          </w:tcPr>
          <w:p>
            <w:pPr>
              <w:pStyle w:val="TableParagraph"/>
              <w:rPr>
                <w:rFonts w:ascii="Times New Roman"/>
                <w:sz w:val="26"/>
              </w:rPr>
            </w:pPr>
          </w:p>
        </w:tc>
        <w:tc>
          <w:tcPr>
            <w:tcW w:w="971" w:type="dxa"/>
          </w:tcPr>
          <w:p>
            <w:pPr>
              <w:pStyle w:val="TableParagraph"/>
              <w:spacing w:before="232"/>
              <w:ind w:right="160"/>
              <w:jc w:val="right"/>
              <w:rPr>
                <w:sz w:val="27"/>
              </w:rPr>
            </w:pPr>
            <w:r>
              <w:rPr>
                <w:sz w:val="27"/>
              </w:rPr>
              <w:t>.00</w:t>
            </w:r>
          </w:p>
        </w:tc>
        <w:tc>
          <w:tcPr>
            <w:tcW w:w="1241" w:type="dxa"/>
          </w:tcPr>
          <w:p>
            <w:pPr>
              <w:pStyle w:val="TableParagraph"/>
              <w:rPr>
                <w:rFonts w:ascii="Times New Roman"/>
                <w:sz w:val="26"/>
              </w:rPr>
            </w:pPr>
          </w:p>
        </w:tc>
        <w:tc>
          <w:tcPr>
            <w:tcW w:w="702" w:type="dxa"/>
          </w:tcPr>
          <w:p>
            <w:pPr>
              <w:pStyle w:val="TableParagraph"/>
              <w:spacing w:before="232"/>
              <w:ind w:left="269"/>
              <w:rPr>
                <w:sz w:val="27"/>
              </w:rPr>
            </w:pPr>
            <w:r>
              <w:rPr>
                <w:sz w:val="27"/>
              </w:rPr>
              <w:t>3.</w:t>
            </w:r>
          </w:p>
        </w:tc>
        <w:tc>
          <w:tcPr>
            <w:tcW w:w="1832"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应收股利</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ind w:right="50"/>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其他应收款</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spacing w:before="232"/>
              <w:ind w:right="162"/>
              <w:jc w:val="right"/>
              <w:rPr>
                <w:sz w:val="27"/>
              </w:rPr>
            </w:pPr>
            <w:r>
              <w:rPr>
                <w:sz w:val="27"/>
              </w:rPr>
              <w:t>.00</w:t>
            </w:r>
          </w:p>
        </w:tc>
        <w:tc>
          <w:tcPr>
            <w:tcW w:w="1378" w:type="dxa"/>
          </w:tcPr>
          <w:p>
            <w:pPr>
              <w:pStyle w:val="TableParagraph"/>
              <w:rPr>
                <w:rFonts w:ascii="Times New Roman"/>
                <w:sz w:val="26"/>
              </w:rPr>
            </w:pPr>
          </w:p>
        </w:tc>
        <w:tc>
          <w:tcPr>
            <w:tcW w:w="971" w:type="dxa"/>
          </w:tcPr>
          <w:p>
            <w:pPr>
              <w:pStyle w:val="TableParagraph"/>
              <w:spacing w:before="232"/>
              <w:ind w:right="160"/>
              <w:jc w:val="right"/>
              <w:rPr>
                <w:sz w:val="27"/>
              </w:rPr>
            </w:pPr>
            <w:r>
              <w:rPr>
                <w:sz w:val="27"/>
              </w:rPr>
              <w:t>.00</w:t>
            </w: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应收出口退税</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ind w:right="50"/>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应收补贴款</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ind w:right="50"/>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应收保证金</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ind w:right="50"/>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内部应收款</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ind w:right="50"/>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买入返售金融资产</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存货</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110" w:type="dxa"/>
          </w:tcPr>
          <w:p>
            <w:pPr>
              <w:pStyle w:val="TableParagraph"/>
              <w:spacing w:before="232"/>
              <w:ind w:left="50"/>
              <w:rPr>
                <w:sz w:val="27"/>
              </w:rPr>
            </w:pPr>
            <w:r>
              <w:rPr>
                <w:sz w:val="27"/>
              </w:rPr>
              <w:t>待摊费用</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ind w:right="50"/>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540"/>
          <w:jc w:val="left"/>
        </w:trPr>
        <w:tc>
          <w:tcPr>
            <w:tcW w:w="3110" w:type="dxa"/>
          </w:tcPr>
          <w:p>
            <w:pPr>
              <w:pStyle w:val="TableParagraph"/>
              <w:spacing w:before="232" w:line="288" w:lineRule="exact"/>
              <w:ind w:left="50"/>
              <w:rPr>
                <w:sz w:val="27"/>
              </w:rPr>
            </w:pPr>
            <w:r>
              <w:rPr>
                <w:sz w:val="27"/>
              </w:rPr>
              <w:t>待处理流动资产损益</w:t>
            </w:r>
          </w:p>
        </w:tc>
        <w:tc>
          <w:tcPr>
            <w:tcW w:w="1660" w:type="dxa"/>
          </w:tcPr>
          <w:p>
            <w:pPr>
              <w:pStyle w:val="TableParagraph"/>
              <w:rPr>
                <w:rFonts w:ascii="Times New Roman"/>
                <w:sz w:val="26"/>
              </w:rPr>
            </w:pPr>
          </w:p>
        </w:tc>
        <w:tc>
          <w:tcPr>
            <w:tcW w:w="1058" w:type="dxa"/>
          </w:tcPr>
          <w:p>
            <w:pPr>
              <w:pStyle w:val="TableParagraph"/>
              <w:rPr>
                <w:rFonts w:ascii="Times New Roman"/>
                <w:sz w:val="26"/>
              </w:rPr>
            </w:pPr>
          </w:p>
        </w:tc>
        <w:tc>
          <w:tcPr>
            <w:tcW w:w="1179" w:type="dxa"/>
          </w:tcPr>
          <w:p>
            <w:pPr>
              <w:pStyle w:val="TableParagraph"/>
              <w:rPr>
                <w:rFonts w:ascii="Times New Roman"/>
                <w:sz w:val="26"/>
              </w:rPr>
            </w:pPr>
          </w:p>
        </w:tc>
        <w:tc>
          <w:tcPr>
            <w:tcW w:w="1044" w:type="dxa"/>
          </w:tcPr>
          <w:p>
            <w:pPr>
              <w:pStyle w:val="TableParagraph"/>
              <w:rPr>
                <w:rFonts w:ascii="Times New Roman"/>
                <w:sz w:val="26"/>
              </w:rPr>
            </w:pPr>
          </w:p>
        </w:tc>
        <w:tc>
          <w:tcPr>
            <w:tcW w:w="1378" w:type="dxa"/>
          </w:tcPr>
          <w:p>
            <w:pPr>
              <w:pStyle w:val="TableParagraph"/>
              <w:rPr>
                <w:rFonts w:ascii="Times New Roman"/>
                <w:sz w:val="26"/>
              </w:rPr>
            </w:pPr>
          </w:p>
        </w:tc>
        <w:tc>
          <w:tcPr>
            <w:tcW w:w="971" w:type="dxa"/>
          </w:tcPr>
          <w:p>
            <w:pPr>
              <w:pStyle w:val="TableParagraph"/>
              <w:rPr>
                <w:rFonts w:ascii="Times New Roman"/>
                <w:sz w:val="26"/>
              </w:rPr>
            </w:pPr>
          </w:p>
        </w:tc>
        <w:tc>
          <w:tcPr>
            <w:tcW w:w="1241" w:type="dxa"/>
          </w:tcPr>
          <w:p>
            <w:pPr>
              <w:pStyle w:val="TableParagraph"/>
              <w:rPr>
                <w:rFonts w:ascii="Times New Roman"/>
                <w:sz w:val="26"/>
              </w:rPr>
            </w:pPr>
          </w:p>
        </w:tc>
        <w:tc>
          <w:tcPr>
            <w:tcW w:w="702" w:type="dxa"/>
          </w:tcPr>
          <w:p>
            <w:pPr>
              <w:pStyle w:val="TableParagraph"/>
              <w:rPr>
                <w:rFonts w:ascii="Times New Roman"/>
                <w:sz w:val="26"/>
              </w:rPr>
            </w:pPr>
          </w:p>
        </w:tc>
        <w:tc>
          <w:tcPr>
            <w:tcW w:w="1832" w:type="dxa"/>
          </w:tcPr>
          <w:p>
            <w:pPr>
              <w:pStyle w:val="TableParagraph"/>
              <w:spacing w:before="232" w:line="288" w:lineRule="exact"/>
              <w:ind w:right="50"/>
              <w:jc w:val="right"/>
              <w:rPr>
                <w:sz w:val="27"/>
              </w:rPr>
            </w:pPr>
            <w:r>
              <w:rPr>
                <w:sz w:val="27"/>
              </w:rPr>
              <w:t>0</w:t>
            </w:r>
          </w:p>
        </w:tc>
      </w:tr>
    </w:tbl>
    <w:p>
      <w:pPr>
        <w:spacing w:after="0" w:line="288" w:lineRule="exact"/>
        <w:jc w:val="right"/>
        <w:rPr>
          <w:sz w:val="27"/>
        </w:rPr>
        <w:sectPr>
          <w:headerReference w:type="default" r:id="rId7"/>
          <w:footerReference w:type="default" r:id="rId8"/>
          <w:pgSz w:w="17860" w:h="25260"/>
          <w:pgMar w:top="1200" w:right="1360" w:bottom="2020" w:left="1420" w:header="1005" w:footer="1822"/>
          <w:pgNumType w:start="2"/>
          <w:cols w:space="708"/>
        </w:sectPr>
      </w:pPr>
    </w:p>
    <w:p>
      <w:pPr>
        <w:pStyle w:val="BodyText"/>
        <w:rPr>
          <w:sz w:val="20"/>
        </w:rPr>
      </w:pPr>
      <w:r>
        <w:drawing>
          <wp:anchor distT="0" distB="0" distL="0" distR="0" simplePos="0" relativeHeight="251659264" behindDoc="1" locked="0" layoutInCell="1" allowOverlap="1">
            <wp:simplePos x="0" y="0"/>
            <wp:positionH relativeFrom="page">
              <wp:posOffset>1181100</wp:posOffset>
            </wp:positionH>
            <wp:positionV relativeFrom="page">
              <wp:posOffset>1181100</wp:posOffset>
            </wp:positionV>
            <wp:extent cx="9171813" cy="12870942"/>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9" cstate="print"/>
                    <a:stretch>
                      <a:fillRect/>
                    </a:stretch>
                  </pic:blipFill>
                  <pic:spPr>
                    <a:xfrm>
                      <a:off x="0" y="0"/>
                      <a:ext cx="9171813" cy="12870942"/>
                    </a:xfrm>
                    <a:prstGeom prst="rect">
                      <a:avLst/>
                    </a:prstGeom>
                  </pic:spPr>
                </pic:pic>
              </a:graphicData>
            </a:graphic>
          </wp:anchor>
        </w:drawing>
      </w:r>
    </w:p>
    <w:p>
      <w:pPr>
        <w:pStyle w:val="BodyText"/>
        <w:rPr>
          <w:sz w:val="20"/>
        </w:rPr>
      </w:pPr>
    </w:p>
    <w:p>
      <w:pPr>
        <w:pStyle w:val="BodyText"/>
        <w:rPr>
          <w:sz w:val="20"/>
        </w:rPr>
      </w:pPr>
    </w:p>
    <w:p>
      <w:pPr>
        <w:pStyle w:val="BodyText"/>
        <w:spacing w:before="10"/>
        <w:rPr>
          <w:sz w:val="18"/>
        </w:rPr>
      </w:pPr>
    </w:p>
    <w:tbl>
      <w:tblPr>
        <w:tblStyle w:val="TableNormal1"/>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40"/>
        <w:gridCol w:w="2433"/>
        <w:gridCol w:w="2151"/>
        <w:gridCol w:w="3388"/>
        <w:gridCol w:w="2060"/>
      </w:tblGrid>
      <w:tr>
        <w:tblPrEx>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4140" w:type="dxa"/>
          </w:tcPr>
          <w:p>
            <w:pPr>
              <w:pStyle w:val="TableParagraph"/>
              <w:spacing w:line="308" w:lineRule="exact"/>
              <w:ind w:left="50"/>
              <w:rPr>
                <w:sz w:val="27"/>
              </w:rPr>
            </w:pPr>
            <w:r>
              <w:rPr>
                <w:sz w:val="27"/>
              </w:rPr>
              <w:t>一年内到期的非流动资产</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spacing w:line="308" w:lineRule="exact"/>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其他流动资产</w:t>
            </w:r>
          </w:p>
        </w:tc>
        <w:tc>
          <w:tcPr>
            <w:tcW w:w="2433" w:type="dxa"/>
          </w:tcPr>
          <w:p>
            <w:pPr>
              <w:pStyle w:val="TableParagraph"/>
              <w:spacing w:before="232"/>
              <w:ind w:right="907"/>
              <w:jc w:val="right"/>
              <w:rPr>
                <w:sz w:val="27"/>
              </w:rPr>
            </w:pPr>
            <w:r>
              <w:rPr>
                <w:sz w:val="27"/>
              </w:rPr>
              <w:t>.00</w:t>
            </w:r>
          </w:p>
        </w:tc>
        <w:tc>
          <w:tcPr>
            <w:tcW w:w="2151" w:type="dxa"/>
          </w:tcPr>
          <w:p>
            <w:pPr>
              <w:pStyle w:val="TableParagraph"/>
              <w:rPr>
                <w:rFonts w:ascii="Times New Roman"/>
                <w:sz w:val="26"/>
              </w:rPr>
            </w:pPr>
          </w:p>
        </w:tc>
        <w:tc>
          <w:tcPr>
            <w:tcW w:w="3388" w:type="dxa"/>
          </w:tcPr>
          <w:p>
            <w:pPr>
              <w:pStyle w:val="TableParagraph"/>
              <w:spacing w:before="232"/>
              <w:ind w:right="1872"/>
              <w:jc w:val="right"/>
              <w:rPr>
                <w:sz w:val="27"/>
              </w:rPr>
            </w:pPr>
            <w:r>
              <w:rPr>
                <w:sz w:val="27"/>
              </w:rPr>
              <w:t>.60</w:t>
            </w: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流动资产合计</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spacing w:before="232"/>
              <w:ind w:right="1872"/>
              <w:jc w:val="right"/>
              <w:rPr>
                <w:sz w:val="27"/>
              </w:rPr>
            </w:pPr>
            <w:r>
              <w:rPr>
                <w:sz w:val="27"/>
              </w:rPr>
              <w:t>.00</w:t>
            </w: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非流动资产</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发放贷款及垫款</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可供出售金融资产</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持有至到期投资</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长期应收款</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长期股权投资</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其他长期投资</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投资性房地产</w:t>
            </w:r>
          </w:p>
        </w:tc>
        <w:tc>
          <w:tcPr>
            <w:tcW w:w="2433" w:type="dxa"/>
          </w:tcPr>
          <w:p>
            <w:pPr>
              <w:pStyle w:val="TableParagraph"/>
              <w:rPr>
                <w:rFonts w:ascii="Times New Roman"/>
                <w:sz w:val="26"/>
              </w:rPr>
            </w:pPr>
          </w:p>
        </w:tc>
        <w:tc>
          <w:tcPr>
            <w:tcW w:w="2151" w:type="dxa"/>
          </w:tcPr>
          <w:p>
            <w:pPr>
              <w:pStyle w:val="TableParagraph"/>
              <w:spacing w:before="232"/>
              <w:ind w:right="835"/>
              <w:jc w:val="right"/>
              <w:rPr>
                <w:sz w:val="27"/>
              </w:rPr>
            </w:pPr>
            <w:r>
              <w:rPr>
                <w:sz w:val="27"/>
              </w:rPr>
              <w:t>.00</w:t>
            </w:r>
          </w:p>
        </w:tc>
        <w:tc>
          <w:tcPr>
            <w:tcW w:w="3388" w:type="dxa"/>
          </w:tcPr>
          <w:p>
            <w:pPr>
              <w:pStyle w:val="TableParagraph"/>
              <w:spacing w:before="232"/>
              <w:ind w:right="1872"/>
              <w:jc w:val="right"/>
              <w:rPr>
                <w:sz w:val="27"/>
              </w:rPr>
            </w:pPr>
            <w:r>
              <w:rPr>
                <w:sz w:val="27"/>
              </w:rPr>
              <w:t>.00</w:t>
            </w: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固定资产原值</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累计折旧</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固定资产净值</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固定资产减值准备</w:t>
            </w:r>
          </w:p>
        </w:tc>
        <w:tc>
          <w:tcPr>
            <w:tcW w:w="2433" w:type="dxa"/>
          </w:tcPr>
          <w:p>
            <w:pPr>
              <w:pStyle w:val="TableParagraph"/>
              <w:spacing w:before="232"/>
              <w:ind w:right="907"/>
              <w:jc w:val="right"/>
              <w:rPr>
                <w:sz w:val="27"/>
              </w:rPr>
            </w:pPr>
            <w:r>
              <w:rPr>
                <w:sz w:val="27"/>
              </w:rPr>
              <w:t>.00</w:t>
            </w:r>
          </w:p>
        </w:tc>
        <w:tc>
          <w:tcPr>
            <w:tcW w:w="2151" w:type="dxa"/>
          </w:tcPr>
          <w:p>
            <w:pPr>
              <w:pStyle w:val="TableParagraph"/>
              <w:spacing w:before="232"/>
              <w:ind w:right="835"/>
              <w:jc w:val="right"/>
              <w:rPr>
                <w:sz w:val="27"/>
              </w:rPr>
            </w:pPr>
            <w:r>
              <w:rPr>
                <w:sz w:val="27"/>
              </w:rPr>
              <w:t>.00</w:t>
            </w:r>
          </w:p>
        </w:tc>
        <w:tc>
          <w:tcPr>
            <w:tcW w:w="3388" w:type="dxa"/>
          </w:tcPr>
          <w:p>
            <w:pPr>
              <w:pStyle w:val="TableParagraph"/>
              <w:rPr>
                <w:rFonts w:ascii="Times New Roman"/>
                <w:sz w:val="26"/>
              </w:rPr>
            </w:pP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固定资产净额</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在建工程</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spacing w:before="232"/>
              <w:ind w:right="1872"/>
              <w:jc w:val="right"/>
              <w:rPr>
                <w:sz w:val="27"/>
              </w:rPr>
            </w:pPr>
            <w:r>
              <w:rPr>
                <w:sz w:val="27"/>
              </w:rPr>
              <w:t>(.00)</w:t>
            </w: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工程物资</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固定资产清理</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生产性生物资产</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公益性生物资产</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油气资产</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09"/>
          <w:jc w:val="left"/>
        </w:trPr>
        <w:tc>
          <w:tcPr>
            <w:tcW w:w="4140" w:type="dxa"/>
          </w:tcPr>
          <w:p>
            <w:pPr>
              <w:pStyle w:val="TableParagraph"/>
              <w:spacing w:before="232"/>
              <w:ind w:left="50"/>
              <w:rPr>
                <w:sz w:val="27"/>
              </w:rPr>
            </w:pPr>
            <w:r>
              <w:rPr>
                <w:sz w:val="27"/>
              </w:rPr>
              <w:t>无形资产</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spacing w:before="232"/>
              <w:ind w:right="1872"/>
              <w:jc w:val="right"/>
              <w:rPr>
                <w:sz w:val="27"/>
              </w:rPr>
            </w:pPr>
            <w:r>
              <w:rPr>
                <w:sz w:val="27"/>
              </w:rPr>
              <w:t>.00</w:t>
            </w: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开发支出</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540"/>
          <w:jc w:val="left"/>
        </w:trPr>
        <w:tc>
          <w:tcPr>
            <w:tcW w:w="4140" w:type="dxa"/>
          </w:tcPr>
          <w:p>
            <w:pPr>
              <w:pStyle w:val="TableParagraph"/>
              <w:spacing w:before="232" w:line="288" w:lineRule="exact"/>
              <w:ind w:left="50"/>
              <w:rPr>
                <w:sz w:val="27"/>
              </w:rPr>
            </w:pPr>
            <w:r>
              <w:rPr>
                <w:sz w:val="27"/>
              </w:rPr>
              <w:t>商誉</w:t>
            </w:r>
          </w:p>
        </w:tc>
        <w:tc>
          <w:tcPr>
            <w:tcW w:w="2433" w:type="dxa"/>
          </w:tcPr>
          <w:p>
            <w:pPr>
              <w:pStyle w:val="TableParagraph"/>
              <w:rPr>
                <w:rFonts w:ascii="Times New Roman"/>
                <w:sz w:val="26"/>
              </w:rPr>
            </w:pPr>
          </w:p>
        </w:tc>
        <w:tc>
          <w:tcPr>
            <w:tcW w:w="2151" w:type="dxa"/>
          </w:tcPr>
          <w:p>
            <w:pPr>
              <w:pStyle w:val="TableParagraph"/>
              <w:rPr>
                <w:rFonts w:ascii="Times New Roman"/>
                <w:sz w:val="26"/>
              </w:rPr>
            </w:pPr>
          </w:p>
        </w:tc>
        <w:tc>
          <w:tcPr>
            <w:tcW w:w="3388" w:type="dxa"/>
          </w:tcPr>
          <w:p>
            <w:pPr>
              <w:pStyle w:val="TableParagraph"/>
              <w:rPr>
                <w:rFonts w:ascii="Times New Roman"/>
                <w:sz w:val="26"/>
              </w:rPr>
            </w:pPr>
          </w:p>
        </w:tc>
        <w:tc>
          <w:tcPr>
            <w:tcW w:w="2060" w:type="dxa"/>
          </w:tcPr>
          <w:p>
            <w:pPr>
              <w:pStyle w:val="TableParagraph"/>
              <w:spacing w:before="232" w:line="288" w:lineRule="exact"/>
              <w:ind w:right="47"/>
              <w:jc w:val="right"/>
              <w:rPr>
                <w:sz w:val="27"/>
              </w:rPr>
            </w:pPr>
            <w:r>
              <w:rPr>
                <w:sz w:val="27"/>
              </w:rPr>
              <w:t>0</w:t>
            </w:r>
          </w:p>
        </w:tc>
      </w:tr>
    </w:tbl>
    <w:p>
      <w:pPr>
        <w:spacing w:after="0" w:line="288" w:lineRule="exact"/>
        <w:jc w:val="right"/>
        <w:rPr>
          <w:sz w:val="27"/>
        </w:rPr>
        <w:sectPr>
          <w:headerReference w:type="default" r:id="rId10"/>
          <w:footerReference w:type="default" r:id="rId11"/>
          <w:pgSz w:w="17860" w:h="25260"/>
          <w:pgMar w:top="1200" w:right="1360" w:bottom="2000" w:left="1420" w:header="1005" w:footer="1818"/>
          <w:pgNumType w:start="3"/>
          <w:cols w:space="708"/>
        </w:sectPr>
      </w:pPr>
    </w:p>
    <w:p>
      <w:pPr>
        <w:pStyle w:val="BodyText"/>
        <w:rPr>
          <w:sz w:val="20"/>
        </w:rPr>
      </w:pPr>
      <w:r>
        <w:drawing>
          <wp:anchor distT="0" distB="0" distL="0" distR="0" simplePos="0" relativeHeight="251660288" behindDoc="1" locked="0" layoutInCell="1" allowOverlap="1">
            <wp:simplePos x="0" y="0"/>
            <wp:positionH relativeFrom="page">
              <wp:posOffset>1181100</wp:posOffset>
            </wp:positionH>
            <wp:positionV relativeFrom="page">
              <wp:posOffset>1181100</wp:posOffset>
            </wp:positionV>
            <wp:extent cx="9171813" cy="12870942"/>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9" cstate="print"/>
                    <a:stretch>
                      <a:fillRect/>
                    </a:stretch>
                  </pic:blipFill>
                  <pic:spPr>
                    <a:xfrm>
                      <a:off x="0" y="0"/>
                      <a:ext cx="9171813" cy="12870942"/>
                    </a:xfrm>
                    <a:prstGeom prst="rect">
                      <a:avLst/>
                    </a:prstGeom>
                  </pic:spPr>
                </pic:pic>
              </a:graphicData>
            </a:graphic>
          </wp:anchor>
        </w:drawing>
      </w:r>
    </w:p>
    <w:p>
      <w:pPr>
        <w:pStyle w:val="BodyText"/>
        <w:rPr>
          <w:sz w:val="20"/>
        </w:rPr>
      </w:pPr>
    </w:p>
    <w:p>
      <w:pPr>
        <w:pStyle w:val="BodyText"/>
        <w:rPr>
          <w:sz w:val="20"/>
        </w:rPr>
      </w:pPr>
    </w:p>
    <w:p>
      <w:pPr>
        <w:pStyle w:val="BodyText"/>
        <w:spacing w:before="10"/>
        <w:rPr>
          <w:sz w:val="18"/>
        </w:rPr>
      </w:pPr>
    </w:p>
    <w:tbl>
      <w:tblPr>
        <w:tblStyle w:val="TableNormal2"/>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70"/>
        <w:gridCol w:w="3879"/>
        <w:gridCol w:w="3257"/>
        <w:gridCol w:w="2078"/>
        <w:gridCol w:w="1090"/>
      </w:tblGrid>
      <w:tr>
        <w:tblPrEx>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3870" w:type="dxa"/>
          </w:tcPr>
          <w:p>
            <w:pPr>
              <w:pStyle w:val="TableParagraph"/>
              <w:spacing w:line="308" w:lineRule="exact"/>
              <w:ind w:left="50"/>
              <w:rPr>
                <w:sz w:val="27"/>
              </w:rPr>
            </w:pPr>
            <w:r>
              <w:rPr>
                <w:sz w:val="27"/>
              </w:rPr>
              <w:t>长期待摊费用</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spacing w:line="308" w:lineRule="exact"/>
              <w:ind w:left="767"/>
              <w:rPr>
                <w:sz w:val="27"/>
              </w:rPr>
            </w:pPr>
            <w:r>
              <w:rPr>
                <w:sz w:val="27"/>
              </w:rPr>
              <w:t>-0.</w:t>
            </w: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股权分置流通权</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spacing w:before="232"/>
              <w:ind w:right="49"/>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递延所得税资产</w:t>
            </w:r>
          </w:p>
        </w:tc>
        <w:tc>
          <w:tcPr>
            <w:tcW w:w="3879" w:type="dxa"/>
          </w:tcPr>
          <w:p>
            <w:pPr>
              <w:pStyle w:val="TableParagraph"/>
              <w:rPr>
                <w:rFonts w:ascii="Times New Roman"/>
                <w:sz w:val="26"/>
              </w:rPr>
            </w:pPr>
          </w:p>
        </w:tc>
        <w:tc>
          <w:tcPr>
            <w:tcW w:w="3257" w:type="dxa"/>
          </w:tcPr>
          <w:p>
            <w:pPr>
              <w:pStyle w:val="TableParagraph"/>
              <w:spacing w:before="232"/>
              <w:ind w:right="766"/>
              <w:jc w:val="right"/>
              <w:rPr>
                <w:sz w:val="27"/>
              </w:rPr>
            </w:pPr>
            <w:r>
              <w:rPr>
                <w:sz w:val="27"/>
              </w:rPr>
              <w:t>.00</w:t>
            </w: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其他非流动资产</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spacing w:before="232"/>
              <w:ind w:right="49"/>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非流动资产合计</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资产总计</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流动负债</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spacing w:before="232"/>
              <w:ind w:right="49"/>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短期借款</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向中央银行借款</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spacing w:before="232"/>
              <w:ind w:right="49"/>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吸收存款及同业存放</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拆入资金</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交易性金融负债</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spacing w:before="232"/>
              <w:ind w:right="49"/>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衍生金融负债</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spacing w:before="232"/>
              <w:ind w:right="49"/>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应付票据</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应付账款</w:t>
            </w:r>
          </w:p>
        </w:tc>
        <w:tc>
          <w:tcPr>
            <w:tcW w:w="3879" w:type="dxa"/>
          </w:tcPr>
          <w:p>
            <w:pPr>
              <w:pStyle w:val="TableParagraph"/>
              <w:spacing w:before="232"/>
              <w:ind w:left="1390"/>
              <w:rPr>
                <w:sz w:val="27"/>
              </w:rPr>
            </w:pPr>
            <w:r>
              <w:rPr>
                <w:sz w:val="27"/>
              </w:rPr>
              <w:t>.00</w:t>
            </w: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预收款项</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卖出回购金融资产款</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应付手续费及佣金</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spacing w:before="232"/>
              <w:ind w:right="49"/>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应付职工薪酬</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应交税费</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应付利息</w:t>
            </w:r>
          </w:p>
        </w:tc>
        <w:tc>
          <w:tcPr>
            <w:tcW w:w="3879" w:type="dxa"/>
          </w:tcPr>
          <w:p>
            <w:pPr>
              <w:pStyle w:val="TableParagraph"/>
              <w:spacing w:before="232"/>
              <w:ind w:left="1390"/>
              <w:rPr>
                <w:sz w:val="27"/>
              </w:rPr>
            </w:pPr>
            <w:r>
              <w:rPr>
                <w:sz w:val="27"/>
              </w:rPr>
              <w:t>.00</w:t>
            </w:r>
          </w:p>
        </w:tc>
        <w:tc>
          <w:tcPr>
            <w:tcW w:w="3257" w:type="dxa"/>
          </w:tcPr>
          <w:p>
            <w:pPr>
              <w:pStyle w:val="TableParagraph"/>
              <w:spacing w:before="232"/>
              <w:ind w:right="766"/>
              <w:jc w:val="right"/>
              <w:rPr>
                <w:sz w:val="27"/>
              </w:rPr>
            </w:pPr>
            <w:r>
              <w:rPr>
                <w:sz w:val="27"/>
              </w:rPr>
              <w:t>.00</w:t>
            </w:r>
          </w:p>
        </w:tc>
        <w:tc>
          <w:tcPr>
            <w:tcW w:w="2078" w:type="dxa"/>
          </w:tcPr>
          <w:p>
            <w:pPr>
              <w:pStyle w:val="TableParagraph"/>
              <w:spacing w:before="232"/>
              <w:ind w:left="767"/>
              <w:rPr>
                <w:sz w:val="27"/>
              </w:rPr>
            </w:pPr>
            <w:r>
              <w:rPr>
                <w:sz w:val="27"/>
              </w:rPr>
              <w:t>39.</w:t>
            </w: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应付股利</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09"/>
          <w:jc w:val="left"/>
        </w:trPr>
        <w:tc>
          <w:tcPr>
            <w:tcW w:w="3870" w:type="dxa"/>
          </w:tcPr>
          <w:p>
            <w:pPr>
              <w:pStyle w:val="TableParagraph"/>
              <w:spacing w:before="232"/>
              <w:ind w:left="50"/>
              <w:rPr>
                <w:sz w:val="27"/>
              </w:rPr>
            </w:pPr>
            <w:r>
              <w:rPr>
                <w:sz w:val="27"/>
              </w:rPr>
              <w:t>其他应交款</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spacing w:before="232"/>
              <w:ind w:right="49"/>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3870" w:type="dxa"/>
          </w:tcPr>
          <w:p>
            <w:pPr>
              <w:pStyle w:val="TableParagraph"/>
              <w:spacing w:before="232"/>
              <w:ind w:left="50"/>
              <w:rPr>
                <w:sz w:val="27"/>
              </w:rPr>
            </w:pPr>
            <w:r>
              <w:rPr>
                <w:sz w:val="27"/>
              </w:rPr>
              <w:t>应付保证金</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spacing w:before="232"/>
              <w:ind w:right="49"/>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540"/>
          <w:jc w:val="left"/>
        </w:trPr>
        <w:tc>
          <w:tcPr>
            <w:tcW w:w="3870" w:type="dxa"/>
          </w:tcPr>
          <w:p>
            <w:pPr>
              <w:pStyle w:val="TableParagraph"/>
              <w:spacing w:before="232" w:line="288" w:lineRule="exact"/>
              <w:ind w:left="50"/>
              <w:rPr>
                <w:sz w:val="27"/>
              </w:rPr>
            </w:pPr>
            <w:r>
              <w:rPr>
                <w:sz w:val="27"/>
              </w:rPr>
              <w:t>内部应付款</w:t>
            </w:r>
          </w:p>
        </w:tc>
        <w:tc>
          <w:tcPr>
            <w:tcW w:w="3879" w:type="dxa"/>
          </w:tcPr>
          <w:p>
            <w:pPr>
              <w:pStyle w:val="TableParagraph"/>
              <w:rPr>
                <w:rFonts w:ascii="Times New Roman"/>
                <w:sz w:val="26"/>
              </w:rPr>
            </w:pPr>
          </w:p>
        </w:tc>
        <w:tc>
          <w:tcPr>
            <w:tcW w:w="3257" w:type="dxa"/>
          </w:tcPr>
          <w:p>
            <w:pPr>
              <w:pStyle w:val="TableParagraph"/>
              <w:rPr>
                <w:rFonts w:ascii="Times New Roman"/>
                <w:sz w:val="26"/>
              </w:rPr>
            </w:pPr>
          </w:p>
        </w:tc>
        <w:tc>
          <w:tcPr>
            <w:tcW w:w="2078" w:type="dxa"/>
          </w:tcPr>
          <w:p>
            <w:pPr>
              <w:pStyle w:val="TableParagraph"/>
              <w:rPr>
                <w:rFonts w:ascii="Times New Roman"/>
                <w:sz w:val="26"/>
              </w:rPr>
            </w:pPr>
          </w:p>
        </w:tc>
        <w:tc>
          <w:tcPr>
            <w:tcW w:w="1090" w:type="dxa"/>
          </w:tcPr>
          <w:p>
            <w:pPr>
              <w:pStyle w:val="TableParagraph"/>
              <w:spacing w:before="232" w:line="288" w:lineRule="exact"/>
              <w:ind w:right="49"/>
              <w:jc w:val="right"/>
              <w:rPr>
                <w:sz w:val="27"/>
              </w:rPr>
            </w:pPr>
            <w:r>
              <w:rPr>
                <w:sz w:val="27"/>
              </w:rPr>
              <w:t>0</w:t>
            </w:r>
          </w:p>
        </w:tc>
      </w:tr>
    </w:tbl>
    <w:p>
      <w:pPr>
        <w:spacing w:after="0" w:line="288" w:lineRule="exact"/>
        <w:jc w:val="right"/>
        <w:rPr>
          <w:sz w:val="27"/>
        </w:rPr>
        <w:sectPr>
          <w:headerReference w:type="default" r:id="rId12"/>
          <w:footerReference w:type="default" r:id="rId13"/>
          <w:pgSz w:w="17860" w:h="25260"/>
          <w:pgMar w:top="1200" w:right="1360" w:bottom="2020" w:left="1420" w:header="1005" w:footer="1822"/>
          <w:pgNumType w:start="4"/>
          <w:cols w:space="708"/>
        </w:sectPr>
      </w:pPr>
    </w:p>
    <w:p>
      <w:pPr>
        <w:pStyle w:val="BodyText"/>
        <w:rPr>
          <w:sz w:val="20"/>
        </w:rPr>
      </w:pPr>
      <w:r>
        <w:drawing>
          <wp:anchor distT="0" distB="0" distL="0" distR="0" simplePos="0" relativeHeight="251661312" behindDoc="1" locked="0" layoutInCell="1" allowOverlap="1">
            <wp:simplePos x="0" y="0"/>
            <wp:positionH relativeFrom="page">
              <wp:posOffset>1181100</wp:posOffset>
            </wp:positionH>
            <wp:positionV relativeFrom="page">
              <wp:posOffset>1181100</wp:posOffset>
            </wp:positionV>
            <wp:extent cx="9171813" cy="12870942"/>
            <wp:effectExtent l="0" t="0" r="0" b="0"/>
            <wp:wrapNone/>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png"/>
                    <pic:cNvPicPr/>
                  </pic:nvPicPr>
                  <pic:blipFill>
                    <a:blip xmlns:r="http://schemas.openxmlformats.org/officeDocument/2006/relationships" r:embed="rId9" cstate="print"/>
                    <a:stretch>
                      <a:fillRect/>
                    </a:stretch>
                  </pic:blipFill>
                  <pic:spPr>
                    <a:xfrm>
                      <a:off x="0" y="0"/>
                      <a:ext cx="9171813" cy="12870942"/>
                    </a:xfrm>
                    <a:prstGeom prst="rect">
                      <a:avLst/>
                    </a:prstGeom>
                  </pic:spPr>
                </pic:pic>
              </a:graphicData>
            </a:graphic>
          </wp:anchor>
        </w:drawing>
      </w:r>
    </w:p>
    <w:p>
      <w:pPr>
        <w:pStyle w:val="BodyText"/>
        <w:rPr>
          <w:sz w:val="20"/>
        </w:rPr>
      </w:pPr>
    </w:p>
    <w:p>
      <w:pPr>
        <w:pStyle w:val="BodyText"/>
        <w:rPr>
          <w:sz w:val="20"/>
        </w:rPr>
      </w:pPr>
    </w:p>
    <w:p>
      <w:pPr>
        <w:pStyle w:val="BodyText"/>
        <w:spacing w:before="10"/>
        <w:rPr>
          <w:sz w:val="18"/>
        </w:rPr>
      </w:pPr>
    </w:p>
    <w:tbl>
      <w:tblPr>
        <w:tblStyle w:val="TableNormal3"/>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40"/>
        <w:gridCol w:w="3540"/>
        <w:gridCol w:w="4432"/>
        <w:gridCol w:w="2060"/>
      </w:tblGrid>
      <w:tr>
        <w:tblPrEx>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4140" w:type="dxa"/>
          </w:tcPr>
          <w:p>
            <w:pPr>
              <w:pStyle w:val="TableParagraph"/>
              <w:spacing w:line="308" w:lineRule="exact"/>
              <w:ind w:left="50"/>
              <w:rPr>
                <w:sz w:val="27"/>
              </w:rPr>
            </w:pPr>
            <w:r>
              <w:rPr>
                <w:sz w:val="27"/>
              </w:rPr>
              <w:t>其他应付款</w:t>
            </w:r>
          </w:p>
        </w:tc>
        <w:tc>
          <w:tcPr>
            <w:tcW w:w="10032" w:type="dxa"/>
            <w:gridSpan w:val="3"/>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预提费用</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预计流动负债</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应付分保账款</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保险合同准备金</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代理买卖证券款</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代理承销证券款</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国际票证结算</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国内票证结算</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递延收益</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应付短期债券</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一年内到期的非流动负债</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其他流动负债</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流动负债合计</w:t>
            </w:r>
          </w:p>
        </w:tc>
        <w:tc>
          <w:tcPr>
            <w:tcW w:w="3540" w:type="dxa"/>
          </w:tcPr>
          <w:p>
            <w:pPr>
              <w:pStyle w:val="TableParagraph"/>
              <w:rPr>
                <w:rFonts w:ascii="Times New Roman"/>
                <w:sz w:val="26"/>
              </w:rPr>
            </w:pPr>
          </w:p>
        </w:tc>
        <w:tc>
          <w:tcPr>
            <w:tcW w:w="4432" w:type="dxa"/>
          </w:tcPr>
          <w:p>
            <w:pPr>
              <w:pStyle w:val="TableParagraph"/>
              <w:spacing w:before="232"/>
              <w:ind w:right="1872"/>
              <w:jc w:val="right"/>
              <w:rPr>
                <w:sz w:val="27"/>
              </w:rPr>
            </w:pPr>
            <w:r>
              <w:rPr>
                <w:sz w:val="27"/>
              </w:rPr>
              <w:t>.00</w:t>
            </w: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非流动负债</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长期借款</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应付债券</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长期应付款</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专项应付款</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预计非流动负债</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ind w:right="47"/>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递延所得税负债</w:t>
            </w:r>
          </w:p>
        </w:tc>
        <w:tc>
          <w:tcPr>
            <w:tcW w:w="3540" w:type="dxa"/>
          </w:tcPr>
          <w:p>
            <w:pPr>
              <w:pStyle w:val="TableParagraph"/>
              <w:spacing w:before="232"/>
              <w:ind w:left="1120"/>
              <w:rPr>
                <w:sz w:val="27"/>
              </w:rPr>
            </w:pPr>
            <w:r>
              <w:rPr>
                <w:sz w:val="27"/>
              </w:rPr>
              <w:t>.00</w:t>
            </w:r>
          </w:p>
        </w:tc>
        <w:tc>
          <w:tcPr>
            <w:tcW w:w="4432" w:type="dxa"/>
          </w:tcPr>
          <w:p>
            <w:pPr>
              <w:pStyle w:val="TableParagraph"/>
              <w:spacing w:before="232"/>
              <w:ind w:right="1872"/>
              <w:jc w:val="right"/>
              <w:rPr>
                <w:sz w:val="27"/>
              </w:rPr>
            </w:pPr>
            <w:r>
              <w:rPr>
                <w:sz w:val="27"/>
              </w:rPr>
              <w:t>.00</w:t>
            </w: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其他非流动负债</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09"/>
          <w:jc w:val="left"/>
        </w:trPr>
        <w:tc>
          <w:tcPr>
            <w:tcW w:w="4140" w:type="dxa"/>
          </w:tcPr>
          <w:p>
            <w:pPr>
              <w:pStyle w:val="TableParagraph"/>
              <w:spacing w:before="232"/>
              <w:ind w:left="50"/>
              <w:rPr>
                <w:sz w:val="27"/>
              </w:rPr>
            </w:pPr>
            <w:r>
              <w:rPr>
                <w:sz w:val="27"/>
              </w:rPr>
              <w:t>非流动负债合计</w:t>
            </w:r>
          </w:p>
        </w:tc>
        <w:tc>
          <w:tcPr>
            <w:tcW w:w="3540" w:type="dxa"/>
          </w:tcPr>
          <w:p>
            <w:pPr>
              <w:pStyle w:val="TableParagraph"/>
              <w:spacing w:before="232"/>
              <w:ind w:left="1120"/>
              <w:rPr>
                <w:sz w:val="27"/>
              </w:rPr>
            </w:pPr>
            <w:r>
              <w:rPr>
                <w:sz w:val="27"/>
              </w:rPr>
              <w:t>.00</w:t>
            </w:r>
          </w:p>
        </w:tc>
        <w:tc>
          <w:tcPr>
            <w:tcW w:w="4432" w:type="dxa"/>
          </w:tcPr>
          <w:p>
            <w:pPr>
              <w:pStyle w:val="TableParagraph"/>
              <w:spacing w:before="232"/>
              <w:ind w:right="1872"/>
              <w:jc w:val="right"/>
              <w:rPr>
                <w:sz w:val="27"/>
              </w:rPr>
            </w:pPr>
            <w:r>
              <w:rPr>
                <w:sz w:val="27"/>
              </w:rPr>
              <w:t>.00</w:t>
            </w: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140" w:type="dxa"/>
          </w:tcPr>
          <w:p>
            <w:pPr>
              <w:pStyle w:val="TableParagraph"/>
              <w:spacing w:before="232"/>
              <w:ind w:left="50"/>
              <w:rPr>
                <w:sz w:val="27"/>
              </w:rPr>
            </w:pPr>
            <w:r>
              <w:rPr>
                <w:sz w:val="27"/>
              </w:rPr>
              <w:t>负债合计</w:t>
            </w:r>
          </w:p>
        </w:tc>
        <w:tc>
          <w:tcPr>
            <w:tcW w:w="3540" w:type="dxa"/>
          </w:tcPr>
          <w:p>
            <w:pPr>
              <w:pStyle w:val="TableParagraph"/>
              <w:rPr>
                <w:rFonts w:ascii="Times New Roman"/>
                <w:sz w:val="26"/>
              </w:rPr>
            </w:pPr>
          </w:p>
        </w:tc>
        <w:tc>
          <w:tcPr>
            <w:tcW w:w="4432" w:type="dxa"/>
          </w:tcPr>
          <w:p>
            <w:pPr>
              <w:pStyle w:val="TableParagraph"/>
              <w:spacing w:before="232"/>
              <w:ind w:right="1874"/>
              <w:jc w:val="right"/>
              <w:rPr>
                <w:sz w:val="27"/>
              </w:rPr>
            </w:pPr>
            <w:r>
              <w:rPr>
                <w:sz w:val="27"/>
              </w:rPr>
              <w:t>. 00</w:t>
            </w:r>
          </w:p>
        </w:tc>
        <w:tc>
          <w:tcPr>
            <w:tcW w:w="2060"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540"/>
          <w:jc w:val="left"/>
        </w:trPr>
        <w:tc>
          <w:tcPr>
            <w:tcW w:w="4140" w:type="dxa"/>
          </w:tcPr>
          <w:p>
            <w:pPr>
              <w:pStyle w:val="TableParagraph"/>
              <w:spacing w:before="232" w:line="288" w:lineRule="exact"/>
              <w:ind w:left="50"/>
              <w:rPr>
                <w:sz w:val="27"/>
              </w:rPr>
            </w:pPr>
            <w:r>
              <w:rPr>
                <w:sz w:val="27"/>
              </w:rPr>
              <w:t>所有者权益</w:t>
            </w:r>
          </w:p>
        </w:tc>
        <w:tc>
          <w:tcPr>
            <w:tcW w:w="3540" w:type="dxa"/>
          </w:tcPr>
          <w:p>
            <w:pPr>
              <w:pStyle w:val="TableParagraph"/>
              <w:rPr>
                <w:rFonts w:ascii="Times New Roman"/>
                <w:sz w:val="26"/>
              </w:rPr>
            </w:pPr>
          </w:p>
        </w:tc>
        <w:tc>
          <w:tcPr>
            <w:tcW w:w="4432" w:type="dxa"/>
          </w:tcPr>
          <w:p>
            <w:pPr>
              <w:pStyle w:val="TableParagraph"/>
              <w:rPr>
                <w:rFonts w:ascii="Times New Roman"/>
                <w:sz w:val="26"/>
              </w:rPr>
            </w:pPr>
          </w:p>
        </w:tc>
        <w:tc>
          <w:tcPr>
            <w:tcW w:w="2060" w:type="dxa"/>
          </w:tcPr>
          <w:p>
            <w:pPr>
              <w:pStyle w:val="TableParagraph"/>
              <w:spacing w:before="232" w:line="288" w:lineRule="exact"/>
              <w:ind w:right="47"/>
              <w:jc w:val="right"/>
              <w:rPr>
                <w:sz w:val="27"/>
              </w:rPr>
            </w:pPr>
            <w:r>
              <w:rPr>
                <w:sz w:val="27"/>
              </w:rPr>
              <w:t>0</w:t>
            </w:r>
          </w:p>
        </w:tc>
      </w:tr>
    </w:tbl>
    <w:p>
      <w:pPr>
        <w:spacing w:after="0" w:line="288" w:lineRule="exact"/>
        <w:jc w:val="right"/>
        <w:rPr>
          <w:sz w:val="27"/>
        </w:rPr>
        <w:sectPr>
          <w:headerReference w:type="default" r:id="rId14"/>
          <w:footerReference w:type="default" r:id="rId15"/>
          <w:pgSz w:w="17860" w:h="25260"/>
          <w:pgMar w:top="1200" w:right="1360" w:bottom="2000" w:left="1420" w:header="1005" w:footer="1818"/>
          <w:pgNumType w:start="5"/>
          <w:cols w:space="708"/>
        </w:sectPr>
      </w:pPr>
    </w:p>
    <w:p>
      <w:pPr>
        <w:pStyle w:val="BodyText"/>
        <w:rPr>
          <w:sz w:val="20"/>
        </w:rPr>
      </w:pPr>
    </w:p>
    <w:p>
      <w:pPr>
        <w:pStyle w:val="BodyText"/>
        <w:rPr>
          <w:sz w:val="20"/>
        </w:rPr>
      </w:pPr>
    </w:p>
    <w:p>
      <w:pPr>
        <w:pStyle w:val="BodyText"/>
        <w:rPr>
          <w:sz w:val="20"/>
        </w:rPr>
      </w:pPr>
    </w:p>
    <w:p>
      <w:pPr>
        <w:pStyle w:val="BodyText"/>
        <w:spacing w:before="10"/>
        <w:rPr>
          <w:sz w:val="18"/>
        </w:rPr>
      </w:pPr>
    </w:p>
    <w:tbl>
      <w:tblPr>
        <w:tblStyle w:val="TableNormal4"/>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75"/>
        <w:gridCol w:w="2163"/>
        <w:gridCol w:w="2421"/>
        <w:gridCol w:w="2146"/>
        <w:gridCol w:w="2077"/>
        <w:gridCol w:w="1089"/>
      </w:tblGrid>
      <w:tr>
        <w:tblPrEx>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4275" w:type="dxa"/>
          </w:tcPr>
          <w:p>
            <w:pPr>
              <w:pStyle w:val="TableParagraph"/>
              <w:spacing w:line="308" w:lineRule="exact"/>
              <w:ind w:left="50"/>
              <w:rPr>
                <w:sz w:val="27"/>
              </w:rPr>
            </w:pPr>
            <w:r>
              <w:rPr>
                <w:sz w:val="27"/>
              </w:rPr>
              <w:t>实收资本(或股本)</w:t>
            </w:r>
          </w:p>
        </w:tc>
        <w:tc>
          <w:tcPr>
            <w:tcW w:w="9896" w:type="dxa"/>
            <w:gridSpan w:val="5"/>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275" w:type="dxa"/>
          </w:tcPr>
          <w:p>
            <w:pPr>
              <w:pStyle w:val="TableParagraph"/>
              <w:spacing w:before="232"/>
              <w:ind w:left="50"/>
              <w:rPr>
                <w:sz w:val="27"/>
              </w:rPr>
            </w:pPr>
            <w:r>
              <w:rPr>
                <w:sz w:val="27"/>
              </w:rPr>
              <w:t>资本公积</w:t>
            </w:r>
          </w:p>
        </w:tc>
        <w:tc>
          <w:tcPr>
            <w:tcW w:w="2163" w:type="dxa"/>
          </w:tcPr>
          <w:p>
            <w:pPr>
              <w:pStyle w:val="TableParagraph"/>
              <w:rPr>
                <w:rFonts w:ascii="Times New Roman"/>
                <w:sz w:val="28"/>
              </w:rPr>
            </w:pPr>
          </w:p>
        </w:tc>
        <w:tc>
          <w:tcPr>
            <w:tcW w:w="2421" w:type="dxa"/>
          </w:tcPr>
          <w:p>
            <w:pPr>
              <w:pStyle w:val="TableParagraph"/>
              <w:rPr>
                <w:rFonts w:ascii="Times New Roman"/>
                <w:sz w:val="28"/>
              </w:rPr>
            </w:pPr>
          </w:p>
        </w:tc>
        <w:tc>
          <w:tcPr>
            <w:tcW w:w="2146" w:type="dxa"/>
          </w:tcPr>
          <w:p>
            <w:pPr>
              <w:pStyle w:val="TableParagraph"/>
              <w:rPr>
                <w:rFonts w:ascii="Times New Roman"/>
                <w:sz w:val="28"/>
              </w:rPr>
            </w:pPr>
          </w:p>
        </w:tc>
        <w:tc>
          <w:tcPr>
            <w:tcW w:w="2077" w:type="dxa"/>
          </w:tcPr>
          <w:p>
            <w:pPr>
              <w:pStyle w:val="TableParagraph"/>
              <w:spacing w:before="232"/>
              <w:ind w:left="750" w:right="882"/>
              <w:jc w:val="center"/>
              <w:rPr>
                <w:sz w:val="27"/>
              </w:rPr>
            </w:pPr>
            <w:r>
              <w:rPr>
                <w:sz w:val="27"/>
              </w:rPr>
              <w:t>-0.</w:t>
            </w:r>
          </w:p>
        </w:tc>
        <w:tc>
          <w:tcPr>
            <w:tcW w:w="1089"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275" w:type="dxa"/>
          </w:tcPr>
          <w:p>
            <w:pPr>
              <w:pStyle w:val="TableParagraph"/>
              <w:spacing w:before="232"/>
              <w:ind w:left="50"/>
              <w:rPr>
                <w:sz w:val="27"/>
              </w:rPr>
            </w:pPr>
            <w:r>
              <w:rPr>
                <w:sz w:val="27"/>
              </w:rPr>
              <w:t>库存股</w:t>
            </w:r>
          </w:p>
        </w:tc>
        <w:tc>
          <w:tcPr>
            <w:tcW w:w="2163" w:type="dxa"/>
          </w:tcPr>
          <w:p>
            <w:pPr>
              <w:pStyle w:val="TableParagraph"/>
              <w:rPr>
                <w:rFonts w:ascii="Times New Roman"/>
                <w:sz w:val="28"/>
              </w:rPr>
            </w:pPr>
          </w:p>
        </w:tc>
        <w:tc>
          <w:tcPr>
            <w:tcW w:w="2421" w:type="dxa"/>
          </w:tcPr>
          <w:p>
            <w:pPr>
              <w:pStyle w:val="TableParagraph"/>
              <w:rPr>
                <w:rFonts w:ascii="Times New Roman"/>
                <w:sz w:val="28"/>
              </w:rPr>
            </w:pPr>
          </w:p>
        </w:tc>
        <w:tc>
          <w:tcPr>
            <w:tcW w:w="2146" w:type="dxa"/>
          </w:tcPr>
          <w:p>
            <w:pPr>
              <w:pStyle w:val="TableParagraph"/>
              <w:rPr>
                <w:rFonts w:ascii="Times New Roman"/>
                <w:sz w:val="28"/>
              </w:rPr>
            </w:pPr>
          </w:p>
        </w:tc>
        <w:tc>
          <w:tcPr>
            <w:tcW w:w="2077" w:type="dxa"/>
          </w:tcPr>
          <w:p>
            <w:pPr>
              <w:pStyle w:val="TableParagraph"/>
              <w:rPr>
                <w:rFonts w:ascii="Times New Roman"/>
                <w:sz w:val="28"/>
              </w:rPr>
            </w:pPr>
          </w:p>
        </w:tc>
        <w:tc>
          <w:tcPr>
            <w:tcW w:w="1089" w:type="dxa"/>
          </w:tcPr>
          <w:p>
            <w:pPr>
              <w:pStyle w:val="TableParagraph"/>
              <w:spacing w:before="232"/>
              <w:ind w:right="46"/>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275" w:type="dxa"/>
          </w:tcPr>
          <w:p>
            <w:pPr>
              <w:pStyle w:val="TableParagraph"/>
              <w:spacing w:before="232"/>
              <w:ind w:left="50"/>
              <w:rPr>
                <w:sz w:val="27"/>
              </w:rPr>
            </w:pPr>
            <w:r>
              <w:rPr>
                <w:sz w:val="27"/>
              </w:rPr>
              <w:t>专项储备</w:t>
            </w:r>
          </w:p>
        </w:tc>
        <w:tc>
          <w:tcPr>
            <w:tcW w:w="2163" w:type="dxa"/>
          </w:tcPr>
          <w:p>
            <w:pPr>
              <w:pStyle w:val="TableParagraph"/>
              <w:rPr>
                <w:rFonts w:ascii="Times New Roman"/>
                <w:sz w:val="28"/>
              </w:rPr>
            </w:pPr>
          </w:p>
        </w:tc>
        <w:tc>
          <w:tcPr>
            <w:tcW w:w="2421" w:type="dxa"/>
          </w:tcPr>
          <w:p>
            <w:pPr>
              <w:pStyle w:val="TableParagraph"/>
              <w:rPr>
                <w:rFonts w:ascii="Times New Roman"/>
                <w:sz w:val="28"/>
              </w:rPr>
            </w:pPr>
          </w:p>
        </w:tc>
        <w:tc>
          <w:tcPr>
            <w:tcW w:w="2146" w:type="dxa"/>
          </w:tcPr>
          <w:p>
            <w:pPr>
              <w:pStyle w:val="TableParagraph"/>
              <w:rPr>
                <w:rFonts w:ascii="Times New Roman"/>
                <w:sz w:val="28"/>
              </w:rPr>
            </w:pPr>
          </w:p>
        </w:tc>
        <w:tc>
          <w:tcPr>
            <w:tcW w:w="2077" w:type="dxa"/>
          </w:tcPr>
          <w:p>
            <w:pPr>
              <w:pStyle w:val="TableParagraph"/>
              <w:rPr>
                <w:rFonts w:ascii="Times New Roman"/>
                <w:sz w:val="28"/>
              </w:rPr>
            </w:pPr>
          </w:p>
        </w:tc>
        <w:tc>
          <w:tcPr>
            <w:tcW w:w="1089" w:type="dxa"/>
          </w:tcPr>
          <w:p>
            <w:pPr>
              <w:pStyle w:val="TableParagraph"/>
              <w:spacing w:before="232"/>
              <w:ind w:right="46"/>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275" w:type="dxa"/>
          </w:tcPr>
          <w:p>
            <w:pPr>
              <w:pStyle w:val="TableParagraph"/>
              <w:spacing w:before="232"/>
              <w:ind w:left="50"/>
              <w:rPr>
                <w:sz w:val="27"/>
              </w:rPr>
            </w:pPr>
            <w:r>
              <w:rPr>
                <w:sz w:val="27"/>
              </w:rPr>
              <w:t>盈余公积</w:t>
            </w:r>
          </w:p>
        </w:tc>
        <w:tc>
          <w:tcPr>
            <w:tcW w:w="2163" w:type="dxa"/>
          </w:tcPr>
          <w:p>
            <w:pPr>
              <w:pStyle w:val="TableParagraph"/>
              <w:rPr>
                <w:rFonts w:ascii="Times New Roman"/>
                <w:sz w:val="28"/>
              </w:rPr>
            </w:pPr>
          </w:p>
        </w:tc>
        <w:tc>
          <w:tcPr>
            <w:tcW w:w="2421" w:type="dxa"/>
          </w:tcPr>
          <w:p>
            <w:pPr>
              <w:pStyle w:val="TableParagraph"/>
              <w:rPr>
                <w:rFonts w:ascii="Times New Roman"/>
                <w:sz w:val="28"/>
              </w:rPr>
            </w:pPr>
          </w:p>
        </w:tc>
        <w:tc>
          <w:tcPr>
            <w:tcW w:w="2146" w:type="dxa"/>
          </w:tcPr>
          <w:p>
            <w:pPr>
              <w:pStyle w:val="TableParagraph"/>
              <w:rPr>
                <w:rFonts w:ascii="Times New Roman"/>
                <w:sz w:val="28"/>
              </w:rPr>
            </w:pPr>
          </w:p>
        </w:tc>
        <w:tc>
          <w:tcPr>
            <w:tcW w:w="2077" w:type="dxa"/>
          </w:tcPr>
          <w:p>
            <w:pPr>
              <w:pStyle w:val="TableParagraph"/>
              <w:rPr>
                <w:rFonts w:ascii="Times New Roman"/>
                <w:sz w:val="28"/>
              </w:rPr>
            </w:pPr>
          </w:p>
        </w:tc>
        <w:tc>
          <w:tcPr>
            <w:tcW w:w="1089"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275" w:type="dxa"/>
          </w:tcPr>
          <w:p>
            <w:pPr>
              <w:pStyle w:val="TableParagraph"/>
              <w:spacing w:before="232"/>
              <w:ind w:left="50"/>
              <w:rPr>
                <w:sz w:val="27"/>
              </w:rPr>
            </w:pPr>
            <w:r>
              <w:rPr>
                <w:sz w:val="27"/>
              </w:rPr>
              <w:t>一般风险准备</w:t>
            </w:r>
          </w:p>
        </w:tc>
        <w:tc>
          <w:tcPr>
            <w:tcW w:w="2163" w:type="dxa"/>
          </w:tcPr>
          <w:p>
            <w:pPr>
              <w:pStyle w:val="TableParagraph"/>
              <w:rPr>
                <w:rFonts w:ascii="Times New Roman"/>
                <w:sz w:val="28"/>
              </w:rPr>
            </w:pPr>
          </w:p>
        </w:tc>
        <w:tc>
          <w:tcPr>
            <w:tcW w:w="2421" w:type="dxa"/>
          </w:tcPr>
          <w:p>
            <w:pPr>
              <w:pStyle w:val="TableParagraph"/>
              <w:rPr>
                <w:rFonts w:ascii="Times New Roman"/>
                <w:sz w:val="28"/>
              </w:rPr>
            </w:pPr>
          </w:p>
        </w:tc>
        <w:tc>
          <w:tcPr>
            <w:tcW w:w="2146" w:type="dxa"/>
          </w:tcPr>
          <w:p>
            <w:pPr>
              <w:pStyle w:val="TableParagraph"/>
              <w:rPr>
                <w:rFonts w:ascii="Times New Roman"/>
                <w:sz w:val="28"/>
              </w:rPr>
            </w:pPr>
          </w:p>
        </w:tc>
        <w:tc>
          <w:tcPr>
            <w:tcW w:w="2077" w:type="dxa"/>
          </w:tcPr>
          <w:p>
            <w:pPr>
              <w:pStyle w:val="TableParagraph"/>
              <w:rPr>
                <w:rFonts w:ascii="Times New Roman"/>
                <w:sz w:val="28"/>
              </w:rPr>
            </w:pPr>
          </w:p>
        </w:tc>
        <w:tc>
          <w:tcPr>
            <w:tcW w:w="1089"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275" w:type="dxa"/>
          </w:tcPr>
          <w:p>
            <w:pPr>
              <w:pStyle w:val="TableParagraph"/>
              <w:spacing w:before="232"/>
              <w:ind w:left="50"/>
              <w:rPr>
                <w:sz w:val="27"/>
              </w:rPr>
            </w:pPr>
            <w:r>
              <w:rPr>
                <w:sz w:val="27"/>
              </w:rPr>
              <w:t>未确定的投资损失</w:t>
            </w:r>
          </w:p>
        </w:tc>
        <w:tc>
          <w:tcPr>
            <w:tcW w:w="2163" w:type="dxa"/>
          </w:tcPr>
          <w:p>
            <w:pPr>
              <w:pStyle w:val="TableParagraph"/>
              <w:rPr>
                <w:rFonts w:ascii="Times New Roman"/>
                <w:sz w:val="28"/>
              </w:rPr>
            </w:pPr>
          </w:p>
        </w:tc>
        <w:tc>
          <w:tcPr>
            <w:tcW w:w="2421" w:type="dxa"/>
          </w:tcPr>
          <w:p>
            <w:pPr>
              <w:pStyle w:val="TableParagraph"/>
              <w:rPr>
                <w:rFonts w:ascii="Times New Roman"/>
                <w:sz w:val="28"/>
              </w:rPr>
            </w:pPr>
          </w:p>
        </w:tc>
        <w:tc>
          <w:tcPr>
            <w:tcW w:w="2146" w:type="dxa"/>
          </w:tcPr>
          <w:p>
            <w:pPr>
              <w:pStyle w:val="TableParagraph"/>
              <w:rPr>
                <w:rFonts w:ascii="Times New Roman"/>
                <w:sz w:val="28"/>
              </w:rPr>
            </w:pPr>
          </w:p>
        </w:tc>
        <w:tc>
          <w:tcPr>
            <w:tcW w:w="2077" w:type="dxa"/>
          </w:tcPr>
          <w:p>
            <w:pPr>
              <w:pStyle w:val="TableParagraph"/>
              <w:rPr>
                <w:rFonts w:ascii="Times New Roman"/>
                <w:sz w:val="28"/>
              </w:rPr>
            </w:pPr>
          </w:p>
        </w:tc>
        <w:tc>
          <w:tcPr>
            <w:tcW w:w="1089" w:type="dxa"/>
          </w:tcPr>
          <w:p>
            <w:pPr>
              <w:pStyle w:val="TableParagraph"/>
              <w:spacing w:before="232"/>
              <w:ind w:right="46"/>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275" w:type="dxa"/>
          </w:tcPr>
          <w:p>
            <w:pPr>
              <w:pStyle w:val="TableParagraph"/>
              <w:spacing w:before="232"/>
              <w:ind w:left="50"/>
              <w:rPr>
                <w:sz w:val="27"/>
              </w:rPr>
            </w:pPr>
            <w:r>
              <w:rPr>
                <w:sz w:val="27"/>
              </w:rPr>
              <w:t>未分配利润</w:t>
            </w:r>
          </w:p>
        </w:tc>
        <w:tc>
          <w:tcPr>
            <w:tcW w:w="2163" w:type="dxa"/>
          </w:tcPr>
          <w:p>
            <w:pPr>
              <w:pStyle w:val="TableParagraph"/>
              <w:rPr>
                <w:rFonts w:ascii="Times New Roman"/>
                <w:sz w:val="28"/>
              </w:rPr>
            </w:pPr>
          </w:p>
        </w:tc>
        <w:tc>
          <w:tcPr>
            <w:tcW w:w="2421" w:type="dxa"/>
          </w:tcPr>
          <w:p>
            <w:pPr>
              <w:pStyle w:val="TableParagraph"/>
              <w:rPr>
                <w:rFonts w:ascii="Times New Roman"/>
                <w:sz w:val="28"/>
              </w:rPr>
            </w:pPr>
          </w:p>
        </w:tc>
        <w:tc>
          <w:tcPr>
            <w:tcW w:w="2146" w:type="dxa"/>
          </w:tcPr>
          <w:p>
            <w:pPr>
              <w:pStyle w:val="TableParagraph"/>
              <w:rPr>
                <w:rFonts w:ascii="Times New Roman"/>
                <w:sz w:val="28"/>
              </w:rPr>
            </w:pPr>
          </w:p>
        </w:tc>
        <w:tc>
          <w:tcPr>
            <w:tcW w:w="2077" w:type="dxa"/>
          </w:tcPr>
          <w:p>
            <w:pPr>
              <w:pStyle w:val="TableParagraph"/>
              <w:rPr>
                <w:rFonts w:ascii="Times New Roman"/>
                <w:sz w:val="28"/>
              </w:rPr>
            </w:pPr>
          </w:p>
        </w:tc>
        <w:tc>
          <w:tcPr>
            <w:tcW w:w="1089"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275" w:type="dxa"/>
          </w:tcPr>
          <w:p>
            <w:pPr>
              <w:pStyle w:val="TableParagraph"/>
              <w:spacing w:before="232"/>
              <w:ind w:left="50"/>
              <w:rPr>
                <w:sz w:val="27"/>
              </w:rPr>
            </w:pPr>
            <w:r>
              <w:rPr>
                <w:sz w:val="27"/>
              </w:rPr>
              <w:t>拟分配现金股利</w:t>
            </w:r>
          </w:p>
        </w:tc>
        <w:tc>
          <w:tcPr>
            <w:tcW w:w="2163" w:type="dxa"/>
          </w:tcPr>
          <w:p>
            <w:pPr>
              <w:pStyle w:val="TableParagraph"/>
              <w:rPr>
                <w:rFonts w:ascii="Times New Roman"/>
                <w:sz w:val="28"/>
              </w:rPr>
            </w:pPr>
          </w:p>
        </w:tc>
        <w:tc>
          <w:tcPr>
            <w:tcW w:w="2421" w:type="dxa"/>
          </w:tcPr>
          <w:p>
            <w:pPr>
              <w:pStyle w:val="TableParagraph"/>
              <w:rPr>
                <w:rFonts w:ascii="Times New Roman"/>
                <w:sz w:val="28"/>
              </w:rPr>
            </w:pPr>
          </w:p>
        </w:tc>
        <w:tc>
          <w:tcPr>
            <w:tcW w:w="2146" w:type="dxa"/>
          </w:tcPr>
          <w:p>
            <w:pPr>
              <w:pStyle w:val="TableParagraph"/>
              <w:rPr>
                <w:rFonts w:ascii="Times New Roman"/>
                <w:sz w:val="28"/>
              </w:rPr>
            </w:pPr>
          </w:p>
        </w:tc>
        <w:tc>
          <w:tcPr>
            <w:tcW w:w="2077" w:type="dxa"/>
          </w:tcPr>
          <w:p>
            <w:pPr>
              <w:pStyle w:val="TableParagraph"/>
              <w:rPr>
                <w:rFonts w:ascii="Times New Roman"/>
                <w:sz w:val="28"/>
              </w:rPr>
            </w:pPr>
          </w:p>
        </w:tc>
        <w:tc>
          <w:tcPr>
            <w:tcW w:w="1089" w:type="dxa"/>
          </w:tcPr>
          <w:p>
            <w:pPr>
              <w:pStyle w:val="TableParagraph"/>
              <w:spacing w:before="232"/>
              <w:ind w:right="46"/>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275" w:type="dxa"/>
          </w:tcPr>
          <w:p>
            <w:pPr>
              <w:pStyle w:val="TableParagraph"/>
              <w:spacing w:before="232"/>
              <w:ind w:left="50"/>
              <w:rPr>
                <w:sz w:val="27"/>
              </w:rPr>
            </w:pPr>
            <w:r>
              <w:rPr>
                <w:sz w:val="27"/>
              </w:rPr>
              <w:t>外币报表折算差额</w:t>
            </w:r>
          </w:p>
        </w:tc>
        <w:tc>
          <w:tcPr>
            <w:tcW w:w="2163" w:type="dxa"/>
          </w:tcPr>
          <w:p>
            <w:pPr>
              <w:pStyle w:val="TableParagraph"/>
              <w:spacing w:before="232"/>
              <w:ind w:right="772"/>
              <w:jc w:val="right"/>
              <w:rPr>
                <w:sz w:val="27"/>
              </w:rPr>
            </w:pPr>
            <w:r>
              <w:rPr>
                <w:sz w:val="27"/>
              </w:rPr>
              <w:t>.00</w:t>
            </w:r>
          </w:p>
        </w:tc>
        <w:tc>
          <w:tcPr>
            <w:tcW w:w="2421" w:type="dxa"/>
          </w:tcPr>
          <w:p>
            <w:pPr>
              <w:pStyle w:val="TableParagraph"/>
              <w:spacing w:before="232"/>
              <w:ind w:left="773"/>
              <w:rPr>
                <w:sz w:val="27"/>
              </w:rPr>
            </w:pPr>
            <w:r>
              <w:rPr>
                <w:sz w:val="27"/>
              </w:rPr>
              <w:t>(.00)</w:t>
            </w:r>
          </w:p>
        </w:tc>
        <w:tc>
          <w:tcPr>
            <w:tcW w:w="2146" w:type="dxa"/>
          </w:tcPr>
          <w:p>
            <w:pPr>
              <w:pStyle w:val="TableParagraph"/>
              <w:spacing w:before="232"/>
              <w:ind w:left="953" w:right="747"/>
              <w:jc w:val="center"/>
              <w:rPr>
                <w:sz w:val="27"/>
              </w:rPr>
            </w:pPr>
            <w:r>
              <w:rPr>
                <w:sz w:val="27"/>
              </w:rPr>
              <w:t>.00</w:t>
            </w:r>
          </w:p>
        </w:tc>
        <w:tc>
          <w:tcPr>
            <w:tcW w:w="2077" w:type="dxa"/>
          </w:tcPr>
          <w:p>
            <w:pPr>
              <w:pStyle w:val="TableParagraph"/>
              <w:rPr>
                <w:rFonts w:ascii="Times New Roman"/>
                <w:sz w:val="28"/>
              </w:rPr>
            </w:pPr>
          </w:p>
        </w:tc>
        <w:tc>
          <w:tcPr>
            <w:tcW w:w="1089"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275" w:type="dxa"/>
          </w:tcPr>
          <w:p>
            <w:pPr>
              <w:pStyle w:val="TableParagraph"/>
              <w:spacing w:before="232"/>
              <w:ind w:left="50"/>
              <w:rPr>
                <w:sz w:val="27"/>
              </w:rPr>
            </w:pPr>
            <w:r>
              <w:rPr>
                <w:sz w:val="27"/>
              </w:rPr>
              <w:t>归属于母公司股东权益合计</w:t>
            </w:r>
          </w:p>
        </w:tc>
        <w:tc>
          <w:tcPr>
            <w:tcW w:w="2163" w:type="dxa"/>
          </w:tcPr>
          <w:p>
            <w:pPr>
              <w:pStyle w:val="TableParagraph"/>
              <w:rPr>
                <w:rFonts w:ascii="Times New Roman"/>
                <w:sz w:val="28"/>
              </w:rPr>
            </w:pPr>
          </w:p>
        </w:tc>
        <w:tc>
          <w:tcPr>
            <w:tcW w:w="2421" w:type="dxa"/>
          </w:tcPr>
          <w:p>
            <w:pPr>
              <w:pStyle w:val="TableParagraph"/>
              <w:rPr>
                <w:rFonts w:ascii="Times New Roman"/>
                <w:sz w:val="28"/>
              </w:rPr>
            </w:pPr>
          </w:p>
        </w:tc>
        <w:tc>
          <w:tcPr>
            <w:tcW w:w="2146" w:type="dxa"/>
          </w:tcPr>
          <w:p>
            <w:pPr>
              <w:pStyle w:val="TableParagraph"/>
              <w:rPr>
                <w:rFonts w:ascii="Times New Roman"/>
                <w:sz w:val="28"/>
              </w:rPr>
            </w:pPr>
          </w:p>
        </w:tc>
        <w:tc>
          <w:tcPr>
            <w:tcW w:w="2077" w:type="dxa"/>
          </w:tcPr>
          <w:p>
            <w:pPr>
              <w:pStyle w:val="TableParagraph"/>
              <w:rPr>
                <w:rFonts w:ascii="Times New Roman"/>
                <w:sz w:val="28"/>
              </w:rPr>
            </w:pPr>
          </w:p>
        </w:tc>
        <w:tc>
          <w:tcPr>
            <w:tcW w:w="1089"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275" w:type="dxa"/>
          </w:tcPr>
          <w:p>
            <w:pPr>
              <w:pStyle w:val="TableParagraph"/>
              <w:spacing w:before="232"/>
              <w:ind w:left="50"/>
              <w:rPr>
                <w:sz w:val="27"/>
              </w:rPr>
            </w:pPr>
            <w:r>
              <w:rPr>
                <w:sz w:val="27"/>
              </w:rPr>
              <w:t>少数股东权益</w:t>
            </w:r>
          </w:p>
        </w:tc>
        <w:tc>
          <w:tcPr>
            <w:tcW w:w="2163" w:type="dxa"/>
          </w:tcPr>
          <w:p>
            <w:pPr>
              <w:pStyle w:val="TableParagraph"/>
              <w:rPr>
                <w:rFonts w:ascii="Times New Roman"/>
                <w:sz w:val="28"/>
              </w:rPr>
            </w:pPr>
          </w:p>
        </w:tc>
        <w:tc>
          <w:tcPr>
            <w:tcW w:w="2421" w:type="dxa"/>
          </w:tcPr>
          <w:p>
            <w:pPr>
              <w:pStyle w:val="TableParagraph"/>
              <w:rPr>
                <w:rFonts w:ascii="Times New Roman"/>
                <w:sz w:val="28"/>
              </w:rPr>
            </w:pPr>
          </w:p>
        </w:tc>
        <w:tc>
          <w:tcPr>
            <w:tcW w:w="2146" w:type="dxa"/>
          </w:tcPr>
          <w:p>
            <w:pPr>
              <w:pStyle w:val="TableParagraph"/>
              <w:rPr>
                <w:rFonts w:ascii="Times New Roman"/>
                <w:sz w:val="28"/>
              </w:rPr>
            </w:pPr>
          </w:p>
        </w:tc>
        <w:tc>
          <w:tcPr>
            <w:tcW w:w="2077" w:type="dxa"/>
          </w:tcPr>
          <w:p>
            <w:pPr>
              <w:pStyle w:val="TableParagraph"/>
              <w:rPr>
                <w:rFonts w:ascii="Times New Roman"/>
                <w:sz w:val="28"/>
              </w:rPr>
            </w:pPr>
          </w:p>
        </w:tc>
        <w:tc>
          <w:tcPr>
            <w:tcW w:w="1089"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1591"/>
          <w:jc w:val="left"/>
        </w:trPr>
        <w:tc>
          <w:tcPr>
            <w:tcW w:w="4275" w:type="dxa"/>
          </w:tcPr>
          <w:p>
            <w:pPr>
              <w:pStyle w:val="TableParagraph"/>
              <w:spacing w:before="232"/>
              <w:ind w:left="50"/>
              <w:rPr>
                <w:sz w:val="27"/>
              </w:rPr>
            </w:pPr>
            <w:r>
              <w:rPr>
                <w:sz w:val="27"/>
              </w:rPr>
              <w:t>所有者权益(或股东权益)合</w:t>
            </w:r>
          </w:p>
          <w:p>
            <w:pPr>
              <w:pStyle w:val="TableParagraph"/>
              <w:spacing w:before="12"/>
              <w:rPr>
                <w:sz w:val="33"/>
              </w:rPr>
            </w:pPr>
          </w:p>
          <w:p>
            <w:pPr>
              <w:pStyle w:val="TableParagraph"/>
              <w:ind w:left="50"/>
              <w:rPr>
                <w:sz w:val="27"/>
              </w:rPr>
            </w:pPr>
            <w:r>
              <w:rPr>
                <w:sz w:val="27"/>
              </w:rPr>
              <w:t>计</w:t>
            </w:r>
          </w:p>
        </w:tc>
        <w:tc>
          <w:tcPr>
            <w:tcW w:w="2163" w:type="dxa"/>
          </w:tcPr>
          <w:p>
            <w:pPr>
              <w:pStyle w:val="TableParagraph"/>
              <w:rPr>
                <w:sz w:val="26"/>
              </w:rPr>
            </w:pPr>
          </w:p>
          <w:p>
            <w:pPr>
              <w:pStyle w:val="TableParagraph"/>
              <w:spacing w:before="9"/>
              <w:rPr>
                <w:sz w:val="22"/>
              </w:rPr>
            </w:pPr>
          </w:p>
          <w:p>
            <w:pPr>
              <w:pStyle w:val="TableParagraph"/>
              <w:ind w:right="772"/>
              <w:jc w:val="right"/>
              <w:rPr>
                <w:sz w:val="27"/>
              </w:rPr>
            </w:pPr>
            <w:r>
              <w:rPr>
                <w:sz w:val="27"/>
              </w:rPr>
              <w:t>.00</w:t>
            </w:r>
          </w:p>
        </w:tc>
        <w:tc>
          <w:tcPr>
            <w:tcW w:w="2421" w:type="dxa"/>
          </w:tcPr>
          <w:p>
            <w:pPr>
              <w:pStyle w:val="TableParagraph"/>
              <w:rPr>
                <w:rFonts w:ascii="Times New Roman"/>
                <w:sz w:val="28"/>
              </w:rPr>
            </w:pPr>
          </w:p>
        </w:tc>
        <w:tc>
          <w:tcPr>
            <w:tcW w:w="2146" w:type="dxa"/>
          </w:tcPr>
          <w:p>
            <w:pPr>
              <w:pStyle w:val="TableParagraph"/>
              <w:rPr>
                <w:rFonts w:ascii="Times New Roman"/>
                <w:sz w:val="28"/>
              </w:rPr>
            </w:pPr>
          </w:p>
        </w:tc>
        <w:tc>
          <w:tcPr>
            <w:tcW w:w="2077" w:type="dxa"/>
          </w:tcPr>
          <w:p>
            <w:pPr>
              <w:pStyle w:val="TableParagraph"/>
              <w:rPr>
                <w:rFonts w:ascii="Times New Roman"/>
                <w:sz w:val="28"/>
              </w:rPr>
            </w:pPr>
          </w:p>
        </w:tc>
        <w:tc>
          <w:tcPr>
            <w:tcW w:w="1089"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540"/>
          <w:jc w:val="left"/>
        </w:trPr>
        <w:tc>
          <w:tcPr>
            <w:tcW w:w="4275" w:type="dxa"/>
          </w:tcPr>
          <w:p>
            <w:pPr>
              <w:pStyle w:val="TableParagraph"/>
              <w:spacing w:before="232" w:line="288" w:lineRule="exact"/>
              <w:ind w:left="50"/>
              <w:rPr>
                <w:sz w:val="27"/>
              </w:rPr>
            </w:pPr>
            <w:r>
              <w:rPr>
                <w:sz w:val="27"/>
              </w:rPr>
              <w:t>负债和所有者权益总计</w:t>
            </w:r>
          </w:p>
        </w:tc>
        <w:tc>
          <w:tcPr>
            <w:tcW w:w="2163" w:type="dxa"/>
          </w:tcPr>
          <w:p>
            <w:pPr>
              <w:pStyle w:val="TableParagraph"/>
              <w:rPr>
                <w:rFonts w:ascii="Times New Roman"/>
                <w:sz w:val="28"/>
              </w:rPr>
            </w:pPr>
          </w:p>
        </w:tc>
        <w:tc>
          <w:tcPr>
            <w:tcW w:w="2421" w:type="dxa"/>
          </w:tcPr>
          <w:p>
            <w:pPr>
              <w:pStyle w:val="TableParagraph"/>
              <w:rPr>
                <w:rFonts w:ascii="Times New Roman"/>
                <w:sz w:val="28"/>
              </w:rPr>
            </w:pPr>
          </w:p>
        </w:tc>
        <w:tc>
          <w:tcPr>
            <w:tcW w:w="2146" w:type="dxa"/>
          </w:tcPr>
          <w:p>
            <w:pPr>
              <w:pStyle w:val="TableParagraph"/>
              <w:rPr>
                <w:rFonts w:ascii="Times New Roman"/>
                <w:sz w:val="28"/>
              </w:rPr>
            </w:pPr>
          </w:p>
        </w:tc>
        <w:tc>
          <w:tcPr>
            <w:tcW w:w="2077" w:type="dxa"/>
          </w:tcPr>
          <w:p>
            <w:pPr>
              <w:pStyle w:val="TableParagraph"/>
              <w:rPr>
                <w:rFonts w:ascii="Times New Roman"/>
                <w:sz w:val="28"/>
              </w:rPr>
            </w:pPr>
          </w:p>
        </w:tc>
        <w:tc>
          <w:tcPr>
            <w:tcW w:w="1089" w:type="dxa"/>
          </w:tcPr>
          <w:p>
            <w:pPr>
              <w:pStyle w:val="TableParagraph"/>
              <w:rPr>
                <w:rFonts w:ascii="Times New Roman"/>
                <w:sz w:val="28"/>
              </w:rPr>
            </w:pPr>
          </w:p>
        </w:tc>
      </w:tr>
    </w:tbl>
    <w:p>
      <w:pPr>
        <w:pStyle w:val="BodyText"/>
        <w:rPr>
          <w:sz w:val="20"/>
        </w:rPr>
      </w:pPr>
    </w:p>
    <w:p>
      <w:pPr>
        <w:pStyle w:val="BodyText"/>
        <w:rPr>
          <w:sz w:val="20"/>
        </w:rPr>
      </w:pPr>
    </w:p>
    <w:p>
      <w:pPr>
        <w:pStyle w:val="BodyText"/>
        <w:spacing w:before="9"/>
        <w:rPr>
          <w:sz w:val="25"/>
        </w:rPr>
      </w:pPr>
    </w:p>
    <w:p>
      <w:pPr>
        <w:pStyle w:val="ListParagraph"/>
        <w:numPr>
          <w:ilvl w:val="0"/>
          <w:numId w:val="8"/>
        </w:numPr>
        <w:tabs>
          <w:tab w:val="left" w:pos="1058"/>
        </w:tabs>
        <w:spacing w:before="62" w:after="0" w:line="472" w:lineRule="auto"/>
        <w:ind w:left="1057" w:right="1320" w:hanging="948"/>
        <w:jc w:val="left"/>
        <w:rPr>
          <w:sz w:val="31"/>
        </w:rPr>
      </w:pPr>
      <w:r>
        <w:drawing>
          <wp:anchor distT="0" distB="0" distL="0" distR="0" simplePos="0" relativeHeight="251662336" behindDoc="1" locked="0" layoutInCell="1" allowOverlap="1">
            <wp:simplePos x="0" y="0"/>
            <wp:positionH relativeFrom="page">
              <wp:posOffset>1181100</wp:posOffset>
            </wp:positionH>
            <wp:positionV relativeFrom="paragraph">
              <wp:posOffset>-8115300</wp:posOffset>
            </wp:positionV>
            <wp:extent cx="9171812" cy="7714964"/>
            <wp:effectExtent l="0" t="0" r="0" b="0"/>
            <wp:wrapNone/>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png"/>
                    <pic:cNvPicPr/>
                  </pic:nvPicPr>
                  <pic:blipFill>
                    <a:blip xmlns:r="http://schemas.openxmlformats.org/officeDocument/2006/relationships" r:embed="rId16" cstate="print"/>
                    <a:stretch>
                      <a:fillRect/>
                    </a:stretch>
                  </pic:blipFill>
                  <pic:spPr>
                    <a:xfrm>
                      <a:off x="0" y="0"/>
                      <a:ext cx="9171812" cy="7714964"/>
                    </a:xfrm>
                    <a:prstGeom prst="rect">
                      <a:avLst/>
                    </a:prstGeom>
                  </pic:spPr>
                </pic:pic>
              </a:graphicData>
            </a:graphic>
          </wp:anchor>
        </w:drawing>
      </w:r>
      <w:r>
        <w:rPr>
          <w:sz w:val="31"/>
        </w:rPr>
        <w:t>根据资产负债表水平分析表可知：格力电器股份有限公司总资产本期增加 000</w:t>
      </w:r>
      <w:r>
        <w:rPr>
          <w:spacing w:val="13"/>
          <w:sz w:val="31"/>
        </w:rPr>
        <w:t xml:space="preserve"> 元，增长幅度</w:t>
      </w:r>
      <w:r>
        <w:rPr>
          <w:sz w:val="31"/>
        </w:rPr>
        <w:t>为%，说明该公司本年资产规模有较大幅度增长。</w:t>
      </w:r>
    </w:p>
    <w:p>
      <w:pPr>
        <w:pStyle w:val="ListParagraph"/>
        <w:numPr>
          <w:ilvl w:val="0"/>
          <w:numId w:val="8"/>
        </w:numPr>
        <w:tabs>
          <w:tab w:val="left" w:pos="904"/>
        </w:tabs>
        <w:spacing w:before="0" w:after="0" w:line="391" w:lineRule="exact"/>
        <w:ind w:left="903" w:right="0" w:hanging="794"/>
        <w:jc w:val="left"/>
        <w:rPr>
          <w:sz w:val="31"/>
        </w:rPr>
      </w:pPr>
      <w:r>
        <w:rPr>
          <w:spacing w:val="-2"/>
          <w:sz w:val="31"/>
        </w:rPr>
        <w:t>负债总额较去年增长元，增长幅度为%，说明该公司本年负债规模有较大幅度增长。</w:t>
      </w:r>
    </w:p>
    <w:p>
      <w:pPr>
        <w:pStyle w:val="BodyText"/>
        <w:rPr>
          <w:sz w:val="30"/>
        </w:rPr>
      </w:pPr>
    </w:p>
    <w:p>
      <w:pPr>
        <w:pStyle w:val="ListParagraph"/>
        <w:numPr>
          <w:ilvl w:val="0"/>
          <w:numId w:val="8"/>
        </w:numPr>
        <w:tabs>
          <w:tab w:val="left" w:pos="1336"/>
        </w:tabs>
        <w:spacing w:before="0" w:after="0" w:line="240" w:lineRule="auto"/>
        <w:ind w:left="1335" w:right="0" w:hanging="794"/>
        <w:jc w:val="left"/>
        <w:rPr>
          <w:sz w:val="31"/>
        </w:rPr>
      </w:pPr>
      <w:r>
        <w:rPr>
          <w:spacing w:val="-9"/>
          <w:sz w:val="31"/>
        </w:rPr>
        <w:t xml:space="preserve">权益总额较去年增长 </w:t>
      </w:r>
      <w:r>
        <w:rPr>
          <w:sz w:val="31"/>
        </w:rPr>
        <w:t>00</w:t>
      </w:r>
      <w:r>
        <w:rPr>
          <w:spacing w:val="-10"/>
          <w:sz w:val="31"/>
        </w:rPr>
        <w:t xml:space="preserve"> 元，增长幅度为%，说明该公司本年权益总额有较大幅度增长。</w:t>
      </w:r>
    </w:p>
    <w:p>
      <w:pPr>
        <w:pStyle w:val="BodyText"/>
        <w:rPr>
          <w:sz w:val="32"/>
        </w:rPr>
      </w:pPr>
    </w:p>
    <w:p>
      <w:pPr>
        <w:pStyle w:val="BodyText"/>
        <w:spacing w:before="7"/>
        <w:rPr>
          <w:sz w:val="34"/>
        </w:rPr>
      </w:pPr>
    </w:p>
    <w:p>
      <w:pPr>
        <w:pStyle w:val="BodyText"/>
        <w:ind w:left="3499" w:right="5019"/>
        <w:jc w:val="center"/>
      </w:pPr>
      <w:r>
        <w:t>资产负债表垂直分析表</w:t>
      </w:r>
    </w:p>
    <w:p>
      <w:pPr>
        <w:pStyle w:val="BodyText"/>
        <w:spacing w:before="9"/>
        <w:rPr>
          <w:sz w:val="8"/>
        </w:rPr>
      </w:pPr>
      <w:r>
        <w:pict>
          <v:group id="_x0000_s1025" style="width:711pt;height:166pt;margin-top:7.55pt;margin-left:80pt;mso-position-horizontal-relative:page;mso-wrap-distance-left:0;mso-wrap-distance-right:0;position:absolute;z-index:-251653120" coordorigin="1600,151" coordsize="14220,3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220;height:3320;left:1600;position:absolute;top:151" stroked="f">
              <v:imagedata r:id="rId17" o:title=""/>
            </v:shape>
            <v:shapetype id="_x0000_t202" coordsize="21600,21600" o:spt="202" path="m,l,21600r21600,l21600,xe">
              <v:stroke joinstyle="miter"/>
              <v:path gradientshapeok="t" o:connecttype="rect"/>
            </v:shapetype>
            <v:shape id="_x0000_s1027" type="#_x0000_t202" style="width:560;height:270;left:1782;position:absolute;top:516" filled="f" stroked="f">
              <v:textbox inset="0,0,0,0">
                <w:txbxContent>
                  <w:p>
                    <w:pPr>
                      <w:spacing w:before="0" w:line="270" w:lineRule="exact"/>
                      <w:ind w:left="0" w:right="0" w:firstLine="0"/>
                      <w:jc w:val="left"/>
                      <w:rPr>
                        <w:sz w:val="27"/>
                      </w:rPr>
                    </w:pPr>
                    <w:r>
                      <w:rPr>
                        <w:sz w:val="27"/>
                      </w:rPr>
                      <w:t>项目</w:t>
                    </w:r>
                  </w:p>
                </w:txbxContent>
              </v:textbox>
            </v:shape>
            <v:shape id="_x0000_s1028" type="#_x0000_t202" style="width:560;height:270;left:5862;position:absolute;top:516" filled="f" stroked="f">
              <v:textbox inset="0,0,0,0">
                <w:txbxContent>
                  <w:p>
                    <w:pPr>
                      <w:spacing w:before="0" w:line="270" w:lineRule="exact"/>
                      <w:ind w:left="0" w:right="0" w:firstLine="0"/>
                      <w:jc w:val="left"/>
                      <w:rPr>
                        <w:sz w:val="27"/>
                      </w:rPr>
                    </w:pPr>
                    <w:r>
                      <w:rPr>
                        <w:sz w:val="27"/>
                      </w:rPr>
                      <w:t>期末</w:t>
                    </w:r>
                  </w:p>
                </w:txbxContent>
              </v:textbox>
            </v:shape>
            <v:shape id="_x0000_s1029" type="#_x0000_t202" style="width:560;height:270;left:8983;position:absolute;top:516" filled="f" stroked="f">
              <v:textbox inset="0,0,0,0">
                <w:txbxContent>
                  <w:p>
                    <w:pPr>
                      <w:spacing w:before="0" w:line="270" w:lineRule="exact"/>
                      <w:ind w:left="0" w:right="0" w:firstLine="0"/>
                      <w:jc w:val="left"/>
                      <w:rPr>
                        <w:sz w:val="27"/>
                      </w:rPr>
                    </w:pPr>
                    <w:r>
                      <w:rPr>
                        <w:sz w:val="27"/>
                      </w:rPr>
                      <w:t>期初</w:t>
                    </w:r>
                  </w:p>
                </w:txbxContent>
              </v:textbox>
            </v:shape>
            <v:shape id="_x0000_s1030" type="#_x0000_t202" style="width:560;height:270;left:11745;position:absolute;top:516" filled="f" stroked="f">
              <v:textbox inset="0,0,0,0">
                <w:txbxContent>
                  <w:p>
                    <w:pPr>
                      <w:spacing w:before="0" w:line="270" w:lineRule="exact"/>
                      <w:ind w:left="0" w:right="0" w:firstLine="0"/>
                      <w:jc w:val="left"/>
                      <w:rPr>
                        <w:sz w:val="27"/>
                      </w:rPr>
                    </w:pPr>
                    <w:r>
                      <w:rPr>
                        <w:sz w:val="27"/>
                      </w:rPr>
                      <w:t>期末</w:t>
                    </w:r>
                  </w:p>
                </w:txbxContent>
              </v:textbox>
            </v:shape>
            <v:shape id="_x0000_s1031" type="#_x0000_t202" style="width:560;height:270;left:13243;position:absolute;top:516" filled="f" stroked="f">
              <v:textbox inset="0,0,0,0">
                <w:txbxContent>
                  <w:p>
                    <w:pPr>
                      <w:spacing w:before="0" w:line="270" w:lineRule="exact"/>
                      <w:ind w:left="0" w:right="0" w:firstLine="0"/>
                      <w:jc w:val="left"/>
                      <w:rPr>
                        <w:sz w:val="27"/>
                      </w:rPr>
                    </w:pPr>
                    <w:r>
                      <w:rPr>
                        <w:sz w:val="27"/>
                      </w:rPr>
                      <w:t>期初</w:t>
                    </w:r>
                  </w:p>
                </w:txbxContent>
              </v:textbox>
            </v:shape>
            <v:shape id="_x0000_s1032" type="#_x0000_t202" style="width:1100;height:270;left:14413;position:absolute;top:516" filled="f" stroked="f">
              <v:textbox inset="0,0,0,0">
                <w:txbxContent>
                  <w:p>
                    <w:pPr>
                      <w:spacing w:before="0" w:line="270" w:lineRule="exact"/>
                      <w:ind w:left="0" w:right="0" w:firstLine="0"/>
                      <w:jc w:val="left"/>
                      <w:rPr>
                        <w:sz w:val="27"/>
                      </w:rPr>
                    </w:pPr>
                    <w:r>
                      <w:rPr>
                        <w:sz w:val="27"/>
                      </w:rPr>
                      <w:t>变动情况</w:t>
                    </w:r>
                  </w:p>
                </w:txbxContent>
              </v:textbox>
            </v:shape>
            <v:shape id="_x0000_s1033" type="#_x0000_t202" style="width:1100;height:270;left:1782;position:absolute;top:1326" filled="f" stroked="f">
              <v:textbox inset="0,0,0,0">
                <w:txbxContent>
                  <w:p>
                    <w:pPr>
                      <w:spacing w:before="0" w:line="270" w:lineRule="exact"/>
                      <w:ind w:left="0" w:right="0" w:firstLine="0"/>
                      <w:jc w:val="left"/>
                      <w:rPr>
                        <w:sz w:val="27"/>
                      </w:rPr>
                    </w:pPr>
                    <w:r>
                      <w:rPr>
                        <w:sz w:val="27"/>
                      </w:rPr>
                      <w:t>流动资产</w:t>
                    </w:r>
                  </w:p>
                </w:txbxContent>
              </v:textbox>
            </v:shape>
            <v:shape id="_x0000_s1034" type="#_x0000_t202" style="width:1100;height:270;left:1782;position:absolute;top:2136" filled="f" stroked="f">
              <v:textbox inset="0,0,0,0">
                <w:txbxContent>
                  <w:p>
                    <w:pPr>
                      <w:spacing w:before="0" w:line="270" w:lineRule="exact"/>
                      <w:ind w:left="0" w:right="0" w:firstLine="0"/>
                      <w:jc w:val="left"/>
                      <w:rPr>
                        <w:sz w:val="27"/>
                      </w:rPr>
                    </w:pPr>
                    <w:r>
                      <w:rPr>
                        <w:sz w:val="27"/>
                      </w:rPr>
                      <w:t>货币资金</w:t>
                    </w:r>
                  </w:p>
                </w:txbxContent>
              </v:textbox>
            </v:shape>
            <v:shape id="_x0000_s1035" type="#_x0000_t202" style="width:1370;height:270;left:1782;position:absolute;top:2946" filled="f" stroked="f">
              <v:textbox inset="0,0,0,0">
                <w:txbxContent>
                  <w:p>
                    <w:pPr>
                      <w:spacing w:before="0" w:line="270" w:lineRule="exact"/>
                      <w:ind w:left="0" w:right="0" w:firstLine="0"/>
                      <w:jc w:val="left"/>
                      <w:rPr>
                        <w:sz w:val="27"/>
                      </w:rPr>
                    </w:pPr>
                    <w:r>
                      <w:rPr>
                        <w:sz w:val="27"/>
                      </w:rPr>
                      <w:t>结算备付金</w:t>
                    </w:r>
                  </w:p>
                </w:txbxContent>
              </v:textbox>
            </v:shape>
            <w10:wrap type="topAndBottom"/>
          </v:group>
        </w:pict>
      </w:r>
    </w:p>
    <w:p>
      <w:pPr>
        <w:spacing w:after="0"/>
        <w:rPr>
          <w:sz w:val="8"/>
        </w:rPr>
        <w:sectPr>
          <w:headerReference w:type="default" r:id="rId18"/>
          <w:footerReference w:type="default" r:id="rId19"/>
          <w:pgSz w:w="17860" w:h="25260"/>
          <w:pgMar w:top="1200" w:right="1360" w:bottom="2000" w:left="1420" w:header="1005" w:footer="1818"/>
          <w:pgNumType w:start="6"/>
          <w:cols w:space="708"/>
        </w:sectPr>
      </w:pPr>
    </w:p>
    <w:p>
      <w:pPr>
        <w:pStyle w:val="BodyText"/>
        <w:rPr>
          <w:sz w:val="20"/>
        </w:rPr>
      </w:pPr>
      <w:r>
        <w:drawing>
          <wp:anchor distT="0" distB="0" distL="0" distR="0" simplePos="0" relativeHeight="251664384" behindDoc="1" locked="0" layoutInCell="1" allowOverlap="1">
            <wp:simplePos x="0" y="0"/>
            <wp:positionH relativeFrom="page">
              <wp:posOffset>1016000</wp:posOffset>
            </wp:positionH>
            <wp:positionV relativeFrom="page">
              <wp:posOffset>1181100</wp:posOffset>
            </wp:positionV>
            <wp:extent cx="9007125" cy="12870942"/>
            <wp:effectExtent l="0" t="0" r="0" b="0"/>
            <wp:wrapNone/>
            <wp:docPr id="2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6.png"/>
                    <pic:cNvPicPr/>
                  </pic:nvPicPr>
                  <pic:blipFill>
                    <a:blip xmlns:r="http://schemas.openxmlformats.org/officeDocument/2006/relationships" r:embed="rId20" cstate="print"/>
                    <a:stretch>
                      <a:fillRect/>
                    </a:stretch>
                  </pic:blipFill>
                  <pic:spPr>
                    <a:xfrm>
                      <a:off x="0" y="0"/>
                      <a:ext cx="9007125" cy="12870942"/>
                    </a:xfrm>
                    <a:prstGeom prst="rect">
                      <a:avLst/>
                    </a:prstGeom>
                  </pic:spPr>
                </pic:pic>
              </a:graphicData>
            </a:graphic>
          </wp:anchor>
        </w:drawing>
      </w:r>
    </w:p>
    <w:p>
      <w:pPr>
        <w:pStyle w:val="BodyText"/>
        <w:rPr>
          <w:sz w:val="20"/>
        </w:rPr>
      </w:pPr>
    </w:p>
    <w:p>
      <w:pPr>
        <w:pStyle w:val="BodyText"/>
        <w:rPr>
          <w:sz w:val="20"/>
        </w:rPr>
      </w:pPr>
    </w:p>
    <w:p>
      <w:pPr>
        <w:pStyle w:val="BodyText"/>
        <w:spacing w:before="10"/>
        <w:rPr>
          <w:sz w:val="18"/>
        </w:rPr>
      </w:pPr>
    </w:p>
    <w:tbl>
      <w:tblPr>
        <w:tblStyle w:val="TableNormal5"/>
        <w:tblW w:w="0" w:type="auto"/>
        <w:jc w:val="left"/>
        <w:tblInd w:w="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70"/>
        <w:gridCol w:w="3333"/>
        <w:gridCol w:w="1633"/>
      </w:tblGrid>
      <w:tr>
        <w:tblPrEx>
          <w:tblW w:w="0" w:type="auto"/>
          <w:jc w:val="left"/>
          <w:tblInd w:w="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160"/>
          <w:jc w:val="left"/>
        </w:trPr>
        <w:tc>
          <w:tcPr>
            <w:tcW w:w="4770" w:type="dxa"/>
          </w:tcPr>
          <w:p>
            <w:pPr>
              <w:pStyle w:val="TableParagraph"/>
              <w:spacing w:line="308" w:lineRule="exact"/>
              <w:ind w:left="50"/>
              <w:rPr>
                <w:sz w:val="27"/>
              </w:rPr>
            </w:pPr>
            <w:r>
              <w:rPr>
                <w:sz w:val="27"/>
              </w:rPr>
              <w:t>拆出资金</w:t>
            </w:r>
          </w:p>
          <w:p>
            <w:pPr>
              <w:pStyle w:val="TableParagraph"/>
              <w:spacing w:line="810" w:lineRule="atLeast"/>
              <w:ind w:left="50" w:right="2829"/>
              <w:rPr>
                <w:sz w:val="27"/>
              </w:rPr>
            </w:pPr>
            <w:r>
              <w:rPr>
                <w:sz w:val="27"/>
              </w:rPr>
              <w:t>交易性金融资产衍生金融资产</w:t>
            </w:r>
          </w:p>
        </w:tc>
        <w:tc>
          <w:tcPr>
            <w:tcW w:w="4966" w:type="dxa"/>
            <w:gridSpan w:val="2"/>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应收票据</w:t>
            </w:r>
          </w:p>
        </w:tc>
        <w:tc>
          <w:tcPr>
            <w:tcW w:w="3333" w:type="dxa"/>
          </w:tcPr>
          <w:p>
            <w:pPr>
              <w:pStyle w:val="TableParagraph"/>
              <w:spacing w:before="232"/>
              <w:ind w:right="1175"/>
              <w:jc w:val="right"/>
              <w:rPr>
                <w:sz w:val="27"/>
              </w:rPr>
            </w:pPr>
            <w:r>
              <w:rPr>
                <w:sz w:val="27"/>
              </w:rPr>
              <w:t>.00</w:t>
            </w:r>
          </w:p>
        </w:tc>
        <w:tc>
          <w:tcPr>
            <w:tcW w:w="1633" w:type="dxa"/>
          </w:tcPr>
          <w:p>
            <w:pPr>
              <w:pStyle w:val="TableParagraph"/>
              <w:spacing w:before="232"/>
              <w:ind w:right="46"/>
              <w:jc w:val="right"/>
              <w:rPr>
                <w:sz w:val="27"/>
              </w:rPr>
            </w:pPr>
            <w:r>
              <w:rPr>
                <w:sz w:val="27"/>
              </w:rPr>
              <w:t>.00</w:t>
            </w: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应收账款</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预付款项</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应收保费</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应收分保账款</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应收分保合同准备金</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应收利息</w:t>
            </w:r>
          </w:p>
        </w:tc>
        <w:tc>
          <w:tcPr>
            <w:tcW w:w="3333" w:type="dxa"/>
          </w:tcPr>
          <w:p>
            <w:pPr>
              <w:pStyle w:val="TableParagraph"/>
              <w:spacing w:before="232"/>
              <w:ind w:right="1175"/>
              <w:jc w:val="right"/>
              <w:rPr>
                <w:sz w:val="27"/>
              </w:rPr>
            </w:pPr>
            <w:r>
              <w:rPr>
                <w:sz w:val="27"/>
              </w:rPr>
              <w:t>.00</w:t>
            </w:r>
          </w:p>
        </w:tc>
        <w:tc>
          <w:tcPr>
            <w:tcW w:w="1633" w:type="dxa"/>
          </w:tcPr>
          <w:p>
            <w:pPr>
              <w:pStyle w:val="TableParagraph"/>
              <w:spacing w:before="232"/>
              <w:ind w:right="46"/>
              <w:jc w:val="right"/>
              <w:rPr>
                <w:sz w:val="27"/>
              </w:rPr>
            </w:pPr>
            <w:r>
              <w:rPr>
                <w:sz w:val="27"/>
              </w:rPr>
              <w:t>.00</w:t>
            </w: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应收股利</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其他应收款</w:t>
            </w:r>
          </w:p>
        </w:tc>
        <w:tc>
          <w:tcPr>
            <w:tcW w:w="3333" w:type="dxa"/>
          </w:tcPr>
          <w:p>
            <w:pPr>
              <w:pStyle w:val="TableParagraph"/>
              <w:rPr>
                <w:rFonts w:ascii="Times New Roman"/>
                <w:sz w:val="26"/>
              </w:rPr>
            </w:pPr>
          </w:p>
        </w:tc>
        <w:tc>
          <w:tcPr>
            <w:tcW w:w="1633" w:type="dxa"/>
          </w:tcPr>
          <w:p>
            <w:pPr>
              <w:pStyle w:val="TableParagraph"/>
              <w:spacing w:before="232"/>
              <w:ind w:right="46"/>
              <w:jc w:val="right"/>
              <w:rPr>
                <w:sz w:val="27"/>
              </w:rPr>
            </w:pPr>
            <w:r>
              <w:rPr>
                <w:sz w:val="27"/>
              </w:rPr>
              <w:t>.00</w:t>
            </w: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应收出口退税</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应收补贴款</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应收保证金</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内部应收款</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买入返售金融资产</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存货</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待摊费用</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待处理流动资产损益</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一年内到期的非流动资产</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其他流动资产</w:t>
            </w:r>
          </w:p>
        </w:tc>
        <w:tc>
          <w:tcPr>
            <w:tcW w:w="3333" w:type="dxa"/>
          </w:tcPr>
          <w:p>
            <w:pPr>
              <w:pStyle w:val="TableParagraph"/>
              <w:spacing w:before="232"/>
              <w:ind w:right="1175"/>
              <w:jc w:val="right"/>
              <w:rPr>
                <w:sz w:val="27"/>
              </w:rPr>
            </w:pPr>
            <w:r>
              <w:rPr>
                <w:sz w:val="27"/>
              </w:rPr>
              <w:t>.00</w:t>
            </w: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09"/>
          <w:jc w:val="left"/>
        </w:trPr>
        <w:tc>
          <w:tcPr>
            <w:tcW w:w="4770" w:type="dxa"/>
          </w:tcPr>
          <w:p>
            <w:pPr>
              <w:pStyle w:val="TableParagraph"/>
              <w:spacing w:before="232"/>
              <w:ind w:left="50"/>
              <w:rPr>
                <w:sz w:val="27"/>
              </w:rPr>
            </w:pPr>
            <w:r>
              <w:rPr>
                <w:sz w:val="27"/>
              </w:rPr>
              <w:t>流动资产合计</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770" w:type="dxa"/>
          </w:tcPr>
          <w:p>
            <w:pPr>
              <w:pStyle w:val="TableParagraph"/>
              <w:spacing w:before="232"/>
              <w:ind w:left="50"/>
              <w:rPr>
                <w:sz w:val="27"/>
              </w:rPr>
            </w:pPr>
            <w:r>
              <w:rPr>
                <w:sz w:val="27"/>
              </w:rPr>
              <w:t>非流动资产</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540"/>
          <w:jc w:val="left"/>
        </w:trPr>
        <w:tc>
          <w:tcPr>
            <w:tcW w:w="4770" w:type="dxa"/>
          </w:tcPr>
          <w:p>
            <w:pPr>
              <w:pStyle w:val="TableParagraph"/>
              <w:spacing w:before="232" w:line="288" w:lineRule="exact"/>
              <w:ind w:left="50"/>
              <w:rPr>
                <w:sz w:val="27"/>
              </w:rPr>
            </w:pPr>
            <w:r>
              <w:rPr>
                <w:sz w:val="27"/>
              </w:rPr>
              <w:t>发放贷款及垫款</w:t>
            </w:r>
          </w:p>
        </w:tc>
        <w:tc>
          <w:tcPr>
            <w:tcW w:w="3333" w:type="dxa"/>
          </w:tcPr>
          <w:p>
            <w:pPr>
              <w:pStyle w:val="TableParagraph"/>
              <w:rPr>
                <w:rFonts w:ascii="Times New Roman"/>
                <w:sz w:val="26"/>
              </w:rPr>
            </w:pPr>
          </w:p>
        </w:tc>
        <w:tc>
          <w:tcPr>
            <w:tcW w:w="1633" w:type="dxa"/>
          </w:tcPr>
          <w:p>
            <w:pPr>
              <w:pStyle w:val="TableParagraph"/>
              <w:rPr>
                <w:rFonts w:ascii="Times New Roman"/>
                <w:sz w:val="26"/>
              </w:rPr>
            </w:pPr>
          </w:p>
        </w:tc>
      </w:tr>
    </w:tbl>
    <w:p>
      <w:pPr>
        <w:spacing w:after="0"/>
        <w:rPr>
          <w:rFonts w:ascii="Times New Roman"/>
          <w:sz w:val="26"/>
        </w:rPr>
        <w:sectPr>
          <w:headerReference w:type="default" r:id="rId21"/>
          <w:footerReference w:type="default" r:id="rId22"/>
          <w:pgSz w:w="17860" w:h="25260"/>
          <w:pgMar w:top="1200" w:right="1360" w:bottom="2000" w:left="1420" w:header="1005" w:footer="1819"/>
          <w:pgNumType w:start="7"/>
          <w:cols w:space="708"/>
        </w:sectPr>
      </w:pPr>
    </w:p>
    <w:p>
      <w:pPr>
        <w:pStyle w:val="BodyText"/>
        <w:rPr>
          <w:sz w:val="20"/>
        </w:rPr>
      </w:pPr>
      <w:r>
        <w:drawing>
          <wp:anchor distT="0" distB="0" distL="0" distR="0" simplePos="0" relativeHeight="251665408" behindDoc="1" locked="0" layoutInCell="1" allowOverlap="1">
            <wp:simplePos x="0" y="0"/>
            <wp:positionH relativeFrom="page">
              <wp:posOffset>1016000</wp:posOffset>
            </wp:positionH>
            <wp:positionV relativeFrom="page">
              <wp:posOffset>1181100</wp:posOffset>
            </wp:positionV>
            <wp:extent cx="9007125" cy="12870942"/>
            <wp:effectExtent l="0" t="0" r="0" b="0"/>
            <wp:wrapNone/>
            <wp:docPr id="2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6.png"/>
                    <pic:cNvPicPr/>
                  </pic:nvPicPr>
                  <pic:blipFill>
                    <a:blip xmlns:r="http://schemas.openxmlformats.org/officeDocument/2006/relationships" r:embed="rId20" cstate="print"/>
                    <a:stretch>
                      <a:fillRect/>
                    </a:stretch>
                  </pic:blipFill>
                  <pic:spPr>
                    <a:xfrm>
                      <a:off x="0" y="0"/>
                      <a:ext cx="9007125" cy="12870942"/>
                    </a:xfrm>
                    <a:prstGeom prst="rect">
                      <a:avLst/>
                    </a:prstGeom>
                  </pic:spPr>
                </pic:pic>
              </a:graphicData>
            </a:graphic>
          </wp:anchor>
        </w:drawing>
      </w:r>
    </w:p>
    <w:p>
      <w:pPr>
        <w:pStyle w:val="BodyText"/>
        <w:rPr>
          <w:sz w:val="20"/>
        </w:rPr>
      </w:pPr>
    </w:p>
    <w:p>
      <w:pPr>
        <w:pStyle w:val="BodyText"/>
        <w:rPr>
          <w:sz w:val="20"/>
        </w:rPr>
      </w:pPr>
    </w:p>
    <w:p>
      <w:pPr>
        <w:pStyle w:val="BodyText"/>
        <w:spacing w:before="10"/>
        <w:rPr>
          <w:sz w:val="18"/>
        </w:rPr>
      </w:pPr>
    </w:p>
    <w:tbl>
      <w:tblPr>
        <w:tblStyle w:val="TableNormal6"/>
        <w:tblW w:w="0" w:type="auto"/>
        <w:jc w:val="left"/>
        <w:tblInd w:w="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65"/>
        <w:gridCol w:w="3738"/>
        <w:gridCol w:w="1633"/>
      </w:tblGrid>
      <w:tr>
        <w:tblPrEx>
          <w:tblW w:w="0" w:type="auto"/>
          <w:jc w:val="left"/>
          <w:tblInd w:w="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4365" w:type="dxa"/>
          </w:tcPr>
          <w:p>
            <w:pPr>
              <w:pStyle w:val="TableParagraph"/>
              <w:spacing w:line="308" w:lineRule="exact"/>
              <w:ind w:left="50"/>
              <w:rPr>
                <w:sz w:val="27"/>
              </w:rPr>
            </w:pPr>
            <w:r>
              <w:rPr>
                <w:sz w:val="27"/>
              </w:rPr>
              <w:t>可供出售金融资产</w:t>
            </w:r>
          </w:p>
        </w:tc>
        <w:tc>
          <w:tcPr>
            <w:tcW w:w="5371" w:type="dxa"/>
            <w:gridSpan w:val="2"/>
            <w:vMerge w:val="restart"/>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持有至到期投资</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长期应收款</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长期股权投资</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其他长期投资</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投资性房地产</w:t>
            </w:r>
          </w:p>
        </w:tc>
        <w:tc>
          <w:tcPr>
            <w:tcW w:w="3738" w:type="dxa"/>
          </w:tcPr>
          <w:p>
            <w:pPr>
              <w:pStyle w:val="TableParagraph"/>
              <w:rPr>
                <w:rFonts w:ascii="Times New Roman"/>
                <w:sz w:val="26"/>
              </w:rPr>
            </w:pPr>
          </w:p>
        </w:tc>
        <w:tc>
          <w:tcPr>
            <w:tcW w:w="1633" w:type="dxa"/>
          </w:tcPr>
          <w:p>
            <w:pPr>
              <w:pStyle w:val="TableParagraph"/>
              <w:spacing w:before="232"/>
              <w:ind w:right="46"/>
              <w:jc w:val="right"/>
              <w:rPr>
                <w:sz w:val="27"/>
              </w:rPr>
            </w:pPr>
            <w:r>
              <w:rPr>
                <w:sz w:val="27"/>
              </w:rPr>
              <w:t>.00</w:t>
            </w: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固定资产原值</w:t>
            </w:r>
          </w:p>
        </w:tc>
        <w:tc>
          <w:tcPr>
            <w:tcW w:w="3738"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累计折旧</w:t>
            </w:r>
          </w:p>
        </w:tc>
        <w:tc>
          <w:tcPr>
            <w:tcW w:w="3738"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固定资产净值</w:t>
            </w:r>
          </w:p>
        </w:tc>
        <w:tc>
          <w:tcPr>
            <w:tcW w:w="3738" w:type="dxa"/>
          </w:tcPr>
          <w:p>
            <w:pPr>
              <w:pStyle w:val="TableParagraph"/>
              <w:rPr>
                <w:rFonts w:ascii="Times New Roman"/>
                <w:sz w:val="26"/>
              </w:rPr>
            </w:pPr>
          </w:p>
        </w:tc>
        <w:tc>
          <w:tcPr>
            <w:tcW w:w="1633" w:type="dxa"/>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固定资产减值准备</w:t>
            </w:r>
          </w:p>
        </w:tc>
        <w:tc>
          <w:tcPr>
            <w:tcW w:w="3738" w:type="dxa"/>
          </w:tcPr>
          <w:p>
            <w:pPr>
              <w:pStyle w:val="TableParagraph"/>
              <w:spacing w:before="232"/>
              <w:ind w:left="2155"/>
              <w:rPr>
                <w:sz w:val="27"/>
              </w:rPr>
            </w:pPr>
            <w:r>
              <w:rPr>
                <w:sz w:val="27"/>
              </w:rPr>
              <w:t>.00</w:t>
            </w:r>
          </w:p>
        </w:tc>
        <w:tc>
          <w:tcPr>
            <w:tcW w:w="1633" w:type="dxa"/>
          </w:tcPr>
          <w:p>
            <w:pPr>
              <w:pStyle w:val="TableParagraph"/>
              <w:spacing w:before="232"/>
              <w:ind w:right="46"/>
              <w:jc w:val="right"/>
              <w:rPr>
                <w:sz w:val="27"/>
              </w:rPr>
            </w:pPr>
            <w:r>
              <w:rPr>
                <w:sz w:val="27"/>
              </w:rPr>
              <w:t>.00</w:t>
            </w: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固定资产净额</w:t>
            </w:r>
          </w:p>
        </w:tc>
        <w:tc>
          <w:tcPr>
            <w:tcW w:w="5371" w:type="dxa"/>
            <w:gridSpan w:val="2"/>
            <w:vMerge w:val="restart"/>
          </w:tcPr>
          <w:p>
            <w:pPr>
              <w:pStyle w:val="TableParagraph"/>
              <w:rPr>
                <w:rFonts w:ascii="Times New Roman"/>
                <w:sz w:val="26"/>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在建工程</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工程物资</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固定资产清理</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生产性生物资产</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公益性生物资产</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油气资产</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无形资产</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开发支出</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商誉</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长期待摊费用</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股权分置流通权</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09"/>
          <w:jc w:val="left"/>
        </w:trPr>
        <w:tc>
          <w:tcPr>
            <w:tcW w:w="4365" w:type="dxa"/>
          </w:tcPr>
          <w:p>
            <w:pPr>
              <w:pStyle w:val="TableParagraph"/>
              <w:spacing w:before="232"/>
              <w:ind w:left="50"/>
              <w:rPr>
                <w:sz w:val="27"/>
              </w:rPr>
            </w:pPr>
            <w:r>
              <w:rPr>
                <w:sz w:val="27"/>
              </w:rPr>
              <w:t>递延所得税资产</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4365" w:type="dxa"/>
          </w:tcPr>
          <w:p>
            <w:pPr>
              <w:pStyle w:val="TableParagraph"/>
              <w:spacing w:before="232"/>
              <w:ind w:left="50"/>
              <w:rPr>
                <w:sz w:val="27"/>
              </w:rPr>
            </w:pPr>
            <w:r>
              <w:rPr>
                <w:sz w:val="27"/>
              </w:rPr>
              <w:t>其他非流动资产</w:t>
            </w:r>
          </w:p>
        </w:tc>
        <w:tc>
          <w:tcPr>
            <w:tcW w:w="5371" w:type="dxa"/>
            <w:gridSpan w:val="2"/>
            <w:vMerge/>
            <w:tcBorders>
              <w:top w:val="nil"/>
            </w:tcBorders>
          </w:tcPr>
          <w:p>
            <w:pPr>
              <w:rPr>
                <w:sz w:val="2"/>
                <w:szCs w:val="2"/>
              </w:rPr>
            </w:pPr>
          </w:p>
        </w:tc>
      </w:tr>
      <w:tr>
        <w:tblPrEx>
          <w:tblW w:w="0" w:type="auto"/>
          <w:jc w:val="left"/>
          <w:tblInd w:w="319" w:type="dxa"/>
          <w:tblLayout w:type="fixed"/>
          <w:tblCellMar>
            <w:top w:w="0" w:type="dxa"/>
            <w:left w:w="0" w:type="dxa"/>
            <w:bottom w:w="0" w:type="dxa"/>
            <w:right w:w="0" w:type="dxa"/>
          </w:tblCellMar>
          <w:tblLook w:val="01E0"/>
        </w:tblPrEx>
        <w:trPr>
          <w:trHeight w:val="540"/>
          <w:jc w:val="left"/>
        </w:trPr>
        <w:tc>
          <w:tcPr>
            <w:tcW w:w="4365" w:type="dxa"/>
          </w:tcPr>
          <w:p>
            <w:pPr>
              <w:pStyle w:val="TableParagraph"/>
              <w:spacing w:before="232" w:line="288" w:lineRule="exact"/>
              <w:ind w:left="50"/>
              <w:rPr>
                <w:sz w:val="27"/>
              </w:rPr>
            </w:pPr>
            <w:r>
              <w:rPr>
                <w:sz w:val="27"/>
              </w:rPr>
              <w:t>非流动资产合计</w:t>
            </w:r>
          </w:p>
        </w:tc>
        <w:tc>
          <w:tcPr>
            <w:tcW w:w="5371" w:type="dxa"/>
            <w:gridSpan w:val="2"/>
            <w:vMerge/>
            <w:tcBorders>
              <w:top w:val="nil"/>
            </w:tcBorders>
          </w:tcPr>
          <w:p>
            <w:pPr>
              <w:rPr>
                <w:sz w:val="2"/>
                <w:szCs w:val="2"/>
              </w:rPr>
            </w:pPr>
          </w:p>
        </w:tc>
      </w:tr>
    </w:tbl>
    <w:p>
      <w:pPr>
        <w:spacing w:after="0"/>
        <w:rPr>
          <w:sz w:val="2"/>
          <w:szCs w:val="2"/>
        </w:rPr>
        <w:sectPr>
          <w:headerReference w:type="default" r:id="rId23"/>
          <w:footerReference w:type="default" r:id="rId24"/>
          <w:pgSz w:w="17860" w:h="25260"/>
          <w:pgMar w:top="1200" w:right="1360" w:bottom="2000" w:left="1420" w:header="1005" w:footer="1818"/>
          <w:pgNumType w:start="8"/>
          <w:cols w:space="708"/>
        </w:sectPr>
      </w:pPr>
    </w:p>
    <w:p>
      <w:pPr>
        <w:pStyle w:val="BodyText"/>
        <w:rPr>
          <w:sz w:val="20"/>
        </w:rPr>
      </w:pPr>
    </w:p>
    <w:p>
      <w:pPr>
        <w:pStyle w:val="BodyText"/>
        <w:rPr>
          <w:sz w:val="20"/>
        </w:rPr>
      </w:pPr>
    </w:p>
    <w:p>
      <w:pPr>
        <w:pStyle w:val="BodyText"/>
        <w:rPr>
          <w:sz w:val="20"/>
        </w:rPr>
      </w:pPr>
    </w:p>
    <w:p>
      <w:pPr>
        <w:spacing w:before="203" w:line="561" w:lineRule="auto"/>
        <w:ind w:left="361" w:right="13635" w:firstLine="0"/>
        <w:jc w:val="both"/>
        <w:rPr>
          <w:sz w:val="27"/>
        </w:rPr>
      </w:pPr>
      <w:r>
        <w:rPr>
          <w:sz w:val="27"/>
        </w:rPr>
        <w:t>资产总计流动负债短期借款</w:t>
      </w:r>
    </w:p>
    <w:p>
      <w:pPr>
        <w:spacing w:before="1"/>
        <w:ind w:left="361" w:right="0" w:firstLine="0"/>
        <w:jc w:val="left"/>
        <w:rPr>
          <w:sz w:val="27"/>
        </w:rPr>
      </w:pPr>
      <w:r>
        <w:rPr>
          <w:sz w:val="27"/>
        </w:rPr>
        <w:t>向中央银行借款</w:t>
      </w:r>
    </w:p>
    <w:p>
      <w:pPr>
        <w:pStyle w:val="BodyText"/>
        <w:spacing w:before="3"/>
        <w:rPr>
          <w:sz w:val="36"/>
        </w:rPr>
      </w:pPr>
    </w:p>
    <w:p>
      <w:pPr>
        <w:spacing w:before="0" w:line="561" w:lineRule="auto"/>
        <w:ind w:left="361" w:right="12285" w:firstLine="0"/>
        <w:jc w:val="left"/>
        <w:rPr>
          <w:sz w:val="27"/>
        </w:rPr>
      </w:pPr>
      <w:r>
        <w:rPr>
          <w:spacing w:val="-2"/>
          <w:sz w:val="27"/>
        </w:rPr>
        <w:t>吸收存款及同业存放</w:t>
      </w:r>
      <w:r>
        <w:rPr>
          <w:sz w:val="27"/>
        </w:rPr>
        <w:t>拆入资金</w:t>
      </w:r>
    </w:p>
    <w:p>
      <w:pPr>
        <w:spacing w:before="1" w:line="561" w:lineRule="auto"/>
        <w:ind w:left="361" w:right="12825" w:firstLine="0"/>
        <w:jc w:val="left"/>
        <w:rPr>
          <w:sz w:val="27"/>
        </w:rPr>
      </w:pPr>
      <w:r>
        <w:rPr>
          <w:spacing w:val="-3"/>
          <w:sz w:val="27"/>
        </w:rPr>
        <w:t>交易性金融负债</w:t>
      </w:r>
      <w:r>
        <w:rPr>
          <w:sz w:val="27"/>
        </w:rPr>
        <w:t>衍生金融负债 应付票据</w:t>
      </w:r>
    </w:p>
    <w:p>
      <w:pPr>
        <w:spacing w:after="0" w:line="561" w:lineRule="auto"/>
        <w:jc w:val="left"/>
        <w:rPr>
          <w:sz w:val="27"/>
        </w:rPr>
        <w:sectPr>
          <w:headerReference w:type="default" r:id="rId25"/>
          <w:footerReference w:type="default" r:id="rId26"/>
          <w:pgSz w:w="17860" w:h="25260"/>
          <w:pgMar w:top="1200" w:right="1360" w:bottom="2000" w:left="1420" w:header="1005" w:footer="1815"/>
          <w:pgNumType w:start="9"/>
          <w:cols w:space="708"/>
        </w:sectPr>
      </w:pPr>
    </w:p>
    <w:p>
      <w:pPr>
        <w:spacing w:before="3" w:line="561" w:lineRule="auto"/>
        <w:ind w:left="361" w:right="1388" w:firstLine="0"/>
        <w:jc w:val="left"/>
        <w:rPr>
          <w:sz w:val="27"/>
        </w:rPr>
      </w:pPr>
      <w:r>
        <w:drawing>
          <wp:anchor distT="0" distB="0" distL="0" distR="0" simplePos="0" relativeHeight="251666432" behindDoc="1" locked="0" layoutInCell="1" allowOverlap="1">
            <wp:simplePos x="0" y="0"/>
            <wp:positionH relativeFrom="page">
              <wp:posOffset>1016000</wp:posOffset>
            </wp:positionH>
            <wp:positionV relativeFrom="page">
              <wp:posOffset>1181100</wp:posOffset>
            </wp:positionV>
            <wp:extent cx="9029700" cy="12903200"/>
            <wp:effectExtent l="0" t="0" r="0" b="0"/>
            <wp:wrapNone/>
            <wp:docPr id="3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6.png"/>
                    <pic:cNvPicPr/>
                  </pic:nvPicPr>
                  <pic:blipFill>
                    <a:blip xmlns:r="http://schemas.openxmlformats.org/officeDocument/2006/relationships" r:embed="rId20" cstate="print"/>
                    <a:stretch>
                      <a:fillRect/>
                    </a:stretch>
                  </pic:blipFill>
                  <pic:spPr>
                    <a:xfrm>
                      <a:off x="0" y="0"/>
                      <a:ext cx="9029700" cy="12903200"/>
                    </a:xfrm>
                    <a:prstGeom prst="rect">
                      <a:avLst/>
                    </a:prstGeom>
                  </pic:spPr>
                </pic:pic>
              </a:graphicData>
            </a:graphic>
          </wp:anchor>
        </w:drawing>
      </w:r>
      <w:r>
        <w:rPr>
          <w:sz w:val="27"/>
        </w:rPr>
        <w:t>应付账款预收款项</w:t>
      </w:r>
    </w:p>
    <w:p>
      <w:pPr>
        <w:spacing w:before="1" w:line="561" w:lineRule="auto"/>
        <w:ind w:left="361" w:right="38" w:firstLine="0"/>
        <w:jc w:val="left"/>
        <w:rPr>
          <w:sz w:val="27"/>
        </w:rPr>
      </w:pPr>
      <w:r>
        <w:rPr>
          <w:spacing w:val="-2"/>
          <w:sz w:val="27"/>
        </w:rPr>
        <w:t>卖出回购金融资产款</w:t>
      </w:r>
      <w:r>
        <w:rPr>
          <w:sz w:val="27"/>
        </w:rPr>
        <w:t>应付手续费及佣金 应付职工薪酬</w:t>
      </w:r>
    </w:p>
    <w:p>
      <w:pPr>
        <w:spacing w:before="2" w:line="561" w:lineRule="auto"/>
        <w:ind w:left="361" w:right="1118" w:firstLine="0"/>
        <w:jc w:val="left"/>
        <w:rPr>
          <w:sz w:val="27"/>
        </w:rPr>
      </w:pPr>
      <w:r>
        <w:rPr>
          <w:sz w:val="27"/>
        </w:rPr>
        <w:t xml:space="preserve">应交税费 应付利息 应付股利 </w:t>
      </w:r>
      <w:r>
        <w:rPr>
          <w:spacing w:val="-4"/>
          <w:sz w:val="27"/>
        </w:rPr>
        <w:t>其他应交款应付保证金内部应付款其他应付款</w:t>
      </w:r>
      <w:r>
        <w:rPr>
          <w:sz w:val="27"/>
        </w:rPr>
        <w:t>预提费用</w:t>
      </w:r>
    </w:p>
    <w:p>
      <w:pPr>
        <w:spacing w:before="5" w:line="561" w:lineRule="auto"/>
        <w:ind w:left="361" w:right="578" w:firstLine="0"/>
        <w:jc w:val="left"/>
        <w:rPr>
          <w:sz w:val="27"/>
        </w:rPr>
      </w:pPr>
      <w:r>
        <w:rPr>
          <w:sz w:val="27"/>
        </w:rPr>
        <w:t xml:space="preserve">预计流动负债 应付分保账款 </w:t>
      </w:r>
      <w:r>
        <w:rPr>
          <w:spacing w:val="-3"/>
          <w:sz w:val="27"/>
        </w:rPr>
        <w:t>保险合同准备金</w:t>
      </w:r>
    </w:p>
    <w:p>
      <w:pPr>
        <w:spacing w:before="3"/>
        <w:ind w:left="362" w:right="0" w:firstLine="0"/>
        <w:jc w:val="left"/>
        <w:rPr>
          <w:sz w:val="27"/>
        </w:rPr>
      </w:pPr>
      <w:r>
        <w:br w:type="column"/>
      </w:r>
      <w:r>
        <w:rPr>
          <w:sz w:val="27"/>
        </w:rPr>
        <w:t>.00</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spacing w:before="184"/>
        <w:ind w:left="362" w:right="0" w:firstLine="0"/>
        <w:jc w:val="left"/>
        <w:rPr>
          <w:sz w:val="27"/>
        </w:rPr>
      </w:pPr>
      <w:r>
        <w:rPr>
          <w:sz w:val="27"/>
        </w:rPr>
        <w:t>.00</w:t>
      </w:r>
    </w:p>
    <w:p>
      <w:pPr>
        <w:spacing w:after="0"/>
        <w:jc w:val="left"/>
        <w:rPr>
          <w:sz w:val="27"/>
        </w:rPr>
        <w:sectPr>
          <w:headerReference w:type="default" r:id="rId27"/>
          <w:footerReference w:type="default" r:id="rId28"/>
          <w:type w:val="continuous"/>
          <w:pgSz w:w="17860" w:h="25260"/>
          <w:pgMar w:top="1200" w:right="1360" w:bottom="2020" w:left="1420" w:header="708" w:footer="708"/>
          <w:pgNumType w:start="10"/>
          <w:cols w:num="2" w:space="708" w:equalWidth="0">
            <w:col w:w="2833" w:space="3638"/>
            <w:col w:w="8609" w:space="0"/>
          </w:cols>
        </w:sectPr>
      </w:pPr>
    </w:p>
    <w:p>
      <w:pPr>
        <w:pStyle w:val="BodyText"/>
        <w:rPr>
          <w:sz w:val="20"/>
        </w:rPr>
      </w:pPr>
    </w:p>
    <w:p>
      <w:pPr>
        <w:pStyle w:val="BodyText"/>
        <w:rPr>
          <w:sz w:val="20"/>
        </w:rPr>
      </w:pPr>
    </w:p>
    <w:p>
      <w:pPr>
        <w:pStyle w:val="BodyText"/>
        <w:rPr>
          <w:sz w:val="20"/>
        </w:rPr>
      </w:pPr>
    </w:p>
    <w:p>
      <w:pPr>
        <w:spacing w:before="203" w:line="561" w:lineRule="auto"/>
        <w:ind w:left="361" w:right="12825" w:firstLine="0"/>
        <w:jc w:val="left"/>
        <w:rPr>
          <w:sz w:val="27"/>
        </w:rPr>
      </w:pPr>
      <w:r>
        <w:rPr>
          <w:spacing w:val="-3"/>
          <w:sz w:val="27"/>
        </w:rPr>
        <w:t>代理买卖证券款代理承销证券款</w:t>
      </w:r>
      <w:r>
        <w:rPr>
          <w:sz w:val="27"/>
        </w:rPr>
        <w:t>国际票证结算 国内票证结算 递延收益</w:t>
      </w:r>
    </w:p>
    <w:p>
      <w:pPr>
        <w:spacing w:before="2"/>
        <w:ind w:left="361" w:right="0" w:firstLine="0"/>
        <w:jc w:val="left"/>
        <w:rPr>
          <w:sz w:val="27"/>
        </w:rPr>
      </w:pPr>
      <w:r>
        <w:rPr>
          <w:sz w:val="27"/>
        </w:rPr>
        <w:t>应付短期债券</w:t>
      </w:r>
    </w:p>
    <w:p>
      <w:pPr>
        <w:pStyle w:val="BodyText"/>
        <w:spacing w:before="3"/>
        <w:rPr>
          <w:sz w:val="36"/>
        </w:rPr>
      </w:pPr>
    </w:p>
    <w:p>
      <w:pPr>
        <w:spacing w:before="0" w:line="561" w:lineRule="auto"/>
        <w:ind w:left="361" w:right="11745" w:firstLine="0"/>
        <w:jc w:val="left"/>
        <w:rPr>
          <w:sz w:val="27"/>
        </w:rPr>
      </w:pPr>
      <w:r>
        <w:rPr>
          <w:spacing w:val="-2"/>
          <w:sz w:val="27"/>
        </w:rPr>
        <w:t>一年内到期的非流动负债</w:t>
      </w:r>
      <w:r>
        <w:rPr>
          <w:sz w:val="27"/>
        </w:rPr>
        <w:t>其他流动负债</w:t>
      </w:r>
    </w:p>
    <w:p>
      <w:pPr>
        <w:spacing w:before="2" w:line="561" w:lineRule="auto"/>
        <w:ind w:left="361" w:right="13095" w:firstLine="0"/>
        <w:jc w:val="left"/>
        <w:rPr>
          <w:sz w:val="27"/>
        </w:rPr>
      </w:pPr>
      <w:r>
        <w:rPr>
          <w:spacing w:val="-3"/>
          <w:sz w:val="27"/>
        </w:rPr>
        <w:t>流动负债合计</w:t>
      </w:r>
      <w:r>
        <w:rPr>
          <w:sz w:val="27"/>
        </w:rPr>
        <w:t>非流动负债 长期借款</w:t>
      </w:r>
    </w:p>
    <w:p>
      <w:pPr>
        <w:spacing w:before="2" w:line="561" w:lineRule="auto"/>
        <w:ind w:left="361" w:right="13365" w:firstLine="0"/>
        <w:jc w:val="left"/>
        <w:rPr>
          <w:sz w:val="27"/>
        </w:rPr>
      </w:pPr>
      <w:r>
        <w:rPr>
          <w:sz w:val="27"/>
        </w:rPr>
        <w:t xml:space="preserve">应付债券 </w:t>
      </w:r>
      <w:r>
        <w:rPr>
          <w:spacing w:val="-4"/>
          <w:sz w:val="27"/>
        </w:rPr>
        <w:t>长期应付款专项应付款</w:t>
      </w:r>
    </w:p>
    <w:p>
      <w:pPr>
        <w:spacing w:before="2"/>
        <w:ind w:left="361" w:right="0" w:firstLine="0"/>
        <w:jc w:val="left"/>
        <w:rPr>
          <w:sz w:val="27"/>
        </w:rPr>
      </w:pPr>
      <w:r>
        <w:rPr>
          <w:sz w:val="27"/>
        </w:rPr>
        <w:t>预计非流动负债</w:t>
      </w:r>
    </w:p>
    <w:p>
      <w:pPr>
        <w:pStyle w:val="BodyText"/>
        <w:rPr>
          <w:sz w:val="20"/>
        </w:rPr>
      </w:pPr>
    </w:p>
    <w:p>
      <w:pPr>
        <w:spacing w:after="0"/>
        <w:rPr>
          <w:sz w:val="20"/>
        </w:rPr>
        <w:sectPr>
          <w:headerReference w:type="default" r:id="rId29"/>
          <w:footerReference w:type="default" r:id="rId30"/>
          <w:pgSz w:w="17860" w:h="25260"/>
          <w:pgMar w:top="1200" w:right="1360" w:bottom="2000" w:left="1420" w:header="1005" w:footer="1818"/>
          <w:pgNumType w:start="11"/>
          <w:cols w:space="708"/>
        </w:sectPr>
      </w:pPr>
    </w:p>
    <w:p>
      <w:pPr>
        <w:spacing w:before="208" w:line="561" w:lineRule="auto"/>
        <w:ind w:left="361" w:right="310" w:firstLine="0"/>
        <w:jc w:val="both"/>
        <w:rPr>
          <w:sz w:val="27"/>
        </w:rPr>
      </w:pPr>
      <w:r>
        <w:drawing>
          <wp:anchor distT="0" distB="0" distL="0" distR="0" simplePos="0" relativeHeight="251667456" behindDoc="1" locked="0" layoutInCell="1" allowOverlap="1">
            <wp:simplePos x="0" y="0"/>
            <wp:positionH relativeFrom="page">
              <wp:posOffset>1016000</wp:posOffset>
            </wp:positionH>
            <wp:positionV relativeFrom="page">
              <wp:posOffset>1181100</wp:posOffset>
            </wp:positionV>
            <wp:extent cx="9029700" cy="12903200"/>
            <wp:effectExtent l="0" t="0" r="0" b="0"/>
            <wp:wrapNone/>
            <wp:docPr id="3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6.png"/>
                    <pic:cNvPicPr/>
                  </pic:nvPicPr>
                  <pic:blipFill>
                    <a:blip xmlns:r="http://schemas.openxmlformats.org/officeDocument/2006/relationships" r:embed="rId20" cstate="print"/>
                    <a:stretch>
                      <a:fillRect/>
                    </a:stretch>
                  </pic:blipFill>
                  <pic:spPr>
                    <a:xfrm>
                      <a:off x="0" y="0"/>
                      <a:ext cx="9029700" cy="12903200"/>
                    </a:xfrm>
                    <a:prstGeom prst="rect">
                      <a:avLst/>
                    </a:prstGeom>
                  </pic:spPr>
                </pic:pic>
              </a:graphicData>
            </a:graphic>
          </wp:anchor>
        </w:drawing>
      </w:r>
      <w:r>
        <w:rPr>
          <w:sz w:val="27"/>
        </w:rPr>
        <w:t>递延所得税负债其他非流动负债非流动负债合计负债合计</w:t>
      </w:r>
    </w:p>
    <w:p>
      <w:pPr>
        <w:spacing w:before="2"/>
        <w:ind w:left="361" w:right="0" w:firstLine="0"/>
        <w:jc w:val="left"/>
        <w:rPr>
          <w:sz w:val="27"/>
        </w:rPr>
      </w:pPr>
      <w:r>
        <w:rPr>
          <w:sz w:val="27"/>
        </w:rPr>
        <w:t>所有者权益</w:t>
      </w:r>
    </w:p>
    <w:p>
      <w:pPr>
        <w:pStyle w:val="BodyText"/>
        <w:spacing w:before="3"/>
        <w:rPr>
          <w:sz w:val="36"/>
        </w:rPr>
      </w:pPr>
    </w:p>
    <w:p>
      <w:pPr>
        <w:spacing w:before="0" w:line="561" w:lineRule="auto"/>
        <w:ind w:left="361" w:right="38" w:firstLine="0"/>
        <w:jc w:val="left"/>
        <w:rPr>
          <w:sz w:val="27"/>
        </w:rPr>
      </w:pPr>
      <w:r>
        <w:rPr>
          <w:spacing w:val="-2"/>
          <w:sz w:val="27"/>
        </w:rPr>
        <w:t xml:space="preserve">实收资本(或股本) </w:t>
      </w:r>
      <w:r>
        <w:rPr>
          <w:sz w:val="27"/>
        </w:rPr>
        <w:t>资本公积</w:t>
      </w:r>
    </w:p>
    <w:p>
      <w:pPr>
        <w:spacing w:before="1" w:line="561" w:lineRule="auto"/>
        <w:ind w:left="361" w:right="1120" w:firstLine="0"/>
        <w:jc w:val="left"/>
        <w:rPr>
          <w:sz w:val="27"/>
        </w:rPr>
      </w:pPr>
      <w:r>
        <w:rPr>
          <w:sz w:val="27"/>
        </w:rPr>
        <w:t xml:space="preserve">库 存 股 </w:t>
      </w:r>
      <w:r>
        <w:rPr>
          <w:spacing w:val="-5"/>
          <w:sz w:val="27"/>
        </w:rPr>
        <w:t>专项储备盈余公积</w:t>
      </w:r>
    </w:p>
    <w:p>
      <w:pPr>
        <w:spacing w:before="208"/>
        <w:ind w:left="362" w:right="0" w:firstLine="0"/>
        <w:jc w:val="left"/>
        <w:rPr>
          <w:sz w:val="27"/>
        </w:rPr>
      </w:pPr>
      <w:r>
        <w:br w:type="column"/>
      </w:r>
      <w:r>
        <w:rPr>
          <w:sz w:val="27"/>
        </w:rPr>
        <w:t>.00</w:t>
      </w:r>
    </w:p>
    <w:p>
      <w:pPr>
        <w:pStyle w:val="BodyText"/>
        <w:rPr>
          <w:sz w:val="26"/>
        </w:rPr>
      </w:pPr>
    </w:p>
    <w:p>
      <w:pPr>
        <w:pStyle w:val="BodyText"/>
        <w:rPr>
          <w:sz w:val="26"/>
        </w:rPr>
      </w:pPr>
    </w:p>
    <w:p>
      <w:pPr>
        <w:pStyle w:val="BodyText"/>
        <w:rPr>
          <w:sz w:val="26"/>
        </w:rPr>
      </w:pPr>
    </w:p>
    <w:p>
      <w:pPr>
        <w:pStyle w:val="BodyText"/>
        <w:spacing w:before="5"/>
        <w:rPr>
          <w:sz w:val="21"/>
        </w:rPr>
      </w:pPr>
    </w:p>
    <w:p>
      <w:pPr>
        <w:spacing w:before="0"/>
        <w:ind w:left="362" w:right="0" w:firstLine="0"/>
        <w:jc w:val="left"/>
        <w:rPr>
          <w:sz w:val="27"/>
        </w:rPr>
      </w:pPr>
      <w:r>
        <w:rPr>
          <w:sz w:val="27"/>
        </w:rPr>
        <w:t>.00</w:t>
      </w:r>
    </w:p>
    <w:p>
      <w:pPr>
        <w:spacing w:after="0"/>
        <w:jc w:val="left"/>
        <w:rPr>
          <w:sz w:val="27"/>
        </w:rPr>
        <w:sectPr>
          <w:headerReference w:type="default" r:id="rId31"/>
          <w:footerReference w:type="default" r:id="rId32"/>
          <w:type w:val="continuous"/>
          <w:pgSz w:w="17860" w:h="25260"/>
          <w:pgMar w:top="1200" w:right="1360" w:bottom="2020" w:left="1420" w:header="708" w:footer="708"/>
          <w:pgNumType w:start="12"/>
          <w:cols w:num="2" w:space="708" w:equalWidth="0">
            <w:col w:w="2565" w:space="3906"/>
            <w:col w:w="8609" w:space="0"/>
          </w:cols>
        </w:sectPr>
      </w:pPr>
    </w:p>
    <w:p>
      <w:pPr>
        <w:pStyle w:val="BodyText"/>
        <w:rPr>
          <w:sz w:val="20"/>
        </w:rPr>
      </w:pPr>
    </w:p>
    <w:p>
      <w:pPr>
        <w:pStyle w:val="BodyText"/>
        <w:rPr>
          <w:sz w:val="20"/>
        </w:rPr>
      </w:pPr>
    </w:p>
    <w:p>
      <w:pPr>
        <w:pStyle w:val="BodyText"/>
        <w:rPr>
          <w:sz w:val="20"/>
        </w:rPr>
      </w:pPr>
    </w:p>
    <w:p>
      <w:pPr>
        <w:pStyle w:val="BodyText"/>
        <w:spacing w:before="10"/>
        <w:rPr>
          <w:sz w:val="18"/>
        </w:rPr>
      </w:pPr>
    </w:p>
    <w:tbl>
      <w:tblPr>
        <w:tblStyle w:val="TableNormal7"/>
        <w:tblW w:w="0" w:type="auto"/>
        <w:jc w:val="left"/>
        <w:tblInd w:w="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41"/>
        <w:gridCol w:w="2929"/>
        <w:gridCol w:w="1769"/>
      </w:tblGrid>
      <w:tr>
        <w:tblPrEx>
          <w:tblW w:w="0" w:type="auto"/>
          <w:jc w:val="left"/>
          <w:tblInd w:w="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970"/>
          <w:jc w:val="left"/>
        </w:trPr>
        <w:tc>
          <w:tcPr>
            <w:tcW w:w="5041" w:type="dxa"/>
          </w:tcPr>
          <w:p>
            <w:pPr>
              <w:pStyle w:val="TableParagraph"/>
              <w:spacing w:line="308" w:lineRule="exact"/>
              <w:ind w:left="50"/>
              <w:rPr>
                <w:sz w:val="27"/>
              </w:rPr>
            </w:pPr>
            <w:r>
              <w:rPr>
                <w:sz w:val="27"/>
              </w:rPr>
              <w:t>一般风险准备</w:t>
            </w:r>
          </w:p>
          <w:p>
            <w:pPr>
              <w:pStyle w:val="TableParagraph"/>
              <w:spacing w:before="2"/>
              <w:rPr>
                <w:sz w:val="36"/>
              </w:rPr>
            </w:pPr>
          </w:p>
          <w:p>
            <w:pPr>
              <w:pStyle w:val="TableParagraph"/>
              <w:spacing w:before="1" w:line="561" w:lineRule="auto"/>
              <w:ind w:left="50" w:right="2830"/>
              <w:rPr>
                <w:sz w:val="27"/>
              </w:rPr>
            </w:pPr>
            <w:r>
              <w:rPr>
                <w:sz w:val="27"/>
              </w:rPr>
              <w:t>未确定的投资损失未分配利润</w:t>
            </w:r>
          </w:p>
          <w:p>
            <w:pPr>
              <w:pStyle w:val="TableParagraph"/>
              <w:spacing w:before="1"/>
              <w:ind w:left="50"/>
              <w:rPr>
                <w:sz w:val="27"/>
              </w:rPr>
            </w:pPr>
            <w:r>
              <w:rPr>
                <w:sz w:val="27"/>
              </w:rPr>
              <w:t>拟分配现金股利</w:t>
            </w:r>
          </w:p>
        </w:tc>
        <w:tc>
          <w:tcPr>
            <w:tcW w:w="4698" w:type="dxa"/>
            <w:gridSpan w:val="2"/>
          </w:tcPr>
          <w:p>
            <w:pPr>
              <w:pStyle w:val="TableParagraph"/>
              <w:rPr>
                <w:rFonts w:ascii="Times New Roman"/>
                <w:sz w:val="30"/>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5041" w:type="dxa"/>
          </w:tcPr>
          <w:p>
            <w:pPr>
              <w:pStyle w:val="TableParagraph"/>
              <w:spacing w:before="232"/>
              <w:ind w:left="50"/>
              <w:rPr>
                <w:sz w:val="27"/>
              </w:rPr>
            </w:pPr>
            <w:r>
              <w:rPr>
                <w:sz w:val="27"/>
              </w:rPr>
              <w:t>外币报表折算差额</w:t>
            </w:r>
          </w:p>
        </w:tc>
        <w:tc>
          <w:tcPr>
            <w:tcW w:w="2929" w:type="dxa"/>
          </w:tcPr>
          <w:p>
            <w:pPr>
              <w:pStyle w:val="TableParagraph"/>
              <w:spacing w:before="232"/>
              <w:ind w:right="1042"/>
              <w:jc w:val="right"/>
              <w:rPr>
                <w:sz w:val="27"/>
              </w:rPr>
            </w:pPr>
            <w:r>
              <w:rPr>
                <w:sz w:val="27"/>
              </w:rPr>
              <w:t>.00</w:t>
            </w:r>
          </w:p>
        </w:tc>
        <w:tc>
          <w:tcPr>
            <w:tcW w:w="1769" w:type="dxa"/>
          </w:tcPr>
          <w:p>
            <w:pPr>
              <w:pStyle w:val="TableParagraph"/>
              <w:spacing w:before="232"/>
              <w:ind w:left="1042"/>
              <w:rPr>
                <w:sz w:val="27"/>
              </w:rPr>
            </w:pPr>
            <w:r>
              <w:rPr>
                <w:sz w:val="27"/>
              </w:rPr>
              <w:t>(.00)</w:t>
            </w: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5041" w:type="dxa"/>
          </w:tcPr>
          <w:p>
            <w:pPr>
              <w:pStyle w:val="TableParagraph"/>
              <w:spacing w:before="232"/>
              <w:ind w:left="50"/>
              <w:rPr>
                <w:sz w:val="27"/>
              </w:rPr>
            </w:pPr>
            <w:r>
              <w:rPr>
                <w:sz w:val="27"/>
              </w:rPr>
              <w:t>归属于母公司股东权益合计</w:t>
            </w:r>
          </w:p>
        </w:tc>
        <w:tc>
          <w:tcPr>
            <w:tcW w:w="2929" w:type="dxa"/>
          </w:tcPr>
          <w:p>
            <w:pPr>
              <w:pStyle w:val="TableParagraph"/>
              <w:rPr>
                <w:rFonts w:ascii="Times New Roman"/>
                <w:sz w:val="30"/>
              </w:rPr>
            </w:pPr>
          </w:p>
        </w:tc>
        <w:tc>
          <w:tcPr>
            <w:tcW w:w="1769" w:type="dxa"/>
          </w:tcPr>
          <w:p>
            <w:pPr>
              <w:pStyle w:val="TableParagraph"/>
              <w:rPr>
                <w:rFonts w:ascii="Times New Roman"/>
                <w:sz w:val="30"/>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5041" w:type="dxa"/>
          </w:tcPr>
          <w:p>
            <w:pPr>
              <w:pStyle w:val="TableParagraph"/>
              <w:spacing w:before="232"/>
              <w:ind w:left="50"/>
              <w:rPr>
                <w:sz w:val="27"/>
              </w:rPr>
            </w:pPr>
            <w:r>
              <w:rPr>
                <w:sz w:val="27"/>
              </w:rPr>
              <w:t>少数股东权益</w:t>
            </w:r>
          </w:p>
        </w:tc>
        <w:tc>
          <w:tcPr>
            <w:tcW w:w="2929" w:type="dxa"/>
          </w:tcPr>
          <w:p>
            <w:pPr>
              <w:pStyle w:val="TableParagraph"/>
              <w:rPr>
                <w:rFonts w:ascii="Times New Roman"/>
                <w:sz w:val="30"/>
              </w:rPr>
            </w:pPr>
          </w:p>
        </w:tc>
        <w:tc>
          <w:tcPr>
            <w:tcW w:w="1769" w:type="dxa"/>
          </w:tcPr>
          <w:p>
            <w:pPr>
              <w:pStyle w:val="TableParagraph"/>
              <w:rPr>
                <w:rFonts w:ascii="Times New Roman"/>
                <w:sz w:val="30"/>
              </w:rPr>
            </w:pPr>
          </w:p>
        </w:tc>
      </w:tr>
      <w:tr>
        <w:tblPrEx>
          <w:tblW w:w="0" w:type="auto"/>
          <w:jc w:val="left"/>
          <w:tblInd w:w="319" w:type="dxa"/>
          <w:tblLayout w:type="fixed"/>
          <w:tblCellMar>
            <w:top w:w="0" w:type="dxa"/>
            <w:left w:w="0" w:type="dxa"/>
            <w:bottom w:w="0" w:type="dxa"/>
            <w:right w:w="0" w:type="dxa"/>
          </w:tblCellMar>
          <w:tblLook w:val="01E0"/>
        </w:tblPrEx>
        <w:trPr>
          <w:trHeight w:val="810"/>
          <w:jc w:val="left"/>
        </w:trPr>
        <w:tc>
          <w:tcPr>
            <w:tcW w:w="5041" w:type="dxa"/>
          </w:tcPr>
          <w:p>
            <w:pPr>
              <w:pStyle w:val="TableParagraph"/>
              <w:spacing w:before="232"/>
              <w:ind w:left="50"/>
              <w:rPr>
                <w:sz w:val="27"/>
              </w:rPr>
            </w:pPr>
            <w:r>
              <w:rPr>
                <w:sz w:val="27"/>
              </w:rPr>
              <w:t>所有者权益(或股东权益)合计</w:t>
            </w:r>
          </w:p>
        </w:tc>
        <w:tc>
          <w:tcPr>
            <w:tcW w:w="2929" w:type="dxa"/>
          </w:tcPr>
          <w:p>
            <w:pPr>
              <w:pStyle w:val="TableParagraph"/>
              <w:spacing w:before="232"/>
              <w:ind w:right="1042"/>
              <w:jc w:val="right"/>
              <w:rPr>
                <w:sz w:val="27"/>
              </w:rPr>
            </w:pPr>
            <w:r>
              <w:rPr>
                <w:sz w:val="27"/>
              </w:rPr>
              <w:t>.00</w:t>
            </w:r>
          </w:p>
        </w:tc>
        <w:tc>
          <w:tcPr>
            <w:tcW w:w="1769" w:type="dxa"/>
          </w:tcPr>
          <w:p>
            <w:pPr>
              <w:pStyle w:val="TableParagraph"/>
              <w:rPr>
                <w:rFonts w:ascii="Times New Roman"/>
                <w:sz w:val="30"/>
              </w:rPr>
            </w:pPr>
          </w:p>
        </w:tc>
      </w:tr>
      <w:tr>
        <w:tblPrEx>
          <w:tblW w:w="0" w:type="auto"/>
          <w:jc w:val="left"/>
          <w:tblInd w:w="319" w:type="dxa"/>
          <w:tblLayout w:type="fixed"/>
          <w:tblCellMar>
            <w:top w:w="0" w:type="dxa"/>
            <w:left w:w="0" w:type="dxa"/>
            <w:bottom w:w="0" w:type="dxa"/>
            <w:right w:w="0" w:type="dxa"/>
          </w:tblCellMar>
          <w:tblLook w:val="01E0"/>
        </w:tblPrEx>
        <w:trPr>
          <w:trHeight w:val="540"/>
          <w:jc w:val="left"/>
        </w:trPr>
        <w:tc>
          <w:tcPr>
            <w:tcW w:w="5041" w:type="dxa"/>
          </w:tcPr>
          <w:p>
            <w:pPr>
              <w:pStyle w:val="TableParagraph"/>
              <w:spacing w:before="232" w:line="288" w:lineRule="exact"/>
              <w:ind w:left="50"/>
              <w:rPr>
                <w:sz w:val="27"/>
              </w:rPr>
            </w:pPr>
            <w:r>
              <w:rPr>
                <w:sz w:val="27"/>
              </w:rPr>
              <w:t>负债和所有者权益总计</w:t>
            </w:r>
          </w:p>
        </w:tc>
        <w:tc>
          <w:tcPr>
            <w:tcW w:w="2929" w:type="dxa"/>
          </w:tcPr>
          <w:p>
            <w:pPr>
              <w:pStyle w:val="TableParagraph"/>
              <w:rPr>
                <w:rFonts w:ascii="Times New Roman"/>
                <w:sz w:val="30"/>
              </w:rPr>
            </w:pPr>
          </w:p>
        </w:tc>
        <w:tc>
          <w:tcPr>
            <w:tcW w:w="1769" w:type="dxa"/>
          </w:tcPr>
          <w:p>
            <w:pPr>
              <w:pStyle w:val="TableParagraph"/>
              <w:rPr>
                <w:rFonts w:ascii="Times New Roman"/>
                <w:sz w:val="30"/>
              </w:rPr>
            </w:pPr>
          </w:p>
        </w:tc>
      </w:tr>
    </w:tbl>
    <w:p>
      <w:pPr>
        <w:pStyle w:val="BodyText"/>
        <w:rPr>
          <w:sz w:val="20"/>
        </w:rPr>
      </w:pPr>
    </w:p>
    <w:p>
      <w:pPr>
        <w:pStyle w:val="BodyText"/>
        <w:rPr>
          <w:sz w:val="20"/>
        </w:rPr>
      </w:pPr>
    </w:p>
    <w:p>
      <w:pPr>
        <w:pStyle w:val="BodyText"/>
        <w:spacing w:before="9"/>
        <w:rPr>
          <w:sz w:val="25"/>
        </w:rPr>
      </w:pPr>
    </w:p>
    <w:p>
      <w:pPr>
        <w:pStyle w:val="ListParagraph"/>
        <w:numPr>
          <w:ilvl w:val="1"/>
          <w:numId w:val="8"/>
        </w:numPr>
        <w:tabs>
          <w:tab w:val="left" w:pos="2360"/>
          <w:tab w:val="left" w:pos="2361"/>
        </w:tabs>
        <w:spacing w:before="62" w:after="0" w:line="470" w:lineRule="auto"/>
        <w:ind w:left="2360" w:right="1169" w:hanging="1080"/>
        <w:jc w:val="left"/>
        <w:rPr>
          <w:sz w:val="31"/>
        </w:rPr>
      </w:pPr>
      <w:r>
        <w:drawing>
          <wp:anchor distT="0" distB="0" distL="0" distR="0" simplePos="0" relativeHeight="251669504" behindDoc="1" locked="0" layoutInCell="1" allowOverlap="1">
            <wp:simplePos x="0" y="0"/>
            <wp:positionH relativeFrom="page">
              <wp:posOffset>1016000</wp:posOffset>
            </wp:positionH>
            <wp:positionV relativeFrom="paragraph">
              <wp:posOffset>-5047107</wp:posOffset>
            </wp:positionV>
            <wp:extent cx="9007125" cy="4661915"/>
            <wp:effectExtent l="0" t="0" r="0" b="0"/>
            <wp:wrapNone/>
            <wp:docPr id="4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7.png"/>
                    <pic:cNvPicPr/>
                  </pic:nvPicPr>
                  <pic:blipFill>
                    <a:blip xmlns:r="http://schemas.openxmlformats.org/officeDocument/2006/relationships" r:embed="rId33" cstate="print"/>
                    <a:stretch>
                      <a:fillRect/>
                    </a:stretch>
                  </pic:blipFill>
                  <pic:spPr>
                    <a:xfrm>
                      <a:off x="0" y="0"/>
                      <a:ext cx="9007125" cy="4661915"/>
                    </a:xfrm>
                    <a:prstGeom prst="rect">
                      <a:avLst/>
                    </a:prstGeom>
                  </pic:spPr>
                </pic:pic>
              </a:graphicData>
            </a:graphic>
          </wp:anchor>
        </w:drawing>
      </w:r>
      <w:r>
        <w:rPr>
          <w:sz w:val="31"/>
        </w:rPr>
        <w:t xml:space="preserve">从静态方面分析。就一般意义而言，流动资产变现能力强，其资产风险较小；而非 </w:t>
      </w:r>
      <w:r>
        <w:rPr>
          <w:spacing w:val="-1"/>
          <w:sz w:val="31"/>
        </w:rPr>
        <w:t>流动资产变现能力较差吧，其资产风险较大。该公司本期流动资产所占比重为</w:t>
      </w:r>
      <w:r>
        <w:rPr>
          <w:spacing w:val="-6"/>
          <w:sz w:val="31"/>
        </w:rPr>
        <w:t xml:space="preserve">83%， </w:t>
      </w:r>
      <w:r>
        <w:rPr>
          <w:spacing w:val="15"/>
          <w:sz w:val="31"/>
        </w:rPr>
        <w:t xml:space="preserve">而非流动资产为 </w:t>
      </w:r>
      <w:r>
        <w:rPr>
          <w:sz w:val="31"/>
        </w:rPr>
        <w:t>17%，可以认为该公司资产变现能力强，资产风险小。该公司权益</w:t>
      </w:r>
      <w:r>
        <w:rPr>
          <w:spacing w:val="-19"/>
          <w:sz w:val="31"/>
        </w:rPr>
        <w:t xml:space="preserve">比重为 </w:t>
      </w:r>
      <w:r>
        <w:rPr>
          <w:sz w:val="31"/>
        </w:rPr>
        <w:t>21</w:t>
      </w:r>
      <w:r>
        <w:rPr>
          <w:spacing w:val="-11"/>
          <w:sz w:val="31"/>
        </w:rPr>
        <w:t xml:space="preserve">%，负债比重为 </w:t>
      </w:r>
      <w:r>
        <w:rPr>
          <w:sz w:val="31"/>
        </w:rPr>
        <w:t>79%，资产负债率较高，财务风险较大。</w:t>
      </w:r>
    </w:p>
    <w:p>
      <w:pPr>
        <w:pStyle w:val="ListParagraph"/>
        <w:numPr>
          <w:ilvl w:val="1"/>
          <w:numId w:val="8"/>
        </w:numPr>
        <w:tabs>
          <w:tab w:val="left" w:pos="2361"/>
        </w:tabs>
        <w:spacing w:before="8" w:after="0" w:line="470" w:lineRule="auto"/>
        <w:ind w:left="2360" w:right="1313" w:hanging="1080"/>
        <w:jc w:val="both"/>
        <w:rPr>
          <w:sz w:val="31"/>
        </w:rPr>
      </w:pPr>
      <w:r>
        <w:drawing>
          <wp:anchor distT="0" distB="0" distL="0" distR="0" simplePos="0" relativeHeight="251668480" behindDoc="1" locked="0" layoutInCell="1" allowOverlap="1">
            <wp:simplePos x="0" y="0"/>
            <wp:positionH relativeFrom="page">
              <wp:posOffset>1181100</wp:posOffset>
            </wp:positionH>
            <wp:positionV relativeFrom="paragraph">
              <wp:posOffset>2334260</wp:posOffset>
            </wp:positionV>
            <wp:extent cx="8589073" cy="3635787"/>
            <wp:effectExtent l="0" t="0" r="0" b="0"/>
            <wp:wrapNone/>
            <wp:docPr id="4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8.png"/>
                    <pic:cNvPicPr/>
                  </pic:nvPicPr>
                  <pic:blipFill>
                    <a:blip xmlns:r="http://schemas.openxmlformats.org/officeDocument/2006/relationships" r:embed="rId34" cstate="print"/>
                    <a:stretch>
                      <a:fillRect/>
                    </a:stretch>
                  </pic:blipFill>
                  <pic:spPr>
                    <a:xfrm>
                      <a:off x="0" y="0"/>
                      <a:ext cx="8589073" cy="3635787"/>
                    </a:xfrm>
                    <a:prstGeom prst="rect">
                      <a:avLst/>
                    </a:prstGeom>
                  </pic:spPr>
                </pic:pic>
              </a:graphicData>
            </a:graphic>
          </wp:anchor>
        </w:drawing>
      </w:r>
      <w:r>
        <w:rPr>
          <w:spacing w:val="-7"/>
          <w:sz w:val="31"/>
        </w:rPr>
        <w:t xml:space="preserve">从动态方面分析，该公司的流动资产比重上升了 </w:t>
      </w:r>
      <w:r>
        <w:rPr>
          <w:spacing w:val="-16"/>
          <w:sz w:val="31"/>
        </w:rPr>
        <w:t>7</w:t>
      </w:r>
      <w:r>
        <w:rPr>
          <w:spacing w:val="-5"/>
          <w:sz w:val="31"/>
        </w:rPr>
        <w:t xml:space="preserve">%，非流动资产比重下降了 </w:t>
      </w:r>
      <w:r>
        <w:rPr>
          <w:spacing w:val="-15"/>
          <w:sz w:val="31"/>
        </w:rPr>
        <w:t>7</w:t>
      </w:r>
      <w:r>
        <w:rPr>
          <w:spacing w:val="-10"/>
          <w:sz w:val="31"/>
        </w:rPr>
        <w:t>%，总体而言，没有变化，说明该公司资产结构稳定。所有者权益比重下降了4%，</w:t>
      </w:r>
      <w:r>
        <w:rPr>
          <w:spacing w:val="-13"/>
          <w:sz w:val="31"/>
        </w:rPr>
        <w:t>负债总</w:t>
      </w:r>
      <w:r>
        <w:rPr>
          <w:spacing w:val="-11"/>
          <w:sz w:val="31"/>
        </w:rPr>
        <w:t xml:space="preserve">额的比重上升了 </w:t>
      </w:r>
      <w:r>
        <w:rPr>
          <w:sz w:val="31"/>
        </w:rPr>
        <w:t>4%。说明该公司资本结构相对比较稳定。</w:t>
      </w:r>
    </w:p>
    <w:tbl>
      <w:tblPr>
        <w:tblStyle w:val="TableNormal7"/>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90"/>
        <w:gridCol w:w="5341"/>
        <w:gridCol w:w="1566"/>
        <w:gridCol w:w="971"/>
        <w:gridCol w:w="1696"/>
      </w:tblGrid>
      <w:tr>
        <w:tblPrEx>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8"/>
          <w:jc w:val="left"/>
        </w:trPr>
        <w:tc>
          <w:tcPr>
            <w:tcW w:w="3690" w:type="dxa"/>
          </w:tcPr>
          <w:p>
            <w:pPr>
              <w:pStyle w:val="TableParagraph"/>
              <w:spacing w:line="397" w:lineRule="exact"/>
              <w:ind w:left="697"/>
              <w:rPr>
                <w:b/>
                <w:sz w:val="36"/>
              </w:rPr>
            </w:pPr>
            <w:r>
              <w:rPr>
                <w:b/>
                <w:sz w:val="36"/>
              </w:rPr>
              <w:t>（二）利润表</w:t>
            </w:r>
          </w:p>
        </w:tc>
        <w:tc>
          <w:tcPr>
            <w:tcW w:w="5341" w:type="dxa"/>
          </w:tcPr>
          <w:p>
            <w:pPr>
              <w:pStyle w:val="TableParagraph"/>
              <w:rPr>
                <w:rFonts w:ascii="Times New Roman"/>
                <w:sz w:val="30"/>
              </w:rPr>
            </w:pPr>
          </w:p>
        </w:tc>
        <w:tc>
          <w:tcPr>
            <w:tcW w:w="4233" w:type="dxa"/>
            <w:gridSpan w:val="3"/>
            <w:vMerge w:val="restart"/>
          </w:tcPr>
          <w:p>
            <w:pPr>
              <w:pStyle w:val="TableParagraph"/>
              <w:rPr>
                <w:rFonts w:ascii="Times New Roman"/>
                <w:sz w:val="30"/>
              </w:rPr>
            </w:pPr>
          </w:p>
        </w:tc>
      </w:tr>
      <w:tr>
        <w:tblPrEx>
          <w:tblW w:w="0" w:type="auto"/>
          <w:jc w:val="left"/>
          <w:tblInd w:w="590" w:type="dxa"/>
          <w:tblLayout w:type="fixed"/>
          <w:tblCellMar>
            <w:top w:w="0" w:type="dxa"/>
            <w:left w:w="0" w:type="dxa"/>
            <w:bottom w:w="0" w:type="dxa"/>
            <w:right w:w="0" w:type="dxa"/>
          </w:tblCellMar>
          <w:tblLook w:val="01E0"/>
        </w:tblPrEx>
        <w:trPr>
          <w:trHeight w:val="835"/>
          <w:jc w:val="left"/>
        </w:trPr>
        <w:tc>
          <w:tcPr>
            <w:tcW w:w="3690" w:type="dxa"/>
          </w:tcPr>
          <w:p>
            <w:pPr>
              <w:pStyle w:val="TableParagraph"/>
              <w:rPr>
                <w:rFonts w:ascii="Times New Roman"/>
                <w:sz w:val="30"/>
              </w:rPr>
            </w:pPr>
          </w:p>
        </w:tc>
        <w:tc>
          <w:tcPr>
            <w:tcW w:w="5341" w:type="dxa"/>
          </w:tcPr>
          <w:p>
            <w:pPr>
              <w:pStyle w:val="TableParagraph"/>
              <w:spacing w:before="187"/>
              <w:ind w:left="1505"/>
              <w:rPr>
                <w:sz w:val="31"/>
              </w:rPr>
            </w:pPr>
            <w:r>
              <w:rPr>
                <w:sz w:val="31"/>
              </w:rPr>
              <w:t>利润表水平分析表如下：</w:t>
            </w:r>
          </w:p>
        </w:tc>
        <w:tc>
          <w:tcPr>
            <w:tcW w:w="4233" w:type="dxa"/>
            <w:gridSpan w:val="3"/>
            <w:vMerge/>
            <w:tcBorders>
              <w:top w:val="nil"/>
            </w:tcBorders>
          </w:tcPr>
          <w:p>
            <w:pPr>
              <w:rPr>
                <w:sz w:val="2"/>
                <w:szCs w:val="2"/>
              </w:rPr>
            </w:pPr>
          </w:p>
        </w:tc>
      </w:tr>
      <w:tr>
        <w:tblPrEx>
          <w:tblW w:w="0" w:type="auto"/>
          <w:jc w:val="left"/>
          <w:tblInd w:w="590" w:type="dxa"/>
          <w:tblLayout w:type="fixed"/>
          <w:tblCellMar>
            <w:top w:w="0" w:type="dxa"/>
            <w:left w:w="0" w:type="dxa"/>
            <w:bottom w:w="0" w:type="dxa"/>
            <w:right w:w="0" w:type="dxa"/>
          </w:tblCellMar>
          <w:tblLook w:val="01E0"/>
        </w:tblPrEx>
        <w:trPr>
          <w:trHeight w:val="3250"/>
          <w:jc w:val="left"/>
        </w:trPr>
        <w:tc>
          <w:tcPr>
            <w:tcW w:w="3690" w:type="dxa"/>
          </w:tcPr>
          <w:p>
            <w:pPr>
              <w:pStyle w:val="TableParagraph"/>
              <w:spacing w:before="228"/>
              <w:ind w:left="50"/>
              <w:rPr>
                <w:sz w:val="27"/>
              </w:rPr>
            </w:pPr>
            <w:r>
              <w:rPr>
                <w:sz w:val="27"/>
              </w:rPr>
              <w:t>报表日期</w:t>
            </w:r>
          </w:p>
          <w:p>
            <w:pPr>
              <w:pStyle w:val="TableParagraph"/>
              <w:spacing w:before="2"/>
              <w:rPr>
                <w:sz w:val="36"/>
              </w:rPr>
            </w:pPr>
          </w:p>
          <w:p>
            <w:pPr>
              <w:pStyle w:val="TableParagraph"/>
              <w:spacing w:line="561" w:lineRule="auto"/>
              <w:ind w:left="50" w:right="1749"/>
              <w:rPr>
                <w:sz w:val="27"/>
              </w:rPr>
            </w:pPr>
            <w:r>
              <w:rPr>
                <w:spacing w:val="-3"/>
                <w:sz w:val="27"/>
              </w:rPr>
              <w:t>一、营业总收入</w:t>
            </w:r>
            <w:r>
              <w:rPr>
                <w:sz w:val="27"/>
              </w:rPr>
              <w:t>营业收入</w:t>
            </w:r>
          </w:p>
          <w:p>
            <w:pPr>
              <w:pStyle w:val="TableParagraph"/>
              <w:spacing w:before="2"/>
              <w:ind w:left="50"/>
              <w:rPr>
                <w:sz w:val="27"/>
              </w:rPr>
            </w:pPr>
            <w:r>
              <w:rPr>
                <w:sz w:val="27"/>
              </w:rPr>
              <w:t>利息收入</w:t>
            </w:r>
          </w:p>
        </w:tc>
        <w:tc>
          <w:tcPr>
            <w:tcW w:w="5341" w:type="dxa"/>
          </w:tcPr>
          <w:p>
            <w:pPr>
              <w:pStyle w:val="TableParagraph"/>
              <w:tabs>
                <w:tab w:val="left" w:pos="3380"/>
              </w:tabs>
              <w:spacing w:before="228"/>
              <w:ind w:left="831"/>
              <w:rPr>
                <w:sz w:val="27"/>
              </w:rPr>
            </w:pPr>
            <w:r>
              <w:rPr>
                <w:sz w:val="27"/>
              </w:rPr>
              <w:t>2009</w:t>
            </w:r>
            <w:r>
              <w:rPr>
                <w:spacing w:val="-67"/>
                <w:sz w:val="27"/>
              </w:rPr>
              <w:t xml:space="preserve"> </w:t>
            </w:r>
            <w:r>
              <w:rPr>
                <w:sz w:val="27"/>
              </w:rPr>
              <w:t>年度</w:t>
              <w:tab/>
              <w:t>2008</w:t>
            </w:r>
            <w:r>
              <w:rPr>
                <w:spacing w:val="-66"/>
                <w:sz w:val="27"/>
              </w:rPr>
              <w:t xml:space="preserve"> </w:t>
            </w:r>
            <w:r>
              <w:rPr>
                <w:sz w:val="27"/>
              </w:rPr>
              <w:t>年度</w:t>
            </w:r>
          </w:p>
        </w:tc>
        <w:tc>
          <w:tcPr>
            <w:tcW w:w="1566" w:type="dxa"/>
          </w:tcPr>
          <w:p>
            <w:pPr>
              <w:pStyle w:val="TableParagraph"/>
              <w:spacing w:before="228"/>
              <w:ind w:left="351"/>
              <w:rPr>
                <w:sz w:val="27"/>
              </w:rPr>
            </w:pPr>
            <w:r>
              <w:rPr>
                <w:sz w:val="27"/>
              </w:rPr>
              <w:t>增减额</w:t>
            </w:r>
          </w:p>
        </w:tc>
        <w:tc>
          <w:tcPr>
            <w:tcW w:w="971" w:type="dxa"/>
          </w:tcPr>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6"/>
              <w:rPr>
                <w:sz w:val="25"/>
              </w:rPr>
            </w:pPr>
          </w:p>
          <w:p>
            <w:pPr>
              <w:pStyle w:val="TableParagraph"/>
              <w:ind w:left="405"/>
              <w:rPr>
                <w:sz w:val="27"/>
              </w:rPr>
            </w:pPr>
            <w:r>
              <w:rPr>
                <w:sz w:val="27"/>
              </w:rPr>
              <w:t>.00</w:t>
            </w:r>
          </w:p>
        </w:tc>
        <w:tc>
          <w:tcPr>
            <w:tcW w:w="1696" w:type="dxa"/>
          </w:tcPr>
          <w:p>
            <w:pPr>
              <w:pStyle w:val="TableParagraph"/>
              <w:spacing w:before="228"/>
              <w:ind w:left="162"/>
              <w:rPr>
                <w:sz w:val="27"/>
              </w:rPr>
            </w:pPr>
            <w:r>
              <w:rPr>
                <w:sz w:val="27"/>
              </w:rPr>
              <w:t>增减率</w:t>
            </w:r>
          </w:p>
        </w:tc>
      </w:tr>
      <w:tr>
        <w:tblPrEx>
          <w:tblW w:w="0" w:type="auto"/>
          <w:jc w:val="left"/>
          <w:tblInd w:w="590" w:type="dxa"/>
          <w:tblLayout w:type="fixed"/>
          <w:tblCellMar>
            <w:top w:w="0" w:type="dxa"/>
            <w:left w:w="0" w:type="dxa"/>
            <w:bottom w:w="0" w:type="dxa"/>
            <w:right w:w="0" w:type="dxa"/>
          </w:tblCellMar>
          <w:tblLook w:val="01E0"/>
        </w:tblPrEx>
        <w:trPr>
          <w:trHeight w:val="1620"/>
          <w:jc w:val="left"/>
        </w:trPr>
        <w:tc>
          <w:tcPr>
            <w:tcW w:w="3690" w:type="dxa"/>
          </w:tcPr>
          <w:p>
            <w:pPr>
              <w:pStyle w:val="TableParagraph"/>
              <w:spacing w:before="218"/>
              <w:ind w:left="50"/>
              <w:rPr>
                <w:sz w:val="27"/>
              </w:rPr>
            </w:pPr>
            <w:r>
              <w:rPr>
                <w:sz w:val="27"/>
              </w:rPr>
              <w:t>已赚保费</w:t>
            </w:r>
          </w:p>
          <w:p>
            <w:pPr>
              <w:pStyle w:val="TableParagraph"/>
              <w:spacing w:before="3"/>
              <w:rPr>
                <w:sz w:val="36"/>
              </w:rPr>
            </w:pPr>
          </w:p>
          <w:p>
            <w:pPr>
              <w:pStyle w:val="TableParagraph"/>
              <w:ind w:left="50"/>
              <w:rPr>
                <w:sz w:val="27"/>
              </w:rPr>
            </w:pPr>
            <w:r>
              <w:rPr>
                <w:sz w:val="27"/>
              </w:rPr>
              <w:t>手续费及佣金收入</w:t>
            </w:r>
          </w:p>
        </w:tc>
        <w:tc>
          <w:tcPr>
            <w:tcW w:w="5341" w:type="dxa"/>
          </w:tcPr>
          <w:p>
            <w:pPr>
              <w:pStyle w:val="TableParagraph"/>
              <w:rPr>
                <w:rFonts w:ascii="Times New Roman"/>
                <w:sz w:val="30"/>
              </w:rPr>
            </w:pPr>
          </w:p>
        </w:tc>
        <w:tc>
          <w:tcPr>
            <w:tcW w:w="1566" w:type="dxa"/>
          </w:tcPr>
          <w:p>
            <w:pPr>
              <w:pStyle w:val="TableParagraph"/>
              <w:rPr>
                <w:rFonts w:ascii="Times New Roman"/>
                <w:sz w:val="30"/>
              </w:rPr>
            </w:pPr>
          </w:p>
        </w:tc>
        <w:tc>
          <w:tcPr>
            <w:tcW w:w="971" w:type="dxa"/>
          </w:tcPr>
          <w:p>
            <w:pPr>
              <w:pStyle w:val="TableParagraph"/>
              <w:rPr>
                <w:rFonts w:ascii="Times New Roman"/>
                <w:sz w:val="30"/>
              </w:rPr>
            </w:pPr>
          </w:p>
        </w:tc>
        <w:tc>
          <w:tcPr>
            <w:tcW w:w="1696" w:type="dxa"/>
          </w:tcPr>
          <w:p>
            <w:pPr>
              <w:pStyle w:val="TableParagraph"/>
              <w:rPr>
                <w:sz w:val="26"/>
              </w:rPr>
            </w:pPr>
          </w:p>
          <w:p>
            <w:pPr>
              <w:pStyle w:val="TableParagraph"/>
              <w:rPr>
                <w:sz w:val="26"/>
              </w:rPr>
            </w:pPr>
          </w:p>
          <w:p>
            <w:pPr>
              <w:pStyle w:val="TableParagraph"/>
              <w:spacing w:before="3"/>
              <w:rPr>
                <w:sz w:val="28"/>
              </w:rPr>
            </w:pPr>
          </w:p>
          <w:p>
            <w:pPr>
              <w:pStyle w:val="TableParagraph"/>
              <w:ind w:right="46"/>
              <w:jc w:val="right"/>
              <w:rPr>
                <w:sz w:val="27"/>
              </w:rPr>
            </w:pPr>
            <w:r>
              <w:rPr>
                <w:sz w:val="27"/>
              </w:rPr>
              <w:t>19.</w:t>
            </w:r>
          </w:p>
        </w:tc>
      </w:tr>
      <w:tr>
        <w:tblPrEx>
          <w:tblW w:w="0" w:type="auto"/>
          <w:jc w:val="left"/>
          <w:tblInd w:w="590" w:type="dxa"/>
          <w:tblLayout w:type="fixed"/>
          <w:tblCellMar>
            <w:top w:w="0" w:type="dxa"/>
            <w:left w:w="0" w:type="dxa"/>
            <w:bottom w:w="0" w:type="dxa"/>
            <w:right w:w="0" w:type="dxa"/>
          </w:tblCellMar>
          <w:tblLook w:val="01E0"/>
        </w:tblPrEx>
        <w:trPr>
          <w:trHeight w:val="540"/>
          <w:jc w:val="left"/>
        </w:trPr>
        <w:tc>
          <w:tcPr>
            <w:tcW w:w="3690" w:type="dxa"/>
          </w:tcPr>
          <w:p>
            <w:pPr>
              <w:pStyle w:val="TableParagraph"/>
              <w:spacing w:before="218" w:line="302" w:lineRule="exact"/>
              <w:ind w:left="50"/>
              <w:rPr>
                <w:sz w:val="27"/>
              </w:rPr>
            </w:pPr>
            <w:r>
              <w:rPr>
                <w:sz w:val="27"/>
              </w:rPr>
              <w:t>房地产销售收入</w:t>
            </w:r>
          </w:p>
        </w:tc>
        <w:tc>
          <w:tcPr>
            <w:tcW w:w="5341" w:type="dxa"/>
          </w:tcPr>
          <w:p>
            <w:pPr>
              <w:pStyle w:val="TableParagraph"/>
              <w:rPr>
                <w:rFonts w:ascii="Times New Roman"/>
                <w:sz w:val="30"/>
              </w:rPr>
            </w:pPr>
          </w:p>
        </w:tc>
        <w:tc>
          <w:tcPr>
            <w:tcW w:w="1566" w:type="dxa"/>
          </w:tcPr>
          <w:p>
            <w:pPr>
              <w:pStyle w:val="TableParagraph"/>
              <w:rPr>
                <w:rFonts w:ascii="Times New Roman"/>
                <w:sz w:val="30"/>
              </w:rPr>
            </w:pPr>
          </w:p>
        </w:tc>
        <w:tc>
          <w:tcPr>
            <w:tcW w:w="971" w:type="dxa"/>
          </w:tcPr>
          <w:p>
            <w:pPr>
              <w:pStyle w:val="TableParagraph"/>
              <w:rPr>
                <w:rFonts w:ascii="Times New Roman"/>
                <w:sz w:val="30"/>
              </w:rPr>
            </w:pPr>
          </w:p>
        </w:tc>
        <w:tc>
          <w:tcPr>
            <w:tcW w:w="1696" w:type="dxa"/>
          </w:tcPr>
          <w:p>
            <w:pPr>
              <w:pStyle w:val="TableParagraph"/>
              <w:rPr>
                <w:rFonts w:ascii="Times New Roman"/>
                <w:sz w:val="30"/>
              </w:rPr>
            </w:pPr>
          </w:p>
        </w:tc>
      </w:tr>
    </w:tbl>
    <w:p>
      <w:pPr>
        <w:spacing w:after="0"/>
        <w:rPr>
          <w:rFonts w:ascii="Times New Roman"/>
          <w:sz w:val="30"/>
        </w:rPr>
        <w:sectPr>
          <w:headerReference w:type="default" r:id="rId35"/>
          <w:footerReference w:type="default" r:id="rId36"/>
          <w:pgSz w:w="17860" w:h="25260"/>
          <w:pgMar w:top="1200" w:right="1360" w:bottom="2020" w:left="1420" w:header="1005" w:footer="1822"/>
          <w:pgNumType w:start="13"/>
          <w:cols w:space="708"/>
        </w:sectPr>
      </w:pPr>
    </w:p>
    <w:p>
      <w:pPr>
        <w:pStyle w:val="BodyText"/>
        <w:rPr>
          <w:sz w:val="20"/>
        </w:rPr>
      </w:pPr>
      <w:r>
        <w:drawing>
          <wp:anchor distT="0" distB="0" distL="0" distR="0" simplePos="0" relativeHeight="251670528" behindDoc="1" locked="0" layoutInCell="1" allowOverlap="1">
            <wp:simplePos x="0" y="0"/>
            <wp:positionH relativeFrom="page">
              <wp:posOffset>1181100</wp:posOffset>
            </wp:positionH>
            <wp:positionV relativeFrom="page">
              <wp:posOffset>1181100</wp:posOffset>
            </wp:positionV>
            <wp:extent cx="8589073" cy="12845605"/>
            <wp:effectExtent l="0" t="0" r="0" b="0"/>
            <wp:wrapNone/>
            <wp:docPr id="4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9.png"/>
                    <pic:cNvPicPr/>
                  </pic:nvPicPr>
                  <pic:blipFill>
                    <a:blip xmlns:r="http://schemas.openxmlformats.org/officeDocument/2006/relationships" r:embed="rId37" cstate="print"/>
                    <a:stretch>
                      <a:fillRect/>
                    </a:stretch>
                  </pic:blipFill>
                  <pic:spPr>
                    <a:xfrm>
                      <a:off x="0" y="0"/>
                      <a:ext cx="8589073" cy="12845605"/>
                    </a:xfrm>
                    <a:prstGeom prst="rect">
                      <a:avLst/>
                    </a:prstGeom>
                  </pic:spPr>
                </pic:pic>
              </a:graphicData>
            </a:graphic>
          </wp:anchor>
        </w:drawing>
      </w:r>
    </w:p>
    <w:p>
      <w:pPr>
        <w:pStyle w:val="BodyText"/>
        <w:rPr>
          <w:sz w:val="20"/>
        </w:rPr>
      </w:pPr>
    </w:p>
    <w:p>
      <w:pPr>
        <w:pStyle w:val="BodyText"/>
        <w:rPr>
          <w:sz w:val="20"/>
        </w:rPr>
      </w:pPr>
    </w:p>
    <w:p>
      <w:pPr>
        <w:pStyle w:val="BodyText"/>
        <w:spacing w:before="10"/>
        <w:rPr>
          <w:sz w:val="18"/>
        </w:rPr>
      </w:pPr>
    </w:p>
    <w:tbl>
      <w:tblPr>
        <w:tblStyle w:val="TableNormal8"/>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18"/>
        <w:gridCol w:w="2679"/>
        <w:gridCol w:w="2330"/>
        <w:gridCol w:w="2078"/>
        <w:gridCol w:w="1157"/>
      </w:tblGrid>
      <w:tr>
        <w:tblPrEx>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160"/>
          <w:jc w:val="left"/>
        </w:trPr>
        <w:tc>
          <w:tcPr>
            <w:tcW w:w="5018" w:type="dxa"/>
          </w:tcPr>
          <w:p>
            <w:pPr>
              <w:pStyle w:val="TableParagraph"/>
              <w:spacing w:line="308" w:lineRule="exact"/>
              <w:ind w:left="50"/>
              <w:rPr>
                <w:sz w:val="27"/>
              </w:rPr>
            </w:pPr>
            <w:r>
              <w:rPr>
                <w:sz w:val="27"/>
              </w:rPr>
              <w:t>其他业务收入</w:t>
            </w:r>
          </w:p>
          <w:p>
            <w:pPr>
              <w:pStyle w:val="TableParagraph"/>
              <w:spacing w:line="810" w:lineRule="atLeast"/>
              <w:ind w:left="50" w:right="3077"/>
              <w:rPr>
                <w:sz w:val="27"/>
              </w:rPr>
            </w:pPr>
            <w:r>
              <w:rPr>
                <w:sz w:val="27"/>
              </w:rPr>
              <w:t>二、营业总成本营业成本</w:t>
            </w:r>
          </w:p>
        </w:tc>
        <w:tc>
          <w:tcPr>
            <w:tcW w:w="8244" w:type="dxa"/>
            <w:gridSpan w:val="4"/>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利息支出</w:t>
            </w:r>
          </w:p>
        </w:tc>
        <w:tc>
          <w:tcPr>
            <w:tcW w:w="2679" w:type="dxa"/>
          </w:tcPr>
          <w:p>
            <w:pPr>
              <w:pStyle w:val="TableParagraph"/>
              <w:spacing w:before="232"/>
              <w:ind w:right="951"/>
              <w:jc w:val="right"/>
              <w:rPr>
                <w:sz w:val="27"/>
              </w:rPr>
            </w:pPr>
            <w:r>
              <w:rPr>
                <w:sz w:val="27"/>
              </w:rPr>
              <w:t>.00</w:t>
            </w:r>
          </w:p>
        </w:tc>
        <w:tc>
          <w:tcPr>
            <w:tcW w:w="2330" w:type="dxa"/>
          </w:tcPr>
          <w:p>
            <w:pPr>
              <w:pStyle w:val="TableParagraph"/>
              <w:spacing w:before="232"/>
              <w:ind w:left="936" w:right="949"/>
              <w:jc w:val="center"/>
              <w:rPr>
                <w:sz w:val="27"/>
              </w:rPr>
            </w:pPr>
            <w:r>
              <w:rPr>
                <w:sz w:val="27"/>
              </w:rPr>
              <w:t>.00</w:t>
            </w:r>
          </w:p>
        </w:tc>
        <w:tc>
          <w:tcPr>
            <w:tcW w:w="2078" w:type="dxa"/>
          </w:tcPr>
          <w:p>
            <w:pPr>
              <w:pStyle w:val="TableParagraph"/>
              <w:rPr>
                <w:rFonts w:ascii="Times New Roman"/>
                <w:sz w:val="26"/>
              </w:rPr>
            </w:pPr>
          </w:p>
        </w:tc>
        <w:tc>
          <w:tcPr>
            <w:tcW w:w="1157" w:type="dxa"/>
          </w:tcPr>
          <w:p>
            <w:pPr>
              <w:pStyle w:val="TableParagraph"/>
              <w:spacing w:before="232"/>
              <w:ind w:right="42"/>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手续费及佣金支出</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spacing w:before="232"/>
              <w:ind w:right="42"/>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房地产销售成本</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研发费用</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退保金</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赔付支出净额</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提取保险合同准备金净额</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保单红利支出</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分保费用</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其他业务成本</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营业税金及附加</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spacing w:before="232"/>
              <w:ind w:right="695"/>
              <w:jc w:val="right"/>
              <w:rPr>
                <w:sz w:val="27"/>
              </w:rPr>
            </w:pPr>
            <w:r>
              <w:rPr>
                <w:sz w:val="27"/>
              </w:rPr>
              <w:t>.00</w:t>
            </w: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销售费用</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管理费用</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spacing w:before="232"/>
              <w:ind w:right="42"/>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财务费用</w:t>
            </w:r>
          </w:p>
        </w:tc>
        <w:tc>
          <w:tcPr>
            <w:tcW w:w="2679" w:type="dxa"/>
          </w:tcPr>
          <w:p>
            <w:pPr>
              <w:pStyle w:val="TableParagraph"/>
              <w:spacing w:before="232"/>
              <w:ind w:right="951"/>
              <w:jc w:val="right"/>
              <w:rPr>
                <w:sz w:val="27"/>
              </w:rPr>
            </w:pPr>
            <w:r>
              <w:rPr>
                <w:sz w:val="27"/>
              </w:rPr>
              <w:t>(.00)</w:t>
            </w:r>
          </w:p>
        </w:tc>
        <w:tc>
          <w:tcPr>
            <w:tcW w:w="2330" w:type="dxa"/>
          </w:tcPr>
          <w:p>
            <w:pPr>
              <w:pStyle w:val="TableParagraph"/>
              <w:spacing w:before="232"/>
              <w:ind w:left="936" w:right="949"/>
              <w:jc w:val="center"/>
              <w:rPr>
                <w:sz w:val="27"/>
              </w:rPr>
            </w:pPr>
            <w:r>
              <w:rPr>
                <w:sz w:val="27"/>
              </w:rPr>
              <w:t>.00</w:t>
            </w:r>
          </w:p>
        </w:tc>
        <w:tc>
          <w:tcPr>
            <w:tcW w:w="2078" w:type="dxa"/>
          </w:tcPr>
          <w:p>
            <w:pPr>
              <w:pStyle w:val="TableParagraph"/>
              <w:rPr>
                <w:rFonts w:ascii="Times New Roman"/>
                <w:sz w:val="26"/>
              </w:rPr>
            </w:pPr>
          </w:p>
        </w:tc>
        <w:tc>
          <w:tcPr>
            <w:tcW w:w="1157" w:type="dxa"/>
          </w:tcPr>
          <w:p>
            <w:pPr>
              <w:pStyle w:val="TableParagraph"/>
              <w:spacing w:before="232"/>
              <w:ind w:right="44"/>
              <w:jc w:val="right"/>
              <w:rPr>
                <w:sz w:val="27"/>
              </w:rPr>
            </w:pPr>
            <w:r>
              <w:rPr>
                <w:sz w:val="27"/>
              </w:rPr>
              <w:t>-2.</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资产减值损失</w:t>
            </w:r>
          </w:p>
        </w:tc>
        <w:tc>
          <w:tcPr>
            <w:tcW w:w="2679" w:type="dxa"/>
          </w:tcPr>
          <w:p>
            <w:pPr>
              <w:pStyle w:val="TableParagraph"/>
              <w:spacing w:before="232"/>
              <w:ind w:right="951"/>
              <w:jc w:val="right"/>
              <w:rPr>
                <w:sz w:val="27"/>
              </w:rPr>
            </w:pPr>
            <w:r>
              <w:rPr>
                <w:sz w:val="27"/>
              </w:rPr>
              <w:t>.00</w:t>
            </w:r>
          </w:p>
        </w:tc>
        <w:tc>
          <w:tcPr>
            <w:tcW w:w="2330" w:type="dxa"/>
          </w:tcPr>
          <w:p>
            <w:pPr>
              <w:pStyle w:val="TableParagraph"/>
              <w:rPr>
                <w:rFonts w:ascii="Times New Roman"/>
                <w:sz w:val="26"/>
              </w:rPr>
            </w:pPr>
          </w:p>
        </w:tc>
        <w:tc>
          <w:tcPr>
            <w:tcW w:w="2078" w:type="dxa"/>
          </w:tcPr>
          <w:p>
            <w:pPr>
              <w:pStyle w:val="TableParagraph"/>
              <w:spacing w:before="232"/>
              <w:ind w:right="695"/>
              <w:jc w:val="right"/>
              <w:rPr>
                <w:sz w:val="27"/>
              </w:rPr>
            </w:pPr>
            <w:r>
              <w:rPr>
                <w:sz w:val="27"/>
              </w:rPr>
              <w:t>.00</w:t>
            </w: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公允价值变动收益</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投资收益</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spacing w:before="232"/>
              <w:ind w:right="44"/>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1591"/>
          <w:jc w:val="left"/>
        </w:trPr>
        <w:tc>
          <w:tcPr>
            <w:tcW w:w="5018" w:type="dxa"/>
          </w:tcPr>
          <w:p>
            <w:pPr>
              <w:pStyle w:val="TableParagraph"/>
              <w:spacing w:before="232"/>
              <w:ind w:left="50"/>
              <w:rPr>
                <w:sz w:val="27"/>
              </w:rPr>
            </w:pPr>
            <w:r>
              <w:rPr>
                <w:sz w:val="27"/>
              </w:rPr>
              <w:t>其中:对联营企业和合营企业的投</w:t>
            </w:r>
          </w:p>
          <w:p>
            <w:pPr>
              <w:pStyle w:val="TableParagraph"/>
              <w:rPr>
                <w:sz w:val="34"/>
              </w:rPr>
            </w:pPr>
          </w:p>
          <w:p>
            <w:pPr>
              <w:pStyle w:val="TableParagraph"/>
              <w:ind w:left="50"/>
              <w:rPr>
                <w:sz w:val="27"/>
              </w:rPr>
            </w:pPr>
            <w:r>
              <w:rPr>
                <w:sz w:val="27"/>
              </w:rPr>
              <w:t>资</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sz w:val="26"/>
              </w:rPr>
            </w:pPr>
          </w:p>
          <w:p>
            <w:pPr>
              <w:pStyle w:val="TableParagraph"/>
              <w:spacing w:before="9"/>
              <w:rPr>
                <w:sz w:val="22"/>
              </w:rPr>
            </w:pPr>
          </w:p>
          <w:p>
            <w:pPr>
              <w:pStyle w:val="TableParagraph"/>
              <w:spacing w:before="1"/>
              <w:ind w:right="44"/>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收益</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rFonts w:ascii="Times New Roman"/>
                <w:sz w:val="26"/>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018" w:type="dxa"/>
          </w:tcPr>
          <w:p>
            <w:pPr>
              <w:pStyle w:val="TableParagraph"/>
              <w:spacing w:before="232"/>
              <w:ind w:left="50"/>
              <w:rPr>
                <w:sz w:val="27"/>
              </w:rPr>
            </w:pPr>
            <w:r>
              <w:rPr>
                <w:sz w:val="27"/>
              </w:rPr>
              <w:t>汇兑收益</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spacing w:before="232"/>
              <w:ind w:right="44"/>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540"/>
          <w:jc w:val="left"/>
        </w:trPr>
        <w:tc>
          <w:tcPr>
            <w:tcW w:w="5018" w:type="dxa"/>
          </w:tcPr>
          <w:p>
            <w:pPr>
              <w:pStyle w:val="TableParagraph"/>
              <w:spacing w:before="232" w:line="288" w:lineRule="exact"/>
              <w:ind w:left="50"/>
              <w:rPr>
                <w:sz w:val="27"/>
              </w:rPr>
            </w:pPr>
            <w:r>
              <w:rPr>
                <w:sz w:val="27"/>
              </w:rPr>
              <w:t>期货损益</w:t>
            </w:r>
          </w:p>
        </w:tc>
        <w:tc>
          <w:tcPr>
            <w:tcW w:w="2679" w:type="dxa"/>
          </w:tcPr>
          <w:p>
            <w:pPr>
              <w:pStyle w:val="TableParagraph"/>
              <w:rPr>
                <w:rFonts w:ascii="Times New Roman"/>
                <w:sz w:val="26"/>
              </w:rPr>
            </w:pPr>
          </w:p>
        </w:tc>
        <w:tc>
          <w:tcPr>
            <w:tcW w:w="2330" w:type="dxa"/>
          </w:tcPr>
          <w:p>
            <w:pPr>
              <w:pStyle w:val="TableParagraph"/>
              <w:rPr>
                <w:rFonts w:ascii="Times New Roman"/>
                <w:sz w:val="26"/>
              </w:rPr>
            </w:pPr>
          </w:p>
        </w:tc>
        <w:tc>
          <w:tcPr>
            <w:tcW w:w="2078" w:type="dxa"/>
          </w:tcPr>
          <w:p>
            <w:pPr>
              <w:pStyle w:val="TableParagraph"/>
              <w:rPr>
                <w:rFonts w:ascii="Times New Roman"/>
                <w:sz w:val="26"/>
              </w:rPr>
            </w:pPr>
          </w:p>
        </w:tc>
        <w:tc>
          <w:tcPr>
            <w:tcW w:w="1157" w:type="dxa"/>
          </w:tcPr>
          <w:p>
            <w:pPr>
              <w:pStyle w:val="TableParagraph"/>
              <w:rPr>
                <w:rFonts w:ascii="Times New Roman"/>
                <w:sz w:val="26"/>
              </w:rPr>
            </w:pPr>
          </w:p>
        </w:tc>
      </w:tr>
    </w:tbl>
    <w:p>
      <w:pPr>
        <w:spacing w:after="0"/>
        <w:rPr>
          <w:rFonts w:ascii="Times New Roman"/>
          <w:sz w:val="26"/>
        </w:rPr>
        <w:sectPr>
          <w:headerReference w:type="default" r:id="rId38"/>
          <w:footerReference w:type="default" r:id="rId39"/>
          <w:pgSz w:w="17860" w:h="25260"/>
          <w:pgMar w:top="1200" w:right="1360" w:bottom="2020" w:left="1420" w:header="1005" w:footer="1822"/>
          <w:pgNumType w:start="14"/>
          <w:cols w:space="708"/>
        </w:sectPr>
      </w:pPr>
    </w:p>
    <w:p>
      <w:pPr>
        <w:pStyle w:val="BodyText"/>
        <w:rPr>
          <w:sz w:val="20"/>
        </w:rPr>
      </w:pPr>
    </w:p>
    <w:p>
      <w:pPr>
        <w:pStyle w:val="BodyText"/>
        <w:rPr>
          <w:sz w:val="20"/>
        </w:rPr>
      </w:pPr>
    </w:p>
    <w:p>
      <w:pPr>
        <w:pStyle w:val="BodyText"/>
        <w:rPr>
          <w:sz w:val="20"/>
        </w:rPr>
      </w:pPr>
    </w:p>
    <w:p>
      <w:pPr>
        <w:pStyle w:val="BodyText"/>
        <w:spacing w:before="10"/>
        <w:rPr>
          <w:sz w:val="18"/>
        </w:rPr>
      </w:pPr>
    </w:p>
    <w:tbl>
      <w:tblPr>
        <w:tblStyle w:val="TableNormal9"/>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20"/>
        <w:gridCol w:w="2478"/>
        <w:gridCol w:w="2331"/>
        <w:gridCol w:w="2079"/>
        <w:gridCol w:w="1156"/>
      </w:tblGrid>
      <w:tr>
        <w:tblPrEx>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5220" w:type="dxa"/>
          </w:tcPr>
          <w:p>
            <w:pPr>
              <w:pStyle w:val="TableParagraph"/>
              <w:spacing w:line="308" w:lineRule="exact"/>
              <w:ind w:left="50"/>
              <w:rPr>
                <w:sz w:val="27"/>
              </w:rPr>
            </w:pPr>
            <w:r>
              <w:rPr>
                <w:sz w:val="27"/>
              </w:rPr>
              <w:t>托管收益</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补贴收入</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其他业务利润</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三、营业利润</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营业外收入</w:t>
            </w:r>
          </w:p>
        </w:tc>
        <w:tc>
          <w:tcPr>
            <w:tcW w:w="2478" w:type="dxa"/>
          </w:tcPr>
          <w:p>
            <w:pPr>
              <w:pStyle w:val="TableParagraph"/>
              <w:rPr>
                <w:rFonts w:ascii="Times New Roman"/>
                <w:sz w:val="28"/>
              </w:rPr>
            </w:pPr>
          </w:p>
        </w:tc>
        <w:tc>
          <w:tcPr>
            <w:tcW w:w="2331" w:type="dxa"/>
          </w:tcPr>
          <w:p>
            <w:pPr>
              <w:pStyle w:val="TableParagraph"/>
              <w:spacing w:before="232"/>
              <w:ind w:left="935" w:right="951"/>
              <w:jc w:val="center"/>
              <w:rPr>
                <w:sz w:val="27"/>
              </w:rPr>
            </w:pPr>
            <w:r>
              <w:rPr>
                <w:sz w:val="27"/>
              </w:rPr>
              <w:t>.00</w:t>
            </w: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营业外支出</w:t>
            </w:r>
          </w:p>
        </w:tc>
        <w:tc>
          <w:tcPr>
            <w:tcW w:w="2478" w:type="dxa"/>
          </w:tcPr>
          <w:p>
            <w:pPr>
              <w:pStyle w:val="TableParagraph"/>
              <w:spacing w:before="232"/>
              <w:ind w:right="952"/>
              <w:jc w:val="right"/>
              <w:rPr>
                <w:sz w:val="27"/>
              </w:rPr>
            </w:pPr>
            <w:r>
              <w:rPr>
                <w:sz w:val="27"/>
              </w:rPr>
              <w:t>.00</w:t>
            </w:r>
          </w:p>
        </w:tc>
        <w:tc>
          <w:tcPr>
            <w:tcW w:w="2331" w:type="dxa"/>
          </w:tcPr>
          <w:p>
            <w:pPr>
              <w:pStyle w:val="TableParagraph"/>
              <w:spacing w:before="232"/>
              <w:ind w:left="935" w:right="951"/>
              <w:jc w:val="center"/>
              <w:rPr>
                <w:sz w:val="27"/>
              </w:rPr>
            </w:pPr>
            <w:r>
              <w:rPr>
                <w:sz w:val="27"/>
              </w:rPr>
              <w:t>.00</w:t>
            </w:r>
          </w:p>
        </w:tc>
        <w:tc>
          <w:tcPr>
            <w:tcW w:w="2079" w:type="dxa"/>
          </w:tcPr>
          <w:p>
            <w:pPr>
              <w:pStyle w:val="TableParagraph"/>
              <w:rPr>
                <w:rFonts w:ascii="Times New Roman"/>
                <w:sz w:val="28"/>
              </w:rPr>
            </w:pPr>
          </w:p>
        </w:tc>
        <w:tc>
          <w:tcPr>
            <w:tcW w:w="1156" w:type="dxa"/>
          </w:tcPr>
          <w:p>
            <w:pPr>
              <w:pStyle w:val="TableParagraph"/>
              <w:spacing w:before="232"/>
              <w:ind w:right="46"/>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非流动资产处置损失</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利润总额</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所得税费用</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未确认投资损失</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四、净利润</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归属于母公司所有者的净利润</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少数股东损益</w:t>
            </w:r>
          </w:p>
        </w:tc>
        <w:tc>
          <w:tcPr>
            <w:tcW w:w="2478" w:type="dxa"/>
          </w:tcPr>
          <w:p>
            <w:pPr>
              <w:pStyle w:val="TableParagraph"/>
              <w:spacing w:before="232"/>
              <w:ind w:right="952"/>
              <w:jc w:val="right"/>
              <w:rPr>
                <w:sz w:val="27"/>
              </w:rPr>
            </w:pPr>
            <w:r>
              <w:rPr>
                <w:sz w:val="27"/>
              </w:rPr>
              <w:t>.00</w:t>
            </w:r>
          </w:p>
        </w:tc>
        <w:tc>
          <w:tcPr>
            <w:tcW w:w="2331" w:type="dxa"/>
          </w:tcPr>
          <w:p>
            <w:pPr>
              <w:pStyle w:val="TableParagraph"/>
              <w:spacing w:before="232"/>
              <w:ind w:left="935" w:right="951"/>
              <w:jc w:val="center"/>
              <w:rPr>
                <w:sz w:val="27"/>
              </w:rPr>
            </w:pPr>
            <w:r>
              <w:rPr>
                <w:sz w:val="27"/>
              </w:rPr>
              <w:t>.00</w:t>
            </w:r>
          </w:p>
        </w:tc>
        <w:tc>
          <w:tcPr>
            <w:tcW w:w="2079" w:type="dxa"/>
          </w:tcPr>
          <w:p>
            <w:pPr>
              <w:pStyle w:val="TableParagraph"/>
              <w:rPr>
                <w:rFonts w:ascii="Times New Roman"/>
                <w:sz w:val="28"/>
              </w:rPr>
            </w:pPr>
          </w:p>
        </w:tc>
        <w:tc>
          <w:tcPr>
            <w:tcW w:w="1156" w:type="dxa"/>
          </w:tcPr>
          <w:p>
            <w:pPr>
              <w:pStyle w:val="TableParagraph"/>
              <w:spacing w:before="232"/>
              <w:ind w:right="46"/>
              <w:jc w:val="right"/>
              <w:rPr>
                <w:sz w:val="27"/>
              </w:rPr>
            </w:pPr>
            <w:r>
              <w:rPr>
                <w:sz w:val="27"/>
              </w:rPr>
              <w:t>-0.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五、每股收益</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基本每股收益</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稀释每股收益</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六、其他综合收益</w:t>
            </w:r>
          </w:p>
        </w:tc>
        <w:tc>
          <w:tcPr>
            <w:tcW w:w="2478" w:type="dxa"/>
          </w:tcPr>
          <w:p>
            <w:pPr>
              <w:pStyle w:val="TableParagraph"/>
              <w:spacing w:before="232"/>
              <w:ind w:right="952"/>
              <w:jc w:val="right"/>
              <w:rPr>
                <w:sz w:val="27"/>
              </w:rPr>
            </w:pPr>
            <w:r>
              <w:rPr>
                <w:sz w:val="27"/>
              </w:rPr>
              <w:t>.00</w:t>
            </w:r>
          </w:p>
        </w:tc>
        <w:tc>
          <w:tcPr>
            <w:tcW w:w="2331" w:type="dxa"/>
          </w:tcPr>
          <w:p>
            <w:pPr>
              <w:pStyle w:val="TableParagraph"/>
              <w:rPr>
                <w:rFonts w:ascii="Times New Roman"/>
                <w:sz w:val="28"/>
              </w:rPr>
            </w:pPr>
          </w:p>
        </w:tc>
        <w:tc>
          <w:tcPr>
            <w:tcW w:w="2079" w:type="dxa"/>
          </w:tcPr>
          <w:p>
            <w:pPr>
              <w:pStyle w:val="TableParagraph"/>
              <w:spacing w:before="232"/>
              <w:ind w:right="698"/>
              <w:jc w:val="right"/>
              <w:rPr>
                <w:sz w:val="27"/>
              </w:rPr>
            </w:pPr>
            <w:r>
              <w:rPr>
                <w:sz w:val="27"/>
              </w:rPr>
              <w:t>.00</w:t>
            </w: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5220" w:type="dxa"/>
          </w:tcPr>
          <w:p>
            <w:pPr>
              <w:pStyle w:val="TableParagraph"/>
              <w:spacing w:before="232"/>
              <w:ind w:left="50"/>
              <w:rPr>
                <w:sz w:val="27"/>
              </w:rPr>
            </w:pPr>
            <w:r>
              <w:rPr>
                <w:sz w:val="27"/>
              </w:rPr>
              <w:t>七、综合收益总额</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1591"/>
          <w:jc w:val="left"/>
        </w:trPr>
        <w:tc>
          <w:tcPr>
            <w:tcW w:w="5220" w:type="dxa"/>
          </w:tcPr>
          <w:p>
            <w:pPr>
              <w:pStyle w:val="TableParagraph"/>
              <w:spacing w:before="232"/>
              <w:ind w:left="50"/>
              <w:rPr>
                <w:sz w:val="27"/>
              </w:rPr>
            </w:pPr>
            <w:r>
              <w:rPr>
                <w:sz w:val="27"/>
              </w:rPr>
              <w:t>归属于母公司所有者的综合收益总</w:t>
            </w:r>
          </w:p>
          <w:p>
            <w:pPr>
              <w:pStyle w:val="TableParagraph"/>
              <w:spacing w:before="12"/>
              <w:rPr>
                <w:sz w:val="33"/>
              </w:rPr>
            </w:pPr>
          </w:p>
          <w:p>
            <w:pPr>
              <w:pStyle w:val="TableParagraph"/>
              <w:ind w:left="50"/>
              <w:rPr>
                <w:sz w:val="27"/>
              </w:rPr>
            </w:pPr>
            <w:r>
              <w:rPr>
                <w:sz w:val="27"/>
              </w:rPr>
              <w:t>额</w:t>
            </w:r>
          </w:p>
        </w:tc>
        <w:tc>
          <w:tcPr>
            <w:tcW w:w="2478" w:type="dxa"/>
          </w:tcPr>
          <w:p>
            <w:pPr>
              <w:pStyle w:val="TableParagraph"/>
              <w:rPr>
                <w:rFonts w:ascii="Times New Roman"/>
                <w:sz w:val="28"/>
              </w:rPr>
            </w:pPr>
          </w:p>
        </w:tc>
        <w:tc>
          <w:tcPr>
            <w:tcW w:w="2331" w:type="dxa"/>
          </w:tcPr>
          <w:p>
            <w:pPr>
              <w:pStyle w:val="TableParagraph"/>
              <w:rPr>
                <w:rFonts w:ascii="Times New Roman"/>
                <w:sz w:val="28"/>
              </w:rPr>
            </w:pPr>
          </w:p>
        </w:tc>
        <w:tc>
          <w:tcPr>
            <w:tcW w:w="2079" w:type="dxa"/>
          </w:tcPr>
          <w:p>
            <w:pPr>
              <w:pStyle w:val="TableParagraph"/>
              <w:rPr>
                <w:rFonts w:ascii="Times New Roman"/>
                <w:sz w:val="28"/>
              </w:rPr>
            </w:pPr>
          </w:p>
        </w:tc>
        <w:tc>
          <w:tcPr>
            <w:tcW w:w="1156"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540"/>
          <w:jc w:val="left"/>
        </w:trPr>
        <w:tc>
          <w:tcPr>
            <w:tcW w:w="5220" w:type="dxa"/>
          </w:tcPr>
          <w:p>
            <w:pPr>
              <w:pStyle w:val="TableParagraph"/>
              <w:spacing w:before="232" w:line="288" w:lineRule="exact"/>
              <w:ind w:left="50"/>
              <w:rPr>
                <w:sz w:val="27"/>
              </w:rPr>
            </w:pPr>
            <w:r>
              <w:rPr>
                <w:sz w:val="27"/>
              </w:rPr>
              <w:t>归属于少数股东的综合收益总额</w:t>
            </w:r>
          </w:p>
        </w:tc>
        <w:tc>
          <w:tcPr>
            <w:tcW w:w="2478" w:type="dxa"/>
          </w:tcPr>
          <w:p>
            <w:pPr>
              <w:pStyle w:val="TableParagraph"/>
              <w:spacing w:before="232" w:line="288" w:lineRule="exact"/>
              <w:ind w:right="952"/>
              <w:jc w:val="right"/>
              <w:rPr>
                <w:sz w:val="27"/>
              </w:rPr>
            </w:pPr>
            <w:r>
              <w:rPr>
                <w:sz w:val="27"/>
              </w:rPr>
              <w:t>.00</w:t>
            </w:r>
          </w:p>
        </w:tc>
        <w:tc>
          <w:tcPr>
            <w:tcW w:w="2331" w:type="dxa"/>
          </w:tcPr>
          <w:p>
            <w:pPr>
              <w:pStyle w:val="TableParagraph"/>
              <w:rPr>
                <w:rFonts w:ascii="Times New Roman"/>
                <w:sz w:val="28"/>
              </w:rPr>
            </w:pPr>
          </w:p>
        </w:tc>
        <w:tc>
          <w:tcPr>
            <w:tcW w:w="2079" w:type="dxa"/>
          </w:tcPr>
          <w:p>
            <w:pPr>
              <w:pStyle w:val="TableParagraph"/>
              <w:spacing w:before="232" w:line="288" w:lineRule="exact"/>
              <w:ind w:right="698"/>
              <w:jc w:val="right"/>
              <w:rPr>
                <w:sz w:val="27"/>
              </w:rPr>
            </w:pPr>
            <w:r>
              <w:rPr>
                <w:sz w:val="27"/>
              </w:rPr>
              <w:t>.00</w:t>
            </w:r>
          </w:p>
        </w:tc>
        <w:tc>
          <w:tcPr>
            <w:tcW w:w="1156" w:type="dxa"/>
          </w:tcPr>
          <w:p>
            <w:pPr>
              <w:pStyle w:val="TableParagraph"/>
              <w:rPr>
                <w:rFonts w:ascii="Times New Roman"/>
                <w:sz w:val="28"/>
              </w:rPr>
            </w:pPr>
          </w:p>
        </w:tc>
      </w:tr>
    </w:tbl>
    <w:p>
      <w:pPr>
        <w:pStyle w:val="BodyText"/>
        <w:rPr>
          <w:sz w:val="20"/>
        </w:rPr>
      </w:pPr>
    </w:p>
    <w:p>
      <w:pPr>
        <w:pStyle w:val="BodyText"/>
        <w:rPr>
          <w:sz w:val="20"/>
        </w:rPr>
      </w:pPr>
    </w:p>
    <w:p>
      <w:pPr>
        <w:pStyle w:val="BodyText"/>
        <w:spacing w:before="9"/>
        <w:rPr>
          <w:sz w:val="25"/>
        </w:rPr>
      </w:pPr>
    </w:p>
    <w:p>
      <w:pPr>
        <w:pStyle w:val="ListParagraph"/>
        <w:numPr>
          <w:ilvl w:val="0"/>
          <w:numId w:val="7"/>
        </w:numPr>
        <w:tabs>
          <w:tab w:val="left" w:pos="2361"/>
        </w:tabs>
        <w:spacing w:before="62" w:after="0" w:line="470" w:lineRule="auto"/>
        <w:ind w:left="2360" w:right="1317" w:hanging="1080"/>
        <w:jc w:val="both"/>
        <w:rPr>
          <w:sz w:val="31"/>
        </w:rPr>
      </w:pPr>
      <w:r>
        <w:drawing>
          <wp:anchor distT="0" distB="0" distL="0" distR="0" simplePos="0" relativeHeight="251671552" behindDoc="1" locked="0" layoutInCell="1" allowOverlap="1">
            <wp:simplePos x="0" y="0"/>
            <wp:positionH relativeFrom="page">
              <wp:posOffset>1181100</wp:posOffset>
            </wp:positionH>
            <wp:positionV relativeFrom="paragraph">
              <wp:posOffset>-11201908</wp:posOffset>
            </wp:positionV>
            <wp:extent cx="8589073" cy="10793349"/>
            <wp:effectExtent l="0" t="0" r="0" b="0"/>
            <wp:wrapNone/>
            <wp:docPr id="5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0.png"/>
                    <pic:cNvPicPr/>
                  </pic:nvPicPr>
                  <pic:blipFill>
                    <a:blip xmlns:r="http://schemas.openxmlformats.org/officeDocument/2006/relationships" r:embed="rId40" cstate="print"/>
                    <a:stretch>
                      <a:fillRect/>
                    </a:stretch>
                  </pic:blipFill>
                  <pic:spPr>
                    <a:xfrm>
                      <a:off x="0" y="0"/>
                      <a:ext cx="8589073" cy="10793349"/>
                    </a:xfrm>
                    <a:prstGeom prst="rect">
                      <a:avLst/>
                    </a:prstGeom>
                  </pic:spPr>
                </pic:pic>
              </a:graphicData>
            </a:graphic>
          </wp:anchor>
        </w:drawing>
      </w:r>
      <w:r>
        <w:rPr>
          <w:spacing w:val="-11"/>
          <w:sz w:val="31"/>
        </w:rPr>
        <w:t xml:space="preserve">该公司 </w:t>
      </w:r>
      <w:r>
        <w:rPr>
          <w:sz w:val="31"/>
        </w:rPr>
        <w:t>2009</w:t>
      </w:r>
      <w:r>
        <w:rPr>
          <w:spacing w:val="-13"/>
          <w:sz w:val="31"/>
        </w:rPr>
        <w:t xml:space="preserve"> 年度实现净利润 </w:t>
      </w:r>
      <w:r>
        <w:rPr>
          <w:sz w:val="31"/>
        </w:rPr>
        <w:t>00</w:t>
      </w:r>
      <w:r>
        <w:rPr>
          <w:spacing w:val="-15"/>
          <w:sz w:val="31"/>
        </w:rPr>
        <w:t xml:space="preserve"> 元，较去年增长了 </w:t>
      </w:r>
      <w:r>
        <w:rPr>
          <w:sz w:val="31"/>
        </w:rPr>
        <w:t>0</w:t>
      </w:r>
      <w:r>
        <w:rPr>
          <w:spacing w:val="-12"/>
          <w:sz w:val="31"/>
        </w:rPr>
        <w:t xml:space="preserve"> 元，增长率为%。从水平分析表</w:t>
      </w:r>
      <w:r>
        <w:rPr>
          <w:spacing w:val="-14"/>
          <w:sz w:val="31"/>
        </w:rPr>
        <w:t>看，公司净利润增长主要是由于营业外收入增长了%的原因。说明该公司本年经营成</w:t>
      </w:r>
      <w:r>
        <w:rPr>
          <w:sz w:val="31"/>
        </w:rPr>
        <w:t>果没有明显提升。</w:t>
      </w:r>
    </w:p>
    <w:p>
      <w:pPr>
        <w:pStyle w:val="ListParagraph"/>
        <w:numPr>
          <w:ilvl w:val="0"/>
          <w:numId w:val="7"/>
        </w:numPr>
        <w:tabs>
          <w:tab w:val="left" w:pos="2361"/>
        </w:tabs>
        <w:spacing w:before="5" w:after="0" w:line="240" w:lineRule="auto"/>
        <w:ind w:left="2360" w:right="0" w:hanging="1081"/>
        <w:jc w:val="both"/>
        <w:rPr>
          <w:sz w:val="31"/>
        </w:rPr>
      </w:pPr>
      <w:r>
        <w:rPr>
          <w:spacing w:val="-8"/>
          <w:sz w:val="31"/>
        </w:rPr>
        <w:t xml:space="preserve">本公司利润总额增长 </w:t>
      </w:r>
      <w:r>
        <w:rPr>
          <w:sz w:val="31"/>
        </w:rPr>
        <w:t>0</w:t>
      </w:r>
      <w:r>
        <w:rPr>
          <w:spacing w:val="-16"/>
          <w:sz w:val="31"/>
        </w:rPr>
        <w:t xml:space="preserve"> 元，增长率为%，幅度较大，利润总额的增长也受营业外收入</w:t>
      </w:r>
    </w:p>
    <w:p>
      <w:pPr>
        <w:spacing w:after="0" w:line="240" w:lineRule="auto"/>
        <w:jc w:val="both"/>
        <w:rPr>
          <w:sz w:val="31"/>
        </w:rPr>
        <w:sectPr>
          <w:headerReference w:type="default" r:id="rId41"/>
          <w:footerReference w:type="default" r:id="rId42"/>
          <w:pgSz w:w="17860" w:h="25260"/>
          <w:pgMar w:top="1200" w:right="1360" w:bottom="2000" w:left="1420" w:header="1005" w:footer="1818"/>
          <w:pgNumType w:start="15"/>
          <w:cols w:space="708"/>
        </w:sectPr>
      </w:pPr>
    </w:p>
    <w:p>
      <w:pPr>
        <w:pStyle w:val="BodyText"/>
        <w:rPr>
          <w:sz w:val="20"/>
        </w:rPr>
      </w:pPr>
    </w:p>
    <w:p>
      <w:pPr>
        <w:pStyle w:val="BodyText"/>
        <w:rPr>
          <w:sz w:val="20"/>
        </w:rPr>
      </w:pPr>
    </w:p>
    <w:p>
      <w:pPr>
        <w:pStyle w:val="BodyText"/>
        <w:spacing w:before="7"/>
        <w:rPr>
          <w:sz w:val="23"/>
        </w:rPr>
      </w:pPr>
    </w:p>
    <w:p>
      <w:pPr>
        <w:pStyle w:val="BodyText"/>
        <w:spacing w:before="62" w:line="472" w:lineRule="auto"/>
        <w:ind w:left="2360" w:right="1312"/>
      </w:pPr>
      <w:r>
        <w:t>的大幅度增长影响，同时资产减值损失的大幅度增加和非流动资产处置损失的大幅度增肌导致其增加额没有营业外收入大。</w:t>
      </w:r>
    </w:p>
    <w:p>
      <w:pPr>
        <w:pStyle w:val="ListParagraph"/>
        <w:numPr>
          <w:ilvl w:val="0"/>
          <w:numId w:val="7"/>
        </w:numPr>
        <w:tabs>
          <w:tab w:val="left" w:pos="2360"/>
          <w:tab w:val="left" w:pos="2361"/>
        </w:tabs>
        <w:spacing w:before="0" w:after="0" w:line="472" w:lineRule="auto"/>
        <w:ind w:left="2360" w:right="1310" w:hanging="1080"/>
        <w:jc w:val="left"/>
        <w:rPr>
          <w:sz w:val="31"/>
        </w:rPr>
      </w:pPr>
      <w:r>
        <w:rPr>
          <w:spacing w:val="3"/>
          <w:sz w:val="31"/>
        </w:rPr>
        <w:t xml:space="preserve">营业利润增加 </w:t>
      </w:r>
      <w:r>
        <w:rPr>
          <w:sz w:val="31"/>
        </w:rPr>
        <w:t>0</w:t>
      </w:r>
      <w:r>
        <w:rPr>
          <w:spacing w:val="-12"/>
          <w:sz w:val="31"/>
        </w:rPr>
        <w:t xml:space="preserve"> 元，增长率为%。财务费用的年减少，手续费及佣金收入的增加和资</w:t>
      </w:r>
      <w:r>
        <w:rPr>
          <w:sz w:val="31"/>
        </w:rPr>
        <w:t>产减值损失的增加是导致其变化的主要因素。</w:t>
      </w:r>
    </w:p>
    <w:p>
      <w:pPr>
        <w:pStyle w:val="BodyText"/>
        <w:spacing w:before="12"/>
        <w:rPr>
          <w:sz w:val="35"/>
        </w:rPr>
      </w:pPr>
    </w:p>
    <w:p>
      <w:pPr>
        <w:pStyle w:val="BodyText"/>
        <w:ind w:left="5210" w:right="4602"/>
        <w:jc w:val="center"/>
      </w:pPr>
      <w:r>
        <w:drawing>
          <wp:anchor distT="0" distB="0" distL="0" distR="0" simplePos="0" relativeHeight="251672576" behindDoc="1" locked="0" layoutInCell="1" allowOverlap="1">
            <wp:simplePos x="0" y="0"/>
            <wp:positionH relativeFrom="page">
              <wp:posOffset>1181100</wp:posOffset>
            </wp:positionH>
            <wp:positionV relativeFrom="paragraph">
              <wp:posOffset>348233</wp:posOffset>
            </wp:positionV>
            <wp:extent cx="8221694" cy="10311955"/>
            <wp:effectExtent l="0" t="0" r="0" b="0"/>
            <wp:wrapNone/>
            <wp:docPr id="5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1.png"/>
                    <pic:cNvPicPr/>
                  </pic:nvPicPr>
                  <pic:blipFill>
                    <a:blip xmlns:r="http://schemas.openxmlformats.org/officeDocument/2006/relationships" r:embed="rId43" cstate="print"/>
                    <a:stretch>
                      <a:fillRect/>
                    </a:stretch>
                  </pic:blipFill>
                  <pic:spPr>
                    <a:xfrm>
                      <a:off x="0" y="0"/>
                      <a:ext cx="8221694" cy="10311955"/>
                    </a:xfrm>
                    <a:prstGeom prst="rect">
                      <a:avLst/>
                    </a:prstGeom>
                  </pic:spPr>
                </pic:pic>
              </a:graphicData>
            </a:graphic>
          </wp:anchor>
        </w:drawing>
      </w:r>
      <w:r>
        <w:t>利润表垂直分析表如下：</w:t>
      </w:r>
    </w:p>
    <w:p>
      <w:pPr>
        <w:pStyle w:val="BodyText"/>
        <w:rPr>
          <w:sz w:val="20"/>
        </w:rPr>
      </w:pPr>
    </w:p>
    <w:p>
      <w:pPr>
        <w:pStyle w:val="BodyText"/>
        <w:spacing w:before="4"/>
        <w:rPr>
          <w:sz w:val="20"/>
        </w:rPr>
      </w:pPr>
    </w:p>
    <w:tbl>
      <w:tblPr>
        <w:tblStyle w:val="TableNormal10"/>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025"/>
        <w:gridCol w:w="2459"/>
        <w:gridCol w:w="874"/>
        <w:gridCol w:w="1587"/>
        <w:gridCol w:w="3707"/>
      </w:tblGrid>
      <w:tr>
        <w:tblPrEx>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4025" w:type="dxa"/>
          </w:tcPr>
          <w:p>
            <w:pPr>
              <w:pStyle w:val="TableParagraph"/>
              <w:spacing w:line="308" w:lineRule="exact"/>
              <w:ind w:left="50"/>
              <w:rPr>
                <w:sz w:val="27"/>
              </w:rPr>
            </w:pPr>
            <w:r>
              <w:rPr>
                <w:sz w:val="27"/>
              </w:rPr>
              <w:t>项目</w:t>
            </w:r>
          </w:p>
        </w:tc>
        <w:tc>
          <w:tcPr>
            <w:tcW w:w="2459" w:type="dxa"/>
          </w:tcPr>
          <w:p>
            <w:pPr>
              <w:pStyle w:val="TableParagraph"/>
              <w:spacing w:line="308" w:lineRule="exact"/>
              <w:ind w:left="1004"/>
              <w:rPr>
                <w:sz w:val="27"/>
              </w:rPr>
            </w:pPr>
            <w:r>
              <w:rPr>
                <w:sz w:val="27"/>
              </w:rPr>
              <w:t>2009 年度</w:t>
            </w:r>
          </w:p>
        </w:tc>
        <w:tc>
          <w:tcPr>
            <w:tcW w:w="874" w:type="dxa"/>
          </w:tcPr>
          <w:p>
            <w:pPr>
              <w:pStyle w:val="TableParagraph"/>
              <w:rPr>
                <w:rFonts w:ascii="Times New Roman"/>
                <w:sz w:val="28"/>
              </w:rPr>
            </w:pPr>
          </w:p>
        </w:tc>
        <w:tc>
          <w:tcPr>
            <w:tcW w:w="1587" w:type="dxa"/>
          </w:tcPr>
          <w:p>
            <w:pPr>
              <w:pStyle w:val="TableParagraph"/>
              <w:spacing w:line="308" w:lineRule="exact"/>
              <w:ind w:left="163"/>
              <w:rPr>
                <w:sz w:val="27"/>
              </w:rPr>
            </w:pPr>
            <w:r>
              <w:rPr>
                <w:sz w:val="27"/>
              </w:rPr>
              <w:t>2008 年度</w:t>
            </w:r>
          </w:p>
        </w:tc>
        <w:tc>
          <w:tcPr>
            <w:tcW w:w="3707" w:type="dxa"/>
          </w:tcPr>
          <w:p>
            <w:pPr>
              <w:pStyle w:val="TableParagraph"/>
              <w:tabs>
                <w:tab w:val="left" w:pos="2508"/>
              </w:tabs>
              <w:spacing w:line="308" w:lineRule="exact"/>
              <w:ind w:left="1006"/>
              <w:rPr>
                <w:sz w:val="27"/>
              </w:rPr>
            </w:pPr>
            <w:r>
              <w:rPr>
                <w:sz w:val="27"/>
              </w:rPr>
              <w:t>2009</w:t>
            </w:r>
            <w:r>
              <w:rPr>
                <w:spacing w:val="-67"/>
                <w:sz w:val="27"/>
              </w:rPr>
              <w:t xml:space="preserve"> </w:t>
            </w:r>
            <w:r>
              <w:rPr>
                <w:sz w:val="27"/>
              </w:rPr>
              <w:t>年度</w:t>
              <w:tab/>
              <w:t>2008</w:t>
            </w:r>
            <w:r>
              <w:rPr>
                <w:spacing w:val="-67"/>
                <w:sz w:val="27"/>
              </w:rPr>
              <w:t xml:space="preserve"> </w:t>
            </w:r>
            <w:r>
              <w:rPr>
                <w:sz w:val="27"/>
              </w:rPr>
              <w:t>年度</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单位</w:t>
            </w:r>
          </w:p>
        </w:tc>
        <w:tc>
          <w:tcPr>
            <w:tcW w:w="2459" w:type="dxa"/>
          </w:tcPr>
          <w:p>
            <w:pPr>
              <w:pStyle w:val="TableParagraph"/>
              <w:spacing w:before="232"/>
              <w:ind w:left="1004"/>
              <w:rPr>
                <w:sz w:val="27"/>
              </w:rPr>
            </w:pPr>
            <w:r>
              <w:rPr>
                <w:sz w:val="27"/>
              </w:rPr>
              <w:t>元</w:t>
            </w:r>
          </w:p>
        </w:tc>
        <w:tc>
          <w:tcPr>
            <w:tcW w:w="874" w:type="dxa"/>
          </w:tcPr>
          <w:p>
            <w:pPr>
              <w:pStyle w:val="TableParagraph"/>
              <w:rPr>
                <w:rFonts w:ascii="Times New Roman"/>
                <w:sz w:val="28"/>
              </w:rPr>
            </w:pPr>
          </w:p>
        </w:tc>
        <w:tc>
          <w:tcPr>
            <w:tcW w:w="1587" w:type="dxa"/>
          </w:tcPr>
          <w:p>
            <w:pPr>
              <w:pStyle w:val="TableParagraph"/>
              <w:spacing w:before="232"/>
              <w:ind w:left="163"/>
              <w:rPr>
                <w:sz w:val="27"/>
              </w:rPr>
            </w:pPr>
            <w:r>
              <w:rPr>
                <w:sz w:val="27"/>
              </w:rPr>
              <w:t>元</w:t>
            </w:r>
          </w:p>
        </w:tc>
        <w:tc>
          <w:tcPr>
            <w:tcW w:w="3707"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一、营业总收入</w:t>
            </w:r>
          </w:p>
        </w:tc>
        <w:tc>
          <w:tcPr>
            <w:tcW w:w="2459" w:type="dxa"/>
          </w:tcPr>
          <w:p>
            <w:pPr>
              <w:pStyle w:val="TableParagraph"/>
              <w:rPr>
                <w:rFonts w:ascii="Times New Roman"/>
                <w:sz w:val="28"/>
              </w:rPr>
            </w:pPr>
          </w:p>
        </w:tc>
        <w:tc>
          <w:tcPr>
            <w:tcW w:w="874" w:type="dxa"/>
          </w:tcPr>
          <w:p>
            <w:pPr>
              <w:pStyle w:val="TableParagraph"/>
              <w:rPr>
                <w:rFonts w:ascii="Times New Roman"/>
                <w:sz w:val="28"/>
              </w:rPr>
            </w:pPr>
          </w:p>
        </w:tc>
        <w:tc>
          <w:tcPr>
            <w:tcW w:w="1587" w:type="dxa"/>
          </w:tcPr>
          <w:p>
            <w:pPr>
              <w:pStyle w:val="TableParagraph"/>
              <w:rPr>
                <w:rFonts w:ascii="Times New Roman"/>
                <w:sz w:val="28"/>
              </w:rPr>
            </w:pPr>
          </w:p>
        </w:tc>
        <w:tc>
          <w:tcPr>
            <w:tcW w:w="3707"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营业收入</w:t>
            </w:r>
          </w:p>
        </w:tc>
        <w:tc>
          <w:tcPr>
            <w:tcW w:w="2459" w:type="dxa"/>
          </w:tcPr>
          <w:p>
            <w:pPr>
              <w:pStyle w:val="TableParagraph"/>
              <w:rPr>
                <w:rFonts w:ascii="Times New Roman"/>
                <w:sz w:val="28"/>
              </w:rPr>
            </w:pPr>
          </w:p>
        </w:tc>
        <w:tc>
          <w:tcPr>
            <w:tcW w:w="874" w:type="dxa"/>
          </w:tcPr>
          <w:p>
            <w:pPr>
              <w:pStyle w:val="TableParagraph"/>
              <w:rPr>
                <w:rFonts w:ascii="Times New Roman"/>
                <w:sz w:val="28"/>
              </w:rPr>
            </w:pPr>
          </w:p>
        </w:tc>
        <w:tc>
          <w:tcPr>
            <w:tcW w:w="1587" w:type="dxa"/>
          </w:tcPr>
          <w:p>
            <w:pPr>
              <w:pStyle w:val="TableParagraph"/>
              <w:rPr>
                <w:rFonts w:ascii="Times New Roman"/>
                <w:sz w:val="28"/>
              </w:rPr>
            </w:pPr>
          </w:p>
        </w:tc>
        <w:tc>
          <w:tcPr>
            <w:tcW w:w="3707"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利息收入</w:t>
            </w:r>
          </w:p>
        </w:tc>
        <w:tc>
          <w:tcPr>
            <w:tcW w:w="2459" w:type="dxa"/>
          </w:tcPr>
          <w:p>
            <w:pPr>
              <w:pStyle w:val="TableParagraph"/>
              <w:rPr>
                <w:rFonts w:ascii="Times New Roman"/>
                <w:sz w:val="28"/>
              </w:rPr>
            </w:pPr>
          </w:p>
        </w:tc>
        <w:tc>
          <w:tcPr>
            <w:tcW w:w="874" w:type="dxa"/>
          </w:tcPr>
          <w:p>
            <w:pPr>
              <w:pStyle w:val="TableParagraph"/>
              <w:rPr>
                <w:rFonts w:ascii="Times New Roman"/>
                <w:sz w:val="28"/>
              </w:rPr>
            </w:pPr>
          </w:p>
        </w:tc>
        <w:tc>
          <w:tcPr>
            <w:tcW w:w="1587" w:type="dxa"/>
          </w:tcPr>
          <w:p>
            <w:pPr>
              <w:pStyle w:val="TableParagraph"/>
              <w:rPr>
                <w:rFonts w:ascii="Times New Roman"/>
                <w:sz w:val="28"/>
              </w:rPr>
            </w:pPr>
          </w:p>
        </w:tc>
        <w:tc>
          <w:tcPr>
            <w:tcW w:w="3707"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已赚保费</w:t>
            </w:r>
          </w:p>
        </w:tc>
        <w:tc>
          <w:tcPr>
            <w:tcW w:w="2459" w:type="dxa"/>
          </w:tcPr>
          <w:p>
            <w:pPr>
              <w:pStyle w:val="TableParagraph"/>
              <w:rPr>
                <w:rFonts w:ascii="Times New Roman"/>
                <w:sz w:val="28"/>
              </w:rPr>
            </w:pPr>
          </w:p>
        </w:tc>
        <w:tc>
          <w:tcPr>
            <w:tcW w:w="874" w:type="dxa"/>
          </w:tcPr>
          <w:p>
            <w:pPr>
              <w:pStyle w:val="TableParagraph"/>
              <w:rPr>
                <w:rFonts w:ascii="Times New Roman"/>
                <w:sz w:val="28"/>
              </w:rPr>
            </w:pPr>
          </w:p>
        </w:tc>
        <w:tc>
          <w:tcPr>
            <w:tcW w:w="1587" w:type="dxa"/>
          </w:tcPr>
          <w:p>
            <w:pPr>
              <w:pStyle w:val="TableParagraph"/>
              <w:rPr>
                <w:rFonts w:ascii="Times New Roman"/>
                <w:sz w:val="28"/>
              </w:rPr>
            </w:pPr>
          </w:p>
        </w:tc>
        <w:tc>
          <w:tcPr>
            <w:tcW w:w="3707"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手续费及佣金收入</w:t>
            </w:r>
          </w:p>
        </w:tc>
        <w:tc>
          <w:tcPr>
            <w:tcW w:w="2459" w:type="dxa"/>
          </w:tcPr>
          <w:p>
            <w:pPr>
              <w:pStyle w:val="TableParagraph"/>
              <w:rPr>
                <w:rFonts w:ascii="Times New Roman"/>
                <w:sz w:val="28"/>
              </w:rPr>
            </w:pPr>
          </w:p>
        </w:tc>
        <w:tc>
          <w:tcPr>
            <w:tcW w:w="874" w:type="dxa"/>
          </w:tcPr>
          <w:p>
            <w:pPr>
              <w:pStyle w:val="TableParagraph"/>
              <w:rPr>
                <w:rFonts w:ascii="Times New Roman"/>
                <w:sz w:val="28"/>
              </w:rPr>
            </w:pPr>
          </w:p>
        </w:tc>
        <w:tc>
          <w:tcPr>
            <w:tcW w:w="1587" w:type="dxa"/>
          </w:tcPr>
          <w:p>
            <w:pPr>
              <w:pStyle w:val="TableParagraph"/>
              <w:rPr>
                <w:rFonts w:ascii="Times New Roman"/>
                <w:sz w:val="28"/>
              </w:rPr>
            </w:pPr>
          </w:p>
        </w:tc>
        <w:tc>
          <w:tcPr>
            <w:tcW w:w="3707"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房地产销售收入</w:t>
            </w:r>
          </w:p>
        </w:tc>
        <w:tc>
          <w:tcPr>
            <w:tcW w:w="2459" w:type="dxa"/>
          </w:tcPr>
          <w:p>
            <w:pPr>
              <w:pStyle w:val="TableParagraph"/>
              <w:rPr>
                <w:rFonts w:ascii="Times New Roman"/>
                <w:sz w:val="28"/>
              </w:rPr>
            </w:pPr>
          </w:p>
        </w:tc>
        <w:tc>
          <w:tcPr>
            <w:tcW w:w="874" w:type="dxa"/>
          </w:tcPr>
          <w:p>
            <w:pPr>
              <w:pStyle w:val="TableParagraph"/>
              <w:rPr>
                <w:rFonts w:ascii="Times New Roman"/>
                <w:sz w:val="28"/>
              </w:rPr>
            </w:pPr>
          </w:p>
        </w:tc>
        <w:tc>
          <w:tcPr>
            <w:tcW w:w="1587" w:type="dxa"/>
          </w:tcPr>
          <w:p>
            <w:pPr>
              <w:pStyle w:val="TableParagraph"/>
              <w:rPr>
                <w:rFonts w:ascii="Times New Roman"/>
                <w:sz w:val="28"/>
              </w:rPr>
            </w:pPr>
          </w:p>
        </w:tc>
        <w:tc>
          <w:tcPr>
            <w:tcW w:w="3707"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其他业务收入</w:t>
            </w:r>
          </w:p>
        </w:tc>
        <w:tc>
          <w:tcPr>
            <w:tcW w:w="2459" w:type="dxa"/>
          </w:tcPr>
          <w:p>
            <w:pPr>
              <w:pStyle w:val="TableParagraph"/>
              <w:rPr>
                <w:rFonts w:ascii="Times New Roman"/>
                <w:sz w:val="28"/>
              </w:rPr>
            </w:pPr>
          </w:p>
        </w:tc>
        <w:tc>
          <w:tcPr>
            <w:tcW w:w="874" w:type="dxa"/>
          </w:tcPr>
          <w:p>
            <w:pPr>
              <w:pStyle w:val="TableParagraph"/>
              <w:rPr>
                <w:rFonts w:ascii="Times New Roman"/>
                <w:sz w:val="28"/>
              </w:rPr>
            </w:pPr>
          </w:p>
        </w:tc>
        <w:tc>
          <w:tcPr>
            <w:tcW w:w="1587" w:type="dxa"/>
          </w:tcPr>
          <w:p>
            <w:pPr>
              <w:pStyle w:val="TableParagraph"/>
              <w:rPr>
                <w:rFonts w:ascii="Times New Roman"/>
                <w:sz w:val="28"/>
              </w:rPr>
            </w:pPr>
          </w:p>
        </w:tc>
        <w:tc>
          <w:tcPr>
            <w:tcW w:w="3707"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二、营业总成本</w:t>
            </w:r>
          </w:p>
        </w:tc>
        <w:tc>
          <w:tcPr>
            <w:tcW w:w="2459" w:type="dxa"/>
          </w:tcPr>
          <w:p>
            <w:pPr>
              <w:pStyle w:val="TableParagraph"/>
              <w:rPr>
                <w:rFonts w:ascii="Times New Roman"/>
                <w:sz w:val="28"/>
              </w:rPr>
            </w:pPr>
          </w:p>
        </w:tc>
        <w:tc>
          <w:tcPr>
            <w:tcW w:w="874" w:type="dxa"/>
          </w:tcPr>
          <w:p>
            <w:pPr>
              <w:pStyle w:val="TableParagraph"/>
              <w:rPr>
                <w:rFonts w:ascii="Times New Roman"/>
                <w:sz w:val="28"/>
              </w:rPr>
            </w:pPr>
          </w:p>
        </w:tc>
        <w:tc>
          <w:tcPr>
            <w:tcW w:w="1587" w:type="dxa"/>
          </w:tcPr>
          <w:p>
            <w:pPr>
              <w:pStyle w:val="TableParagraph"/>
              <w:rPr>
                <w:rFonts w:ascii="Times New Roman"/>
                <w:sz w:val="28"/>
              </w:rPr>
            </w:pPr>
          </w:p>
        </w:tc>
        <w:tc>
          <w:tcPr>
            <w:tcW w:w="3707"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营业成本</w:t>
            </w:r>
          </w:p>
        </w:tc>
        <w:tc>
          <w:tcPr>
            <w:tcW w:w="2459" w:type="dxa"/>
          </w:tcPr>
          <w:p>
            <w:pPr>
              <w:pStyle w:val="TableParagraph"/>
              <w:rPr>
                <w:rFonts w:ascii="Times New Roman"/>
                <w:sz w:val="28"/>
              </w:rPr>
            </w:pPr>
          </w:p>
        </w:tc>
        <w:tc>
          <w:tcPr>
            <w:tcW w:w="874" w:type="dxa"/>
          </w:tcPr>
          <w:p>
            <w:pPr>
              <w:pStyle w:val="TableParagraph"/>
              <w:rPr>
                <w:rFonts w:ascii="Times New Roman"/>
                <w:sz w:val="28"/>
              </w:rPr>
            </w:pPr>
          </w:p>
        </w:tc>
        <w:tc>
          <w:tcPr>
            <w:tcW w:w="1587" w:type="dxa"/>
          </w:tcPr>
          <w:p>
            <w:pPr>
              <w:pStyle w:val="TableParagraph"/>
              <w:rPr>
                <w:rFonts w:ascii="Times New Roman"/>
                <w:sz w:val="28"/>
              </w:rPr>
            </w:pPr>
          </w:p>
        </w:tc>
        <w:tc>
          <w:tcPr>
            <w:tcW w:w="3707" w:type="dxa"/>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09"/>
          <w:jc w:val="left"/>
        </w:trPr>
        <w:tc>
          <w:tcPr>
            <w:tcW w:w="4025" w:type="dxa"/>
          </w:tcPr>
          <w:p>
            <w:pPr>
              <w:pStyle w:val="TableParagraph"/>
              <w:spacing w:before="232"/>
              <w:ind w:left="50"/>
              <w:rPr>
                <w:sz w:val="27"/>
              </w:rPr>
            </w:pPr>
            <w:r>
              <w:rPr>
                <w:sz w:val="27"/>
              </w:rPr>
              <w:t>利息支出</w:t>
            </w:r>
          </w:p>
        </w:tc>
        <w:tc>
          <w:tcPr>
            <w:tcW w:w="2459" w:type="dxa"/>
          </w:tcPr>
          <w:p>
            <w:pPr>
              <w:pStyle w:val="TableParagraph"/>
              <w:rPr>
                <w:rFonts w:ascii="Times New Roman"/>
                <w:sz w:val="28"/>
              </w:rPr>
            </w:pPr>
          </w:p>
        </w:tc>
        <w:tc>
          <w:tcPr>
            <w:tcW w:w="874" w:type="dxa"/>
          </w:tcPr>
          <w:p>
            <w:pPr>
              <w:pStyle w:val="TableParagraph"/>
              <w:spacing w:before="232"/>
              <w:ind w:left="306"/>
              <w:rPr>
                <w:sz w:val="27"/>
              </w:rPr>
            </w:pPr>
            <w:r>
              <w:rPr>
                <w:sz w:val="27"/>
              </w:rPr>
              <w:t>.00</w:t>
            </w:r>
          </w:p>
        </w:tc>
        <w:tc>
          <w:tcPr>
            <w:tcW w:w="1587" w:type="dxa"/>
          </w:tcPr>
          <w:p>
            <w:pPr>
              <w:pStyle w:val="TableParagraph"/>
              <w:rPr>
                <w:rFonts w:ascii="Times New Roman"/>
                <w:sz w:val="28"/>
              </w:rPr>
            </w:pPr>
          </w:p>
        </w:tc>
        <w:tc>
          <w:tcPr>
            <w:tcW w:w="3707" w:type="dxa"/>
          </w:tcPr>
          <w:p>
            <w:pPr>
              <w:pStyle w:val="TableParagraph"/>
              <w:spacing w:before="232"/>
              <w:ind w:left="275"/>
              <w:rPr>
                <w:sz w:val="27"/>
              </w:rPr>
            </w:pPr>
            <w:r>
              <w:rPr>
                <w:sz w:val="27"/>
              </w:rPr>
              <w:t>.00</w:t>
            </w: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手续费及佣金支出</w:t>
            </w:r>
          </w:p>
        </w:tc>
        <w:tc>
          <w:tcPr>
            <w:tcW w:w="8627" w:type="dxa"/>
            <w:gridSpan w:val="4"/>
            <w:vMerge w:val="restart"/>
          </w:tcPr>
          <w:p>
            <w:pPr>
              <w:pStyle w:val="TableParagraph"/>
              <w:rPr>
                <w:rFonts w:ascii="Times New Roman"/>
                <w:sz w:val="28"/>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房地产销售成本</w:t>
            </w:r>
          </w:p>
        </w:tc>
        <w:tc>
          <w:tcPr>
            <w:tcW w:w="8627" w:type="dxa"/>
            <w:gridSpan w:val="4"/>
            <w:vMerge/>
            <w:tcBorders>
              <w:top w:val="nil"/>
            </w:tcBorders>
          </w:tcPr>
          <w:p>
            <w:pPr>
              <w:rPr>
                <w:sz w:val="2"/>
                <w:szCs w:val="2"/>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研发费用</w:t>
            </w:r>
          </w:p>
        </w:tc>
        <w:tc>
          <w:tcPr>
            <w:tcW w:w="8627" w:type="dxa"/>
            <w:gridSpan w:val="4"/>
            <w:vMerge/>
            <w:tcBorders>
              <w:top w:val="nil"/>
            </w:tcBorders>
          </w:tcPr>
          <w:p>
            <w:pPr>
              <w:rPr>
                <w:sz w:val="2"/>
                <w:szCs w:val="2"/>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退保金</w:t>
            </w:r>
          </w:p>
        </w:tc>
        <w:tc>
          <w:tcPr>
            <w:tcW w:w="8627" w:type="dxa"/>
            <w:gridSpan w:val="4"/>
            <w:vMerge/>
            <w:tcBorders>
              <w:top w:val="nil"/>
            </w:tcBorders>
          </w:tcPr>
          <w:p>
            <w:pPr>
              <w:rPr>
                <w:sz w:val="2"/>
                <w:szCs w:val="2"/>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赔付支出净额</w:t>
            </w:r>
          </w:p>
        </w:tc>
        <w:tc>
          <w:tcPr>
            <w:tcW w:w="8627" w:type="dxa"/>
            <w:gridSpan w:val="4"/>
            <w:vMerge/>
            <w:tcBorders>
              <w:top w:val="nil"/>
            </w:tcBorders>
          </w:tcPr>
          <w:p>
            <w:pPr>
              <w:rPr>
                <w:sz w:val="2"/>
                <w:szCs w:val="2"/>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提取保险合同准备金净额</w:t>
            </w:r>
          </w:p>
        </w:tc>
        <w:tc>
          <w:tcPr>
            <w:tcW w:w="8627" w:type="dxa"/>
            <w:gridSpan w:val="4"/>
            <w:vMerge/>
            <w:tcBorders>
              <w:top w:val="nil"/>
            </w:tcBorders>
          </w:tcPr>
          <w:p>
            <w:pPr>
              <w:rPr>
                <w:sz w:val="2"/>
                <w:szCs w:val="2"/>
              </w:rPr>
            </w:pPr>
          </w:p>
        </w:tc>
      </w:tr>
      <w:tr>
        <w:tblPrEx>
          <w:tblW w:w="0" w:type="auto"/>
          <w:jc w:val="left"/>
          <w:tblInd w:w="590" w:type="dxa"/>
          <w:tblLayout w:type="fixed"/>
          <w:tblCellMar>
            <w:top w:w="0" w:type="dxa"/>
            <w:left w:w="0" w:type="dxa"/>
            <w:bottom w:w="0" w:type="dxa"/>
            <w:right w:w="0" w:type="dxa"/>
          </w:tblCellMar>
          <w:tblLook w:val="01E0"/>
        </w:tblPrEx>
        <w:trPr>
          <w:trHeight w:val="810"/>
          <w:jc w:val="left"/>
        </w:trPr>
        <w:tc>
          <w:tcPr>
            <w:tcW w:w="4025" w:type="dxa"/>
          </w:tcPr>
          <w:p>
            <w:pPr>
              <w:pStyle w:val="TableParagraph"/>
              <w:spacing w:before="232"/>
              <w:ind w:left="50"/>
              <w:rPr>
                <w:sz w:val="27"/>
              </w:rPr>
            </w:pPr>
            <w:r>
              <w:rPr>
                <w:sz w:val="27"/>
              </w:rPr>
              <w:t>保单红利支出</w:t>
            </w:r>
          </w:p>
        </w:tc>
        <w:tc>
          <w:tcPr>
            <w:tcW w:w="8627" w:type="dxa"/>
            <w:gridSpan w:val="4"/>
            <w:vMerge/>
            <w:tcBorders>
              <w:top w:val="nil"/>
            </w:tcBorders>
          </w:tcPr>
          <w:p>
            <w:pPr>
              <w:rPr>
                <w:sz w:val="2"/>
                <w:szCs w:val="2"/>
              </w:rPr>
            </w:pPr>
          </w:p>
        </w:tc>
      </w:tr>
      <w:tr>
        <w:tblPrEx>
          <w:tblW w:w="0" w:type="auto"/>
          <w:jc w:val="left"/>
          <w:tblInd w:w="590" w:type="dxa"/>
          <w:tblLayout w:type="fixed"/>
          <w:tblCellMar>
            <w:top w:w="0" w:type="dxa"/>
            <w:left w:w="0" w:type="dxa"/>
            <w:bottom w:w="0" w:type="dxa"/>
            <w:right w:w="0" w:type="dxa"/>
          </w:tblCellMar>
          <w:tblLook w:val="01E0"/>
        </w:tblPrEx>
        <w:trPr>
          <w:trHeight w:val="540"/>
          <w:jc w:val="left"/>
        </w:trPr>
        <w:tc>
          <w:tcPr>
            <w:tcW w:w="4025" w:type="dxa"/>
          </w:tcPr>
          <w:p>
            <w:pPr>
              <w:pStyle w:val="TableParagraph"/>
              <w:spacing w:before="232" w:line="288" w:lineRule="exact"/>
              <w:ind w:left="50"/>
              <w:rPr>
                <w:sz w:val="27"/>
              </w:rPr>
            </w:pPr>
            <w:r>
              <w:rPr>
                <w:sz w:val="27"/>
              </w:rPr>
              <w:t>分保费用</w:t>
            </w:r>
          </w:p>
        </w:tc>
        <w:tc>
          <w:tcPr>
            <w:tcW w:w="8627" w:type="dxa"/>
            <w:gridSpan w:val="4"/>
            <w:vMerge/>
            <w:tcBorders>
              <w:top w:val="nil"/>
            </w:tcBorders>
          </w:tcPr>
          <w:p>
            <w:pPr>
              <w:rPr>
                <w:sz w:val="2"/>
                <w:szCs w:val="2"/>
              </w:rPr>
            </w:pPr>
          </w:p>
        </w:tc>
      </w:tr>
    </w:tbl>
    <w:p>
      <w:pPr>
        <w:spacing w:after="0"/>
        <w:rPr>
          <w:sz w:val="2"/>
          <w:szCs w:val="2"/>
        </w:rPr>
      </w:pPr>
      <w:r>
        <w:rPr>
          <w:sz w:val="2"/>
          <w:szCs w:val="2"/>
        </w:rPr>
        <w:br/>
      </w:r>
      <w:r>
        <w:rPr>
          <w:sz w:val="2"/>
          <w:szCs w:val="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4" w:history="1">
        <w:r>
          <w:rPr>
            <w:rFonts w:ascii="SimSun" w:eastAsia="SimSun" w:hAnsi="SimSun" w:cs="SimSun"/>
            <w:b/>
            <w:bCs/>
            <w:color w:val="0000EE"/>
            <w:sz w:val="30"/>
            <w:szCs w:val="30"/>
            <w:u w:val="single" w:color="0000EE"/>
          </w:rPr>
          <w:t>https://d.book118.com/196054004120010053</w:t>
        </w:r>
      </w:hyperlink>
    </w:p>
    <w:p>
      <w:pPr>
        <w:spacing w:after="0"/>
        <w:rPr>
          <w:sz w:val="2"/>
          <w:szCs w:val="2"/>
        </w:rPr>
      </w:pPr>
    </w:p>
    <w:sectPr>
      <w:headerReference w:type="default" r:id="rId45"/>
      <w:footerReference w:type="default" r:id="rId46"/>
      <w:pgSz w:w="17860" w:h="25260"/>
      <w:pgMar w:top="1200" w:right="1360" w:bottom="2020" w:left="1420" w:header="1005" w:footer="1822"/>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5.6pt;height:17.4pt;margin-top:1160.79pt;margin-left:743.63pt;mso-position-horizontal-relative:page;mso-position-vertical-relative:page;position:absolute;z-index:-251658240" filled="f" stroked="f">
          <v:textbox inset="0,0,0,0">
            <w:txbxContent>
              <w:p>
                <w:pPr>
                  <w:spacing w:before="20" w:line="328" w:lineRule="exact"/>
                  <w:ind w:left="20" w:right="0" w:firstLine="0"/>
                  <w:jc w:val="left"/>
                  <w:rPr>
                    <w:sz w:val="27"/>
                  </w:rPr>
                </w:pPr>
                <w:r>
                  <w:rPr>
                    <w:rFonts w:ascii="Arial"/>
                    <w:w w:val="95"/>
                    <w:sz w:val="27"/>
                  </w:rPr>
                  <w:t>1</w:t>
                </w:r>
                <w:r>
                  <w:rPr>
                    <w:w w:val="95"/>
                    <w:sz w:val="27"/>
                  </w:rPr>
                  <w:t>1</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5.6pt;height:17.4pt;margin-top:1160.79pt;margin-left:743.63pt;mso-position-horizontal-relative:page;mso-position-vertical-relative:page;position:absolute;z-index:-251657216" filled="f" stroked="f">
          <v:textbox inset="0,0,0,0">
            <w:txbxContent>
              <w:p>
                <w:pPr>
                  <w:spacing w:before="20" w:line="328" w:lineRule="exact"/>
                  <w:ind w:left="20" w:right="0" w:firstLine="0"/>
                  <w:jc w:val="left"/>
                  <w:rPr>
                    <w:sz w:val="27"/>
                  </w:rPr>
                </w:pPr>
                <w:r>
                  <w:rPr>
                    <w:rFonts w:ascii="Arial"/>
                    <w:w w:val="95"/>
                    <w:sz w:val="27"/>
                  </w:rPr>
                  <w:t>2</w:t>
                </w:r>
                <w:r>
                  <w:rPr>
                    <w:w w:val="95"/>
                    <w:sz w:val="27"/>
                  </w:rPr>
                  <w:t>2</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5.6pt;height:17.2pt;margin-top:1161pt;margin-left:743.63pt;mso-position-horizontal-relative:page;mso-position-vertical-relative:page;position:absolute;z-index:-251656192" filled="f" stroked="f">
          <v:textbox inset="0,0,0,0">
            <w:txbxContent>
              <w:p>
                <w:pPr>
                  <w:spacing w:before="16" w:line="328" w:lineRule="exact"/>
                  <w:ind w:left="20" w:right="0" w:firstLine="0"/>
                  <w:jc w:val="left"/>
                  <w:rPr>
                    <w:sz w:val="27"/>
                  </w:rPr>
                </w:pPr>
                <w:r>
                  <w:rPr>
                    <w:rFonts w:ascii="Arial"/>
                    <w:w w:val="95"/>
                    <w:sz w:val="27"/>
                  </w:rPr>
                  <w:t>3</w:t>
                </w:r>
                <w:r>
                  <w:rPr>
                    <w:w w:val="95"/>
                    <w:sz w:val="27"/>
                  </w:rPr>
                  <w:t>3</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6pt;height:17.4pt;margin-top:1160.79pt;margin-left:743.63pt;mso-position-horizontal-relative:page;mso-position-vertical-relative:page;position:absolute;z-index:-251655168" filled="f" stroked="f">
          <v:textbox inset="0,0,0,0">
            <w:txbxContent>
              <w:p>
                <w:pPr>
                  <w:spacing w:before="20" w:line="328" w:lineRule="exact"/>
                  <w:ind w:left="20" w:right="0" w:firstLine="0"/>
                  <w:jc w:val="left"/>
                  <w:rPr>
                    <w:sz w:val="27"/>
                  </w:rPr>
                </w:pPr>
                <w:r>
                  <w:rPr>
                    <w:rFonts w:ascii="Arial"/>
                    <w:w w:val="95"/>
                    <w:sz w:val="27"/>
                  </w:rPr>
                  <w:t>4</w:t>
                </w:r>
                <w:r>
                  <w:rPr>
                    <w:w w:val="95"/>
                    <w:sz w:val="27"/>
                  </w:rPr>
                  <w:t>4</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5.6pt;height:17.2pt;margin-top:1161pt;margin-left:743.63pt;mso-position-horizontal-relative:page;mso-position-vertical-relative:page;position:absolute;z-index:-251654144" filled="f" stroked="f">
          <v:textbox inset="0,0,0,0">
            <w:txbxContent>
              <w:p>
                <w:pPr>
                  <w:spacing w:before="16" w:line="328" w:lineRule="exact"/>
                  <w:ind w:left="20" w:right="0" w:firstLine="0"/>
                  <w:jc w:val="left"/>
                  <w:rPr>
                    <w:sz w:val="27"/>
                  </w:rPr>
                </w:pPr>
                <w:r>
                  <w:rPr>
                    <w:rFonts w:ascii="Arial"/>
                    <w:w w:val="95"/>
                    <w:sz w:val="27"/>
                  </w:rPr>
                  <w:t>5</w:t>
                </w:r>
                <w:r>
                  <w:rPr>
                    <w:w w:val="95"/>
                    <w:sz w:val="27"/>
                  </w:rPr>
                  <w:t>5</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5.6pt;height:17.2pt;margin-top:1161pt;margin-left:743.63pt;mso-position-horizontal-relative:page;mso-position-vertical-relative:page;position:absolute;z-index:-251653120" filled="f" stroked="f">
          <v:textbox inset="0,0,0,0">
            <w:txbxContent>
              <w:p>
                <w:pPr>
                  <w:spacing w:before="16" w:line="328" w:lineRule="exact"/>
                  <w:ind w:left="20" w:right="0" w:firstLine="0"/>
                  <w:jc w:val="left"/>
                  <w:rPr>
                    <w:sz w:val="27"/>
                  </w:rPr>
                </w:pPr>
                <w:r>
                  <w:rPr>
                    <w:rFonts w:ascii="Arial"/>
                    <w:w w:val="95"/>
                    <w:sz w:val="27"/>
                  </w:rPr>
                  <w:t>6</w:t>
                </w:r>
                <w:r>
                  <w:rPr>
                    <w:w w:val="95"/>
                    <w:sz w:val="27"/>
                  </w:rPr>
                  <w:t>6</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5.6pt;height:17.3pt;margin-top:1160.91pt;margin-left:743.63pt;mso-position-horizontal-relative:page;mso-position-vertical-relative:page;position:absolute;z-index:-251652096" filled="f" stroked="f">
          <v:textbox inset="0,0,0,0">
            <w:txbxContent>
              <w:p>
                <w:pPr>
                  <w:spacing w:before="17" w:line="328" w:lineRule="exact"/>
                  <w:ind w:left="20" w:right="0" w:firstLine="0"/>
                  <w:jc w:val="left"/>
                  <w:rPr>
                    <w:sz w:val="27"/>
                  </w:rPr>
                </w:pPr>
                <w:r>
                  <w:rPr>
                    <w:rFonts w:ascii="Arial"/>
                    <w:w w:val="95"/>
                    <w:sz w:val="27"/>
                  </w:rPr>
                  <w:t>7</w:t>
                </w:r>
                <w:r>
                  <w:rPr>
                    <w:w w:val="95"/>
                    <w:sz w:val="27"/>
                  </w:rPr>
                  <w:t>7</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5.6pt;height:17.2pt;margin-top:1161pt;margin-left:743.63pt;mso-position-horizontal-relative:page;mso-position-vertical-relative:page;position:absolute;z-index:-251651072" filled="f" stroked="f">
          <v:textbox inset="0,0,0,0">
            <w:txbxContent>
              <w:p>
                <w:pPr>
                  <w:spacing w:before="16" w:line="328" w:lineRule="exact"/>
                  <w:ind w:left="20" w:right="0" w:firstLine="0"/>
                  <w:jc w:val="left"/>
                  <w:rPr>
                    <w:sz w:val="27"/>
                  </w:rPr>
                </w:pPr>
                <w:r>
                  <w:rPr>
                    <w:rFonts w:ascii="Arial"/>
                    <w:w w:val="95"/>
                    <w:sz w:val="27"/>
                  </w:rPr>
                  <w:t>8</w:t>
                </w:r>
                <w:r>
                  <w:rPr>
                    <w:w w:val="95"/>
                    <w:sz w:val="27"/>
                  </w:rPr>
                  <w:t>8</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5.6pt;height:17.1pt;margin-top:1161.12pt;margin-left:743.63pt;mso-position-horizontal-relative:page;mso-position-vertical-relative:page;position:absolute;z-index:-251650048" filled="f" stroked="f">
          <v:textbox inset="0,0,0,0">
            <w:txbxContent>
              <w:p>
                <w:pPr>
                  <w:spacing w:before="13" w:line="328" w:lineRule="exact"/>
                  <w:ind w:left="20" w:right="0" w:firstLine="0"/>
                  <w:jc w:val="left"/>
                  <w:rPr>
                    <w:sz w:val="27"/>
                  </w:rPr>
                </w:pPr>
                <w:r>
                  <w:rPr>
                    <w:rFonts w:ascii="Arial"/>
                    <w:w w:val="95"/>
                    <w:sz w:val="27"/>
                  </w:rPr>
                  <w:t>9</w:t>
                </w:r>
                <w:r>
                  <w:rPr>
                    <w:w w:val="95"/>
                    <w:sz w:val="27"/>
                  </w:rPr>
                  <w:t>9</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5.6pt;height:17.1pt;margin-top:1161.12pt;margin-left:743.63pt;mso-position-horizontal-relative:page;mso-position-vertical-relative:page;position:absolute;z-index:-251649024" filled="f" stroked="f">
          <v:textbox inset="0,0,0,0">
            <w:txbxContent>
              <w:p>
                <w:pPr>
                  <w:spacing w:before="13" w:line="328" w:lineRule="exact"/>
                  <w:ind w:left="20" w:right="0" w:firstLine="0"/>
                  <w:jc w:val="left"/>
                  <w:rPr>
                    <w:sz w:val="27"/>
                  </w:rPr>
                </w:pPr>
                <w:r>
                  <w:rPr>
                    <w:rFonts w:ascii="Arial"/>
                    <w:w w:val="95"/>
                    <w:sz w:val="27"/>
                  </w:rPr>
                  <w:t>9</w:t>
                </w:r>
                <w:r>
                  <w:rPr>
                    <w:w w:val="95"/>
                    <w:sz w:val="27"/>
                  </w:rPr>
                  <w:t>9</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9.2pt;height:17.2pt;margin-top:1161pt;margin-left:730.13pt;mso-position-horizontal-relative:page;mso-position-vertical-relative:page;position:absolute;z-index:-251648000" filled="f" stroked="f">
          <v:textbox inset="0,0,0,0">
            <w:txbxContent>
              <w:p>
                <w:pPr>
                  <w:spacing w:before="16" w:line="328" w:lineRule="exact"/>
                  <w:ind w:left="20" w:right="0" w:firstLine="0"/>
                  <w:jc w:val="left"/>
                  <w:rPr>
                    <w:sz w:val="27"/>
                  </w:rPr>
                </w:pPr>
                <w:r>
                  <w:rPr>
                    <w:rFonts w:ascii="Arial"/>
                    <w:w w:val="95"/>
                    <w:sz w:val="27"/>
                  </w:rPr>
                  <w:t>10</w:t>
                </w:r>
                <w:r>
                  <w:rPr>
                    <w:w w:val="95"/>
                    <w:sz w:val="27"/>
                  </w:rPr>
                  <w:t>10</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2pt;height:17.2pt;margin-top:1161pt;margin-left:730.13pt;mso-position-horizontal-relative:page;mso-position-vertical-relative:page;position:absolute;z-index:-251646976" filled="f" stroked="f">
          <v:textbox inset="0,0,0,0">
            <w:txbxContent>
              <w:p>
                <w:pPr>
                  <w:spacing w:before="16" w:line="328" w:lineRule="exact"/>
                  <w:ind w:left="20" w:right="0" w:firstLine="0"/>
                  <w:jc w:val="left"/>
                  <w:rPr>
                    <w:sz w:val="27"/>
                  </w:rPr>
                </w:pPr>
                <w:r>
                  <w:rPr>
                    <w:rFonts w:ascii="Arial"/>
                    <w:w w:val="95"/>
                    <w:sz w:val="27"/>
                  </w:rPr>
                  <w:t>10</w:t>
                </w:r>
                <w:r>
                  <w:rPr>
                    <w:w w:val="95"/>
                    <w:sz w:val="27"/>
                  </w:rPr>
                  <w:t>10</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8.65pt;height:17.4pt;margin-top:1160.79pt;margin-left:730.49pt;mso-position-horizontal-relative:page;mso-position-vertical-relative:page;position:absolute;z-index:-251645952" filled="f" stroked="f">
          <v:textbox inset="0,0,0,0">
            <w:txbxContent>
              <w:p>
                <w:pPr>
                  <w:spacing w:before="20" w:line="328" w:lineRule="exact"/>
                  <w:ind w:left="20" w:right="0" w:firstLine="0"/>
                  <w:jc w:val="left"/>
                  <w:rPr>
                    <w:sz w:val="27"/>
                  </w:rPr>
                </w:pPr>
                <w:r>
                  <w:rPr>
                    <w:rFonts w:ascii="Arial"/>
                    <w:w w:val="95"/>
                    <w:sz w:val="27"/>
                  </w:rPr>
                  <w:t>11</w:t>
                </w:r>
                <w:r>
                  <w:rPr>
                    <w:w w:val="95"/>
                    <w:sz w:val="27"/>
                  </w:rPr>
                  <w:t>11</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2pt;height:17.4pt;margin-top:1160.79pt;margin-left:730.13pt;mso-position-horizontal-relative:page;mso-position-vertical-relative:page;position:absolute;z-index:-251644928" filled="f" stroked="f">
          <v:textbox inset="0,0,0,0">
            <w:txbxContent>
              <w:p>
                <w:pPr>
                  <w:spacing w:before="20" w:line="328" w:lineRule="exact"/>
                  <w:ind w:left="20" w:right="0" w:firstLine="0"/>
                  <w:jc w:val="left"/>
                  <w:rPr>
                    <w:sz w:val="27"/>
                  </w:rPr>
                </w:pPr>
                <w:r>
                  <w:rPr>
                    <w:rFonts w:ascii="Arial"/>
                    <w:w w:val="95"/>
                    <w:sz w:val="27"/>
                  </w:rPr>
                  <w:t>12</w:t>
                </w:r>
                <w:r>
                  <w:rPr>
                    <w:w w:val="95"/>
                    <w:sz w:val="27"/>
                  </w:rPr>
                  <w:t>12</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9.2pt;height:17.2pt;margin-top:1161pt;margin-left:730.13pt;mso-position-horizontal-relative:page;mso-position-vertical-relative:page;position:absolute;z-index:-251643904" filled="f" stroked="f">
          <v:textbox inset="0,0,0,0">
            <w:txbxContent>
              <w:p>
                <w:pPr>
                  <w:spacing w:before="16" w:line="328" w:lineRule="exact"/>
                  <w:ind w:left="20" w:right="0" w:firstLine="0"/>
                  <w:jc w:val="left"/>
                  <w:rPr>
                    <w:sz w:val="27"/>
                  </w:rPr>
                </w:pPr>
                <w:r>
                  <w:rPr>
                    <w:rFonts w:ascii="Arial"/>
                    <w:w w:val="95"/>
                    <w:sz w:val="27"/>
                  </w:rPr>
                  <w:t>13</w:t>
                </w:r>
                <w:r>
                  <w:rPr>
                    <w:w w:val="95"/>
                    <w:sz w:val="27"/>
                  </w:rPr>
                  <w:t>13</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9.2pt;height:17.4pt;margin-top:1160.79pt;margin-left:730.13pt;mso-position-horizontal-relative:page;mso-position-vertical-relative:page;position:absolute;z-index:-251642880" filled="f" stroked="f">
          <v:textbox inset="0,0,0,0">
            <w:txbxContent>
              <w:p>
                <w:pPr>
                  <w:spacing w:before="20" w:line="328" w:lineRule="exact"/>
                  <w:ind w:left="20" w:right="0" w:firstLine="0"/>
                  <w:jc w:val="left"/>
                  <w:rPr>
                    <w:sz w:val="27"/>
                  </w:rPr>
                </w:pPr>
                <w:r>
                  <w:rPr>
                    <w:rFonts w:ascii="Arial"/>
                    <w:w w:val="95"/>
                    <w:sz w:val="27"/>
                  </w:rPr>
                  <w:t>14</w:t>
                </w:r>
                <w:r>
                  <w:rPr>
                    <w:w w:val="95"/>
                    <w:sz w:val="27"/>
                  </w:rPr>
                  <w:t>14</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15451156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115663"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13485777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577706"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1676400</wp:posOffset>
          </wp:positionH>
          <wp:positionV relativeFrom="page">
            <wp:posOffset>676275</wp:posOffset>
          </wp:positionV>
          <wp:extent cx="8001000" cy="88900"/>
          <wp:effectExtent l="0" t="0" r="0" b="0"/>
          <wp:wrapNone/>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png"/>
                  <pic:cNvPicPr/>
                </pic:nvPicPr>
                <pic:blipFill>
                  <a:blip xmlns:r="http://schemas.openxmlformats.org/officeDocument/2006/relationships" r:embed="rId1" cstate="print"/>
                  <a:stretch>
                    <a:fillRect/>
                  </a:stretch>
                </pic:blipFill>
                <pic:spPr>
                  <a:xfrm>
                    <a:off x="0" y="0"/>
                    <a:ext cx="8001000" cy="889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4691AC"/>
    <w:multiLevelType w:val="hybridMultilevel"/>
    <w:tmpl w:val="00000000"/>
    <w:lvl w:ilvl="0">
      <w:start w:val="1"/>
      <w:numFmt w:val="decimal"/>
      <w:lvlText w:val="（%1）"/>
      <w:lvlJc w:val="left"/>
      <w:pPr>
        <w:ind w:left="1057" w:hanging="948"/>
        <w:jc w:val="right"/>
      </w:pPr>
      <w:rPr>
        <w:rFonts w:ascii="黑体" w:eastAsia="黑体" w:hAnsi="黑体" w:cs="黑体" w:hint="default"/>
        <w:w w:val="102"/>
        <w:sz w:val="31"/>
        <w:szCs w:val="31"/>
      </w:rPr>
    </w:lvl>
    <w:lvl w:ilvl="1">
      <w:start w:val="1"/>
      <w:numFmt w:val="decimal"/>
      <w:lvlText w:val="（%2）"/>
      <w:lvlJc w:val="left"/>
      <w:pPr>
        <w:ind w:left="2360" w:hanging="1080"/>
        <w:jc w:val="left"/>
      </w:pPr>
      <w:rPr>
        <w:rFonts w:ascii="黑体" w:eastAsia="黑体" w:hAnsi="黑体" w:cs="黑体" w:hint="default"/>
        <w:spacing w:val="-1"/>
        <w:w w:val="102"/>
        <w:sz w:val="31"/>
        <w:szCs w:val="31"/>
      </w:rPr>
    </w:lvl>
    <w:lvl w:ilvl="2">
      <w:start w:val="0"/>
      <w:numFmt w:val="bullet"/>
      <w:lvlText w:val="•"/>
      <w:lvlJc w:val="left"/>
      <w:pPr>
        <w:ind w:left="3773" w:hanging="1080"/>
      </w:pPr>
      <w:rPr>
        <w:rFonts w:hint="default"/>
      </w:rPr>
    </w:lvl>
    <w:lvl w:ilvl="3">
      <w:start w:val="0"/>
      <w:numFmt w:val="bullet"/>
      <w:lvlText w:val="•"/>
      <w:lvlJc w:val="left"/>
      <w:pPr>
        <w:ind w:left="5186" w:hanging="1080"/>
      </w:pPr>
      <w:rPr>
        <w:rFonts w:hint="default"/>
      </w:rPr>
    </w:lvl>
    <w:lvl w:ilvl="4">
      <w:start w:val="0"/>
      <w:numFmt w:val="bullet"/>
      <w:lvlText w:val="•"/>
      <w:lvlJc w:val="left"/>
      <w:pPr>
        <w:ind w:left="6599" w:hanging="1080"/>
      </w:pPr>
      <w:rPr>
        <w:rFonts w:hint="default"/>
      </w:rPr>
    </w:lvl>
    <w:lvl w:ilvl="5">
      <w:start w:val="0"/>
      <w:numFmt w:val="bullet"/>
      <w:lvlText w:val="•"/>
      <w:lvlJc w:val="left"/>
      <w:pPr>
        <w:ind w:left="8013" w:hanging="1080"/>
      </w:pPr>
      <w:rPr>
        <w:rFonts w:hint="default"/>
      </w:rPr>
    </w:lvl>
    <w:lvl w:ilvl="6">
      <w:start w:val="0"/>
      <w:numFmt w:val="bullet"/>
      <w:lvlText w:val="•"/>
      <w:lvlJc w:val="left"/>
      <w:pPr>
        <w:ind w:left="9426" w:hanging="1080"/>
      </w:pPr>
      <w:rPr>
        <w:rFonts w:hint="default"/>
      </w:rPr>
    </w:lvl>
    <w:lvl w:ilvl="7">
      <w:start w:val="0"/>
      <w:numFmt w:val="bullet"/>
      <w:lvlText w:val="•"/>
      <w:lvlJc w:val="left"/>
      <w:pPr>
        <w:ind w:left="10839" w:hanging="1080"/>
      </w:pPr>
      <w:rPr>
        <w:rFonts w:hint="default"/>
      </w:rPr>
    </w:lvl>
    <w:lvl w:ilvl="8">
      <w:start w:val="0"/>
      <w:numFmt w:val="bullet"/>
      <w:lvlText w:val="•"/>
      <w:lvlJc w:val="left"/>
      <w:pPr>
        <w:ind w:left="12253" w:hanging="1080"/>
      </w:pPr>
      <w:rPr>
        <w:rFonts w:hint="default"/>
      </w:rPr>
    </w:lvl>
  </w:abstractNum>
  <w:abstractNum w:abstractNumId="1">
    <w:nsid w:val="1516169C"/>
    <w:multiLevelType w:val="hybridMultilevel"/>
    <w:tmpl w:val="00000000"/>
    <w:lvl w:ilvl="0">
      <w:start w:val="1"/>
      <w:numFmt w:val="decimal"/>
      <w:lvlText w:val="（%1）"/>
      <w:lvlJc w:val="left"/>
      <w:pPr>
        <w:ind w:left="2360" w:hanging="1080"/>
        <w:jc w:val="left"/>
      </w:pPr>
      <w:rPr>
        <w:rFonts w:ascii="黑体" w:eastAsia="黑体" w:hAnsi="黑体" w:cs="黑体" w:hint="default"/>
        <w:spacing w:val="-1"/>
        <w:w w:val="102"/>
        <w:sz w:val="31"/>
        <w:szCs w:val="31"/>
      </w:rPr>
    </w:lvl>
    <w:lvl w:ilvl="1">
      <w:start w:val="0"/>
      <w:numFmt w:val="bullet"/>
      <w:lvlText w:val="•"/>
      <w:lvlJc w:val="left"/>
      <w:pPr>
        <w:ind w:left="3631" w:hanging="1080"/>
      </w:pPr>
      <w:rPr>
        <w:rFonts w:hint="default"/>
      </w:rPr>
    </w:lvl>
    <w:lvl w:ilvl="2">
      <w:start w:val="0"/>
      <w:numFmt w:val="bullet"/>
      <w:lvlText w:val="•"/>
      <w:lvlJc w:val="left"/>
      <w:pPr>
        <w:ind w:left="4903" w:hanging="1080"/>
      </w:pPr>
      <w:rPr>
        <w:rFonts w:hint="default"/>
      </w:rPr>
    </w:lvl>
    <w:lvl w:ilvl="3">
      <w:start w:val="0"/>
      <w:numFmt w:val="bullet"/>
      <w:lvlText w:val="•"/>
      <w:lvlJc w:val="left"/>
      <w:pPr>
        <w:ind w:left="6175" w:hanging="1080"/>
      </w:pPr>
      <w:rPr>
        <w:rFonts w:hint="default"/>
      </w:rPr>
    </w:lvl>
    <w:lvl w:ilvl="4">
      <w:start w:val="0"/>
      <w:numFmt w:val="bullet"/>
      <w:lvlText w:val="•"/>
      <w:lvlJc w:val="left"/>
      <w:pPr>
        <w:ind w:left="7447" w:hanging="1080"/>
      </w:pPr>
      <w:rPr>
        <w:rFonts w:hint="default"/>
      </w:rPr>
    </w:lvl>
    <w:lvl w:ilvl="5">
      <w:start w:val="0"/>
      <w:numFmt w:val="bullet"/>
      <w:lvlText w:val="•"/>
      <w:lvlJc w:val="left"/>
      <w:pPr>
        <w:ind w:left="8719" w:hanging="1080"/>
      </w:pPr>
      <w:rPr>
        <w:rFonts w:hint="default"/>
      </w:rPr>
    </w:lvl>
    <w:lvl w:ilvl="6">
      <w:start w:val="0"/>
      <w:numFmt w:val="bullet"/>
      <w:lvlText w:val="•"/>
      <w:lvlJc w:val="left"/>
      <w:pPr>
        <w:ind w:left="9991" w:hanging="1080"/>
      </w:pPr>
      <w:rPr>
        <w:rFonts w:hint="default"/>
      </w:rPr>
    </w:lvl>
    <w:lvl w:ilvl="7">
      <w:start w:val="0"/>
      <w:numFmt w:val="bullet"/>
      <w:lvlText w:val="•"/>
      <w:lvlJc w:val="left"/>
      <w:pPr>
        <w:ind w:left="11263" w:hanging="1080"/>
      </w:pPr>
      <w:rPr>
        <w:rFonts w:hint="default"/>
      </w:rPr>
    </w:lvl>
    <w:lvl w:ilvl="8">
      <w:start w:val="0"/>
      <w:numFmt w:val="bullet"/>
      <w:lvlText w:val="•"/>
      <w:lvlJc w:val="left"/>
      <w:pPr>
        <w:ind w:left="12535" w:hanging="1080"/>
      </w:pPr>
      <w:rPr>
        <w:rFonts w:hint="default"/>
      </w:rPr>
    </w:lvl>
  </w:abstractNum>
  <w:abstractNum w:abstractNumId="2">
    <w:nsid w:val="3A8802F8"/>
    <w:multiLevelType w:val="hybridMultilevel"/>
    <w:tmpl w:val="00000000"/>
    <w:lvl w:ilvl="0">
      <w:start w:val="1"/>
      <w:numFmt w:val="decimal"/>
      <w:lvlText w:val="（%1）"/>
      <w:lvlJc w:val="left"/>
      <w:pPr>
        <w:ind w:left="2073" w:hanging="793"/>
        <w:jc w:val="left"/>
      </w:pPr>
      <w:rPr>
        <w:rFonts w:ascii="黑体" w:eastAsia="黑体" w:hAnsi="黑体" w:cs="黑体" w:hint="default"/>
        <w:spacing w:val="-1"/>
        <w:w w:val="102"/>
        <w:sz w:val="29"/>
        <w:szCs w:val="29"/>
      </w:rPr>
    </w:lvl>
    <w:lvl w:ilvl="1">
      <w:start w:val="0"/>
      <w:numFmt w:val="bullet"/>
      <w:lvlText w:val="•"/>
      <w:lvlJc w:val="left"/>
      <w:pPr>
        <w:ind w:left="3379" w:hanging="793"/>
      </w:pPr>
      <w:rPr>
        <w:rFonts w:hint="default"/>
      </w:rPr>
    </w:lvl>
    <w:lvl w:ilvl="2">
      <w:start w:val="0"/>
      <w:numFmt w:val="bullet"/>
      <w:lvlText w:val="•"/>
      <w:lvlJc w:val="left"/>
      <w:pPr>
        <w:ind w:left="4679" w:hanging="793"/>
      </w:pPr>
      <w:rPr>
        <w:rFonts w:hint="default"/>
      </w:rPr>
    </w:lvl>
    <w:lvl w:ilvl="3">
      <w:start w:val="0"/>
      <w:numFmt w:val="bullet"/>
      <w:lvlText w:val="•"/>
      <w:lvlJc w:val="left"/>
      <w:pPr>
        <w:ind w:left="5979" w:hanging="793"/>
      </w:pPr>
      <w:rPr>
        <w:rFonts w:hint="default"/>
      </w:rPr>
    </w:lvl>
    <w:lvl w:ilvl="4">
      <w:start w:val="0"/>
      <w:numFmt w:val="bullet"/>
      <w:lvlText w:val="•"/>
      <w:lvlJc w:val="left"/>
      <w:pPr>
        <w:ind w:left="7279" w:hanging="793"/>
      </w:pPr>
      <w:rPr>
        <w:rFonts w:hint="default"/>
      </w:rPr>
    </w:lvl>
    <w:lvl w:ilvl="5">
      <w:start w:val="0"/>
      <w:numFmt w:val="bullet"/>
      <w:lvlText w:val="•"/>
      <w:lvlJc w:val="left"/>
      <w:pPr>
        <w:ind w:left="8579" w:hanging="793"/>
      </w:pPr>
      <w:rPr>
        <w:rFonts w:hint="default"/>
      </w:rPr>
    </w:lvl>
    <w:lvl w:ilvl="6">
      <w:start w:val="0"/>
      <w:numFmt w:val="bullet"/>
      <w:lvlText w:val="•"/>
      <w:lvlJc w:val="left"/>
      <w:pPr>
        <w:ind w:left="9879" w:hanging="793"/>
      </w:pPr>
      <w:rPr>
        <w:rFonts w:hint="default"/>
      </w:rPr>
    </w:lvl>
    <w:lvl w:ilvl="7">
      <w:start w:val="0"/>
      <w:numFmt w:val="bullet"/>
      <w:lvlText w:val="•"/>
      <w:lvlJc w:val="left"/>
      <w:pPr>
        <w:ind w:left="11179" w:hanging="793"/>
      </w:pPr>
      <w:rPr>
        <w:rFonts w:hint="default"/>
      </w:rPr>
    </w:lvl>
    <w:lvl w:ilvl="8">
      <w:start w:val="0"/>
      <w:numFmt w:val="bullet"/>
      <w:lvlText w:val="•"/>
      <w:lvlJc w:val="left"/>
      <w:pPr>
        <w:ind w:left="12479" w:hanging="793"/>
      </w:pPr>
      <w:rPr>
        <w:rFonts w:hint="default"/>
      </w:rPr>
    </w:lvl>
  </w:abstractNum>
  <w:abstractNum w:abstractNumId="3">
    <w:nsid w:val="3CB56282"/>
    <w:multiLevelType w:val="hybridMultilevel"/>
    <w:tmpl w:val="00000000"/>
    <w:lvl w:ilvl="0">
      <w:start w:val="1"/>
      <w:numFmt w:val="decimal"/>
      <w:lvlText w:val="（%1）"/>
      <w:lvlJc w:val="left"/>
      <w:pPr>
        <w:ind w:left="2073" w:hanging="793"/>
        <w:jc w:val="left"/>
      </w:pPr>
      <w:rPr>
        <w:rFonts w:ascii="黑体" w:eastAsia="黑体" w:hAnsi="黑体" w:cs="黑体" w:hint="default"/>
        <w:spacing w:val="-1"/>
        <w:w w:val="102"/>
        <w:sz w:val="29"/>
        <w:szCs w:val="29"/>
      </w:rPr>
    </w:lvl>
    <w:lvl w:ilvl="1">
      <w:start w:val="0"/>
      <w:numFmt w:val="bullet"/>
      <w:lvlText w:val="•"/>
      <w:lvlJc w:val="left"/>
      <w:pPr>
        <w:ind w:left="3379" w:hanging="793"/>
      </w:pPr>
      <w:rPr>
        <w:rFonts w:hint="default"/>
      </w:rPr>
    </w:lvl>
    <w:lvl w:ilvl="2">
      <w:start w:val="0"/>
      <w:numFmt w:val="bullet"/>
      <w:lvlText w:val="•"/>
      <w:lvlJc w:val="left"/>
      <w:pPr>
        <w:ind w:left="4679" w:hanging="793"/>
      </w:pPr>
      <w:rPr>
        <w:rFonts w:hint="default"/>
      </w:rPr>
    </w:lvl>
    <w:lvl w:ilvl="3">
      <w:start w:val="0"/>
      <w:numFmt w:val="bullet"/>
      <w:lvlText w:val="•"/>
      <w:lvlJc w:val="left"/>
      <w:pPr>
        <w:ind w:left="5979" w:hanging="793"/>
      </w:pPr>
      <w:rPr>
        <w:rFonts w:hint="default"/>
      </w:rPr>
    </w:lvl>
    <w:lvl w:ilvl="4">
      <w:start w:val="0"/>
      <w:numFmt w:val="bullet"/>
      <w:lvlText w:val="•"/>
      <w:lvlJc w:val="left"/>
      <w:pPr>
        <w:ind w:left="7279" w:hanging="793"/>
      </w:pPr>
      <w:rPr>
        <w:rFonts w:hint="default"/>
      </w:rPr>
    </w:lvl>
    <w:lvl w:ilvl="5">
      <w:start w:val="0"/>
      <w:numFmt w:val="bullet"/>
      <w:lvlText w:val="•"/>
      <w:lvlJc w:val="left"/>
      <w:pPr>
        <w:ind w:left="8579" w:hanging="793"/>
      </w:pPr>
      <w:rPr>
        <w:rFonts w:hint="default"/>
      </w:rPr>
    </w:lvl>
    <w:lvl w:ilvl="6">
      <w:start w:val="0"/>
      <w:numFmt w:val="bullet"/>
      <w:lvlText w:val="•"/>
      <w:lvlJc w:val="left"/>
      <w:pPr>
        <w:ind w:left="9879" w:hanging="793"/>
      </w:pPr>
      <w:rPr>
        <w:rFonts w:hint="default"/>
      </w:rPr>
    </w:lvl>
    <w:lvl w:ilvl="7">
      <w:start w:val="0"/>
      <w:numFmt w:val="bullet"/>
      <w:lvlText w:val="•"/>
      <w:lvlJc w:val="left"/>
      <w:pPr>
        <w:ind w:left="11179" w:hanging="793"/>
      </w:pPr>
      <w:rPr>
        <w:rFonts w:hint="default"/>
      </w:rPr>
    </w:lvl>
    <w:lvl w:ilvl="8">
      <w:start w:val="0"/>
      <w:numFmt w:val="bullet"/>
      <w:lvlText w:val="•"/>
      <w:lvlJc w:val="left"/>
      <w:pPr>
        <w:ind w:left="12479" w:hanging="793"/>
      </w:pPr>
      <w:rPr>
        <w:rFonts w:hint="default"/>
      </w:rPr>
    </w:lvl>
  </w:abstractNum>
  <w:abstractNum w:abstractNumId="4">
    <w:nsid w:val="41EC938F"/>
    <w:multiLevelType w:val="hybridMultilevel"/>
    <w:tmpl w:val="00000000"/>
    <w:lvl w:ilvl="0">
      <w:start w:val="1"/>
      <w:numFmt w:val="decimal"/>
      <w:lvlText w:val="（%1）"/>
      <w:lvlJc w:val="left"/>
      <w:pPr>
        <w:ind w:left="2360" w:hanging="1080"/>
        <w:jc w:val="left"/>
      </w:pPr>
      <w:rPr>
        <w:rFonts w:ascii="黑体" w:eastAsia="黑体" w:hAnsi="黑体" w:cs="黑体" w:hint="default"/>
        <w:spacing w:val="-1"/>
        <w:w w:val="102"/>
        <w:sz w:val="31"/>
        <w:szCs w:val="31"/>
      </w:rPr>
    </w:lvl>
    <w:lvl w:ilvl="1">
      <w:start w:val="0"/>
      <w:numFmt w:val="bullet"/>
      <w:lvlText w:val="•"/>
      <w:lvlJc w:val="left"/>
      <w:pPr>
        <w:ind w:left="3631" w:hanging="1080"/>
      </w:pPr>
      <w:rPr>
        <w:rFonts w:hint="default"/>
      </w:rPr>
    </w:lvl>
    <w:lvl w:ilvl="2">
      <w:start w:val="0"/>
      <w:numFmt w:val="bullet"/>
      <w:lvlText w:val="•"/>
      <w:lvlJc w:val="left"/>
      <w:pPr>
        <w:ind w:left="4903" w:hanging="1080"/>
      </w:pPr>
      <w:rPr>
        <w:rFonts w:hint="default"/>
      </w:rPr>
    </w:lvl>
    <w:lvl w:ilvl="3">
      <w:start w:val="0"/>
      <w:numFmt w:val="bullet"/>
      <w:lvlText w:val="•"/>
      <w:lvlJc w:val="left"/>
      <w:pPr>
        <w:ind w:left="6175" w:hanging="1080"/>
      </w:pPr>
      <w:rPr>
        <w:rFonts w:hint="default"/>
      </w:rPr>
    </w:lvl>
    <w:lvl w:ilvl="4">
      <w:start w:val="0"/>
      <w:numFmt w:val="bullet"/>
      <w:lvlText w:val="•"/>
      <w:lvlJc w:val="left"/>
      <w:pPr>
        <w:ind w:left="7447" w:hanging="1080"/>
      </w:pPr>
      <w:rPr>
        <w:rFonts w:hint="default"/>
      </w:rPr>
    </w:lvl>
    <w:lvl w:ilvl="5">
      <w:start w:val="0"/>
      <w:numFmt w:val="bullet"/>
      <w:lvlText w:val="•"/>
      <w:lvlJc w:val="left"/>
      <w:pPr>
        <w:ind w:left="8719" w:hanging="1080"/>
      </w:pPr>
      <w:rPr>
        <w:rFonts w:hint="default"/>
      </w:rPr>
    </w:lvl>
    <w:lvl w:ilvl="6">
      <w:start w:val="0"/>
      <w:numFmt w:val="bullet"/>
      <w:lvlText w:val="•"/>
      <w:lvlJc w:val="left"/>
      <w:pPr>
        <w:ind w:left="9991" w:hanging="1080"/>
      </w:pPr>
      <w:rPr>
        <w:rFonts w:hint="default"/>
      </w:rPr>
    </w:lvl>
    <w:lvl w:ilvl="7">
      <w:start w:val="0"/>
      <w:numFmt w:val="bullet"/>
      <w:lvlText w:val="•"/>
      <w:lvlJc w:val="left"/>
      <w:pPr>
        <w:ind w:left="11263" w:hanging="1080"/>
      </w:pPr>
      <w:rPr>
        <w:rFonts w:hint="default"/>
      </w:rPr>
    </w:lvl>
    <w:lvl w:ilvl="8">
      <w:start w:val="0"/>
      <w:numFmt w:val="bullet"/>
      <w:lvlText w:val="•"/>
      <w:lvlJc w:val="left"/>
      <w:pPr>
        <w:ind w:left="12535" w:hanging="1080"/>
      </w:pPr>
      <w:rPr>
        <w:rFonts w:hint="default"/>
      </w:rPr>
    </w:lvl>
  </w:abstractNum>
  <w:abstractNum w:abstractNumId="5">
    <w:nsid w:val="5EE613E0"/>
    <w:multiLevelType w:val="hybridMultilevel"/>
    <w:tmpl w:val="00000000"/>
    <w:lvl w:ilvl="0">
      <w:start w:val="1"/>
      <w:numFmt w:val="decimal"/>
      <w:lvlText w:val="（%1）"/>
      <w:lvlJc w:val="left"/>
      <w:pPr>
        <w:ind w:left="2073" w:hanging="793"/>
        <w:jc w:val="left"/>
      </w:pPr>
      <w:rPr>
        <w:rFonts w:ascii="黑体" w:eastAsia="黑体" w:hAnsi="黑体" w:cs="黑体" w:hint="default"/>
        <w:spacing w:val="-1"/>
        <w:w w:val="102"/>
        <w:sz w:val="29"/>
        <w:szCs w:val="29"/>
      </w:rPr>
    </w:lvl>
    <w:lvl w:ilvl="1">
      <w:start w:val="0"/>
      <w:numFmt w:val="bullet"/>
      <w:lvlText w:val="•"/>
      <w:lvlJc w:val="left"/>
      <w:pPr>
        <w:ind w:left="3379" w:hanging="793"/>
      </w:pPr>
      <w:rPr>
        <w:rFonts w:hint="default"/>
      </w:rPr>
    </w:lvl>
    <w:lvl w:ilvl="2">
      <w:start w:val="0"/>
      <w:numFmt w:val="bullet"/>
      <w:lvlText w:val="•"/>
      <w:lvlJc w:val="left"/>
      <w:pPr>
        <w:ind w:left="4679" w:hanging="793"/>
      </w:pPr>
      <w:rPr>
        <w:rFonts w:hint="default"/>
      </w:rPr>
    </w:lvl>
    <w:lvl w:ilvl="3">
      <w:start w:val="0"/>
      <w:numFmt w:val="bullet"/>
      <w:lvlText w:val="•"/>
      <w:lvlJc w:val="left"/>
      <w:pPr>
        <w:ind w:left="5979" w:hanging="793"/>
      </w:pPr>
      <w:rPr>
        <w:rFonts w:hint="default"/>
      </w:rPr>
    </w:lvl>
    <w:lvl w:ilvl="4">
      <w:start w:val="0"/>
      <w:numFmt w:val="bullet"/>
      <w:lvlText w:val="•"/>
      <w:lvlJc w:val="left"/>
      <w:pPr>
        <w:ind w:left="7279" w:hanging="793"/>
      </w:pPr>
      <w:rPr>
        <w:rFonts w:hint="default"/>
      </w:rPr>
    </w:lvl>
    <w:lvl w:ilvl="5">
      <w:start w:val="0"/>
      <w:numFmt w:val="bullet"/>
      <w:lvlText w:val="•"/>
      <w:lvlJc w:val="left"/>
      <w:pPr>
        <w:ind w:left="8579" w:hanging="793"/>
      </w:pPr>
      <w:rPr>
        <w:rFonts w:hint="default"/>
      </w:rPr>
    </w:lvl>
    <w:lvl w:ilvl="6">
      <w:start w:val="0"/>
      <w:numFmt w:val="bullet"/>
      <w:lvlText w:val="•"/>
      <w:lvlJc w:val="left"/>
      <w:pPr>
        <w:ind w:left="9879" w:hanging="793"/>
      </w:pPr>
      <w:rPr>
        <w:rFonts w:hint="default"/>
      </w:rPr>
    </w:lvl>
    <w:lvl w:ilvl="7">
      <w:start w:val="0"/>
      <w:numFmt w:val="bullet"/>
      <w:lvlText w:val="•"/>
      <w:lvlJc w:val="left"/>
      <w:pPr>
        <w:ind w:left="11179" w:hanging="793"/>
      </w:pPr>
      <w:rPr>
        <w:rFonts w:hint="default"/>
      </w:rPr>
    </w:lvl>
    <w:lvl w:ilvl="8">
      <w:start w:val="0"/>
      <w:numFmt w:val="bullet"/>
      <w:lvlText w:val="•"/>
      <w:lvlJc w:val="left"/>
      <w:pPr>
        <w:ind w:left="12479" w:hanging="793"/>
      </w:pPr>
      <w:rPr>
        <w:rFonts w:hint="default"/>
      </w:rPr>
    </w:lvl>
  </w:abstractNum>
  <w:abstractNum w:abstractNumId="6">
    <w:nsid w:val="6B8DA9F8"/>
    <w:multiLevelType w:val="hybridMultilevel"/>
    <w:tmpl w:val="00000000"/>
    <w:lvl w:ilvl="0">
      <w:start w:val="1"/>
      <w:numFmt w:val="decimal"/>
      <w:lvlText w:val="（%1）"/>
      <w:lvlJc w:val="left"/>
      <w:pPr>
        <w:ind w:left="2073" w:hanging="793"/>
        <w:jc w:val="left"/>
      </w:pPr>
      <w:rPr>
        <w:rFonts w:ascii="黑体" w:eastAsia="黑体" w:hAnsi="黑体" w:cs="黑体" w:hint="default"/>
        <w:spacing w:val="-1"/>
        <w:w w:val="102"/>
        <w:sz w:val="29"/>
        <w:szCs w:val="29"/>
      </w:rPr>
    </w:lvl>
    <w:lvl w:ilvl="1">
      <w:start w:val="0"/>
      <w:numFmt w:val="bullet"/>
      <w:lvlText w:val="•"/>
      <w:lvlJc w:val="left"/>
      <w:pPr>
        <w:ind w:left="3379" w:hanging="793"/>
      </w:pPr>
      <w:rPr>
        <w:rFonts w:hint="default"/>
      </w:rPr>
    </w:lvl>
    <w:lvl w:ilvl="2">
      <w:start w:val="0"/>
      <w:numFmt w:val="bullet"/>
      <w:lvlText w:val="•"/>
      <w:lvlJc w:val="left"/>
      <w:pPr>
        <w:ind w:left="4679" w:hanging="793"/>
      </w:pPr>
      <w:rPr>
        <w:rFonts w:hint="default"/>
      </w:rPr>
    </w:lvl>
    <w:lvl w:ilvl="3">
      <w:start w:val="0"/>
      <w:numFmt w:val="bullet"/>
      <w:lvlText w:val="•"/>
      <w:lvlJc w:val="left"/>
      <w:pPr>
        <w:ind w:left="5979" w:hanging="793"/>
      </w:pPr>
      <w:rPr>
        <w:rFonts w:hint="default"/>
      </w:rPr>
    </w:lvl>
    <w:lvl w:ilvl="4">
      <w:start w:val="0"/>
      <w:numFmt w:val="bullet"/>
      <w:lvlText w:val="•"/>
      <w:lvlJc w:val="left"/>
      <w:pPr>
        <w:ind w:left="7279" w:hanging="793"/>
      </w:pPr>
      <w:rPr>
        <w:rFonts w:hint="default"/>
      </w:rPr>
    </w:lvl>
    <w:lvl w:ilvl="5">
      <w:start w:val="0"/>
      <w:numFmt w:val="bullet"/>
      <w:lvlText w:val="•"/>
      <w:lvlJc w:val="left"/>
      <w:pPr>
        <w:ind w:left="8579" w:hanging="793"/>
      </w:pPr>
      <w:rPr>
        <w:rFonts w:hint="default"/>
      </w:rPr>
    </w:lvl>
    <w:lvl w:ilvl="6">
      <w:start w:val="0"/>
      <w:numFmt w:val="bullet"/>
      <w:lvlText w:val="•"/>
      <w:lvlJc w:val="left"/>
      <w:pPr>
        <w:ind w:left="9879" w:hanging="793"/>
      </w:pPr>
      <w:rPr>
        <w:rFonts w:hint="default"/>
      </w:rPr>
    </w:lvl>
    <w:lvl w:ilvl="7">
      <w:start w:val="0"/>
      <w:numFmt w:val="bullet"/>
      <w:lvlText w:val="•"/>
      <w:lvlJc w:val="left"/>
      <w:pPr>
        <w:ind w:left="11179" w:hanging="793"/>
      </w:pPr>
      <w:rPr>
        <w:rFonts w:hint="default"/>
      </w:rPr>
    </w:lvl>
    <w:lvl w:ilvl="8">
      <w:start w:val="0"/>
      <w:numFmt w:val="bullet"/>
      <w:lvlText w:val="•"/>
      <w:lvlJc w:val="left"/>
      <w:pPr>
        <w:ind w:left="12479" w:hanging="793"/>
      </w:pPr>
      <w:rPr>
        <w:rFonts w:hint="default"/>
      </w:rPr>
    </w:lvl>
  </w:abstractNum>
  <w:abstractNum w:abstractNumId="7">
    <w:nsid w:val="72CE5EB5"/>
    <w:multiLevelType w:val="hybridMultilevel"/>
    <w:tmpl w:val="00000000"/>
    <w:lvl w:ilvl="0">
      <w:start w:val="1"/>
      <w:numFmt w:val="decimal"/>
      <w:lvlText w:val="（%1）"/>
      <w:lvlJc w:val="left"/>
      <w:pPr>
        <w:ind w:left="2360" w:hanging="1080"/>
        <w:jc w:val="left"/>
      </w:pPr>
      <w:rPr>
        <w:rFonts w:ascii="黑体" w:eastAsia="黑体" w:hAnsi="黑体" w:cs="黑体" w:hint="default"/>
        <w:spacing w:val="-1"/>
        <w:w w:val="102"/>
        <w:sz w:val="31"/>
        <w:szCs w:val="31"/>
      </w:rPr>
    </w:lvl>
    <w:lvl w:ilvl="1">
      <w:start w:val="0"/>
      <w:numFmt w:val="bullet"/>
      <w:lvlText w:val="•"/>
      <w:lvlJc w:val="left"/>
      <w:pPr>
        <w:ind w:left="3631" w:hanging="1080"/>
      </w:pPr>
      <w:rPr>
        <w:rFonts w:hint="default"/>
      </w:rPr>
    </w:lvl>
    <w:lvl w:ilvl="2">
      <w:start w:val="0"/>
      <w:numFmt w:val="bullet"/>
      <w:lvlText w:val="•"/>
      <w:lvlJc w:val="left"/>
      <w:pPr>
        <w:ind w:left="4903" w:hanging="1080"/>
      </w:pPr>
      <w:rPr>
        <w:rFonts w:hint="default"/>
      </w:rPr>
    </w:lvl>
    <w:lvl w:ilvl="3">
      <w:start w:val="0"/>
      <w:numFmt w:val="bullet"/>
      <w:lvlText w:val="•"/>
      <w:lvlJc w:val="left"/>
      <w:pPr>
        <w:ind w:left="6175" w:hanging="1080"/>
      </w:pPr>
      <w:rPr>
        <w:rFonts w:hint="default"/>
      </w:rPr>
    </w:lvl>
    <w:lvl w:ilvl="4">
      <w:start w:val="0"/>
      <w:numFmt w:val="bullet"/>
      <w:lvlText w:val="•"/>
      <w:lvlJc w:val="left"/>
      <w:pPr>
        <w:ind w:left="7447" w:hanging="1080"/>
      </w:pPr>
      <w:rPr>
        <w:rFonts w:hint="default"/>
      </w:rPr>
    </w:lvl>
    <w:lvl w:ilvl="5">
      <w:start w:val="0"/>
      <w:numFmt w:val="bullet"/>
      <w:lvlText w:val="•"/>
      <w:lvlJc w:val="left"/>
      <w:pPr>
        <w:ind w:left="8719" w:hanging="1080"/>
      </w:pPr>
      <w:rPr>
        <w:rFonts w:hint="default"/>
      </w:rPr>
    </w:lvl>
    <w:lvl w:ilvl="6">
      <w:start w:val="0"/>
      <w:numFmt w:val="bullet"/>
      <w:lvlText w:val="•"/>
      <w:lvlJc w:val="left"/>
      <w:pPr>
        <w:ind w:left="9991" w:hanging="1080"/>
      </w:pPr>
      <w:rPr>
        <w:rFonts w:hint="default"/>
      </w:rPr>
    </w:lvl>
    <w:lvl w:ilvl="7">
      <w:start w:val="0"/>
      <w:numFmt w:val="bullet"/>
      <w:lvlText w:val="•"/>
      <w:lvlJc w:val="left"/>
      <w:pPr>
        <w:ind w:left="11263" w:hanging="1080"/>
      </w:pPr>
      <w:rPr>
        <w:rFonts w:hint="default"/>
      </w:rPr>
    </w:lvl>
    <w:lvl w:ilvl="8">
      <w:start w:val="0"/>
      <w:numFmt w:val="bullet"/>
      <w:lvlText w:val="•"/>
      <w:lvlJc w:val="left"/>
      <w:pPr>
        <w:ind w:left="12535" w:hanging="1080"/>
      </w:pPr>
      <w:rPr>
        <w:rFonts w:hint="default"/>
      </w:rPr>
    </w:lvl>
  </w:abstractNum>
  <w:num w:numId="1">
    <w:abstractNumId w:val="6"/>
  </w:num>
  <w:num w:numId="2">
    <w:abstractNumId w:val="2"/>
  </w:num>
  <w:num w:numId="3">
    <w:abstractNumId w:val="3"/>
  </w:num>
  <w:num w:numId="4">
    <w:abstractNumId w:val="5"/>
  </w:num>
  <w:num w:numId="5">
    <w:abstractNumId w:val="7"/>
  </w:num>
  <w:num w:numId="6">
    <w:abstractNumId w:val="4"/>
  </w:num>
  <w:num w:numId="7">
    <w:abstractNumId w:val="1"/>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left="1280"/>
      <w:outlineLvl w:val="0"/>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1"/>
      <w:szCs w:val="31"/>
    </w:rPr>
  </w:style>
  <w:style w:type="paragraph" w:styleId="ListParagraph">
    <w:name w:val="List Paragraph"/>
    <w:basedOn w:val="Normal"/>
    <w:uiPriority w:val="1"/>
    <w:qFormat/>
    <w:pPr>
      <w:ind w:left="2360" w:hanging="794"/>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4.png" /><Relationship Id="rId17" Type="http://schemas.openxmlformats.org/officeDocument/2006/relationships/image" Target="media/image5.png"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image" Target="media/image7.png" /><Relationship Id="rId34" Type="http://schemas.openxmlformats.org/officeDocument/2006/relationships/image" Target="media/image8.png"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image" Target="media/image9.png" /><Relationship Id="rId38" Type="http://schemas.openxmlformats.org/officeDocument/2006/relationships/header" Target="header14.xml" /><Relationship Id="rId39" Type="http://schemas.openxmlformats.org/officeDocument/2006/relationships/footer" Target="footer14.xml" /><Relationship Id="rId4" Type="http://schemas.openxmlformats.org/officeDocument/2006/relationships/header" Target="header1.xml" /><Relationship Id="rId40" Type="http://schemas.openxmlformats.org/officeDocument/2006/relationships/image" Target="media/image10.png"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image" Target="media/image11.png" /><Relationship Id="rId44" Type="http://schemas.openxmlformats.org/officeDocument/2006/relationships/hyperlink" Target="https://d.book118.com/196054004120010053" TargetMode="External" /><Relationship Id="rId45" Type="http://schemas.openxmlformats.org/officeDocument/2006/relationships/header" Target="header16.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2.pn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3.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2024-02-01T17:07:42Z</dcterms:created>
  <dcterms:modified xsi:type="dcterms:W3CDTF">2024-02-01T17:07:42Z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2024-02-01T00:00:00Z</vt:filetime>
  </property>
</Properties>
</file>