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44" w:lineRule="auto"/>
        <w:rPr>
          <w:rFonts w:ascii="Arial"/>
          <w:sz w:val="21"/>
        </w:rPr>
      </w:pPr>
    </w:p>
    <w:p>
      <w:pPr>
        <w:spacing w:line="244" w:lineRule="auto"/>
        <w:rPr>
          <w:rFonts w:ascii="Arial"/>
          <w:sz w:val="21"/>
        </w:rPr>
      </w:pPr>
    </w:p>
    <w:p>
      <w:pPr>
        <w:spacing w:before="101" w:line="233" w:lineRule="auto"/>
        <w:ind w:left="4044" w:right="2662" w:hanging="1433"/>
        <w:outlineLvl w:val="0"/>
        <w:rPr>
          <w:rFonts w:ascii="SimHei" w:eastAsia="SimHei" w:hAnsi="SimHei" w:cs="SimHei"/>
          <w:sz w:val="31"/>
          <w:szCs w:val="31"/>
        </w:rPr>
      </w:pPr>
      <w:r>
        <w:rPr>
          <w:rFonts w:ascii="SimHei" w:eastAsia="SimHei" w:hAnsi="SimHei" w:cs="SimHei"/>
          <w:spacing w:val="8"/>
          <w:sz w:val="31"/>
          <w:szCs w:val="31"/>
        </w:rPr>
        <w:t>市县级国土空间生态修复规划</w:t>
      </w:r>
      <w:r>
        <w:rPr>
          <w:rFonts w:ascii="SimHei" w:eastAsia="SimHei" w:hAnsi="SimHei" w:cs="SimHei"/>
          <w:spacing w:val="7"/>
          <w:sz w:val="31"/>
          <w:szCs w:val="31"/>
        </w:rPr>
        <w:t xml:space="preserve"> </w:t>
      </w:r>
      <w:r>
        <w:rPr>
          <w:rFonts w:ascii="SimHei" w:eastAsia="SimHei" w:hAnsi="SimHei" w:cs="SimHei"/>
          <w:spacing w:val="7"/>
          <w:sz w:val="31"/>
          <w:szCs w:val="31"/>
        </w:rPr>
        <w:t>编制指南</w:t>
      </w:r>
    </w:p>
    <w:p>
      <w:pPr>
        <w:spacing w:line="307" w:lineRule="auto"/>
        <w:rPr>
          <w:rFonts w:ascii="Arial"/>
          <w:sz w:val="21"/>
        </w:rPr>
      </w:pPr>
    </w:p>
    <w:p>
      <w:pPr>
        <w:spacing w:line="308" w:lineRule="auto"/>
        <w:rPr>
          <w:rFonts w:ascii="Arial"/>
          <w:sz w:val="21"/>
        </w:rPr>
      </w:pPr>
    </w:p>
    <w:p>
      <w:pPr>
        <w:spacing w:before="68" w:line="221" w:lineRule="auto"/>
        <w:ind w:left="17"/>
        <w:rPr>
          <w:rFonts w:ascii="SimHei" w:eastAsia="SimHei" w:hAnsi="SimHei" w:cs="SimHei"/>
          <w:sz w:val="21"/>
          <w:szCs w:val="21"/>
        </w:rPr>
      </w:pPr>
      <w:r>
        <w:rPr>
          <w:rFonts w:ascii="SimHei" w:eastAsia="SimHei" w:hAnsi="SimHei" w:cs="SimHei"/>
          <w:spacing w:val="-8"/>
          <w:sz w:val="21"/>
          <w:szCs w:val="21"/>
        </w:rPr>
        <w:t>1</w:t>
      </w:r>
      <w:r>
        <w:rPr>
          <w:rFonts w:ascii="SimHei" w:eastAsia="SimHei" w:hAnsi="SimHei" w:cs="SimHei"/>
          <w:spacing w:val="5"/>
          <w:sz w:val="21"/>
          <w:szCs w:val="21"/>
        </w:rPr>
        <w:t xml:space="preserve">  </w:t>
      </w:r>
      <w:r>
        <w:rPr>
          <w:rFonts w:ascii="SimHei" w:eastAsia="SimHei" w:hAnsi="SimHei" w:cs="SimHei"/>
          <w:spacing w:val="-8"/>
          <w:sz w:val="21"/>
          <w:szCs w:val="21"/>
        </w:rPr>
        <w:t>范围</w:t>
      </w:r>
    </w:p>
    <w:p>
      <w:pPr>
        <w:pStyle w:val="BodyText"/>
        <w:spacing w:before="259" w:line="229" w:lineRule="auto"/>
        <w:ind w:left="427" w:right="1460"/>
      </w:pPr>
      <w:r>
        <w:rPr>
          <w:spacing w:val="-1"/>
        </w:rPr>
        <w:t>本文件提出了市县级国土空间生态修复规划编制任务、程序、内容与成果的建议。</w:t>
      </w:r>
      <w:r>
        <w:rPr>
          <w:spacing w:val="3"/>
        </w:rPr>
        <w:t xml:space="preserve"> </w:t>
      </w:r>
      <w:r>
        <w:t>本文件适用于市级和县级行政区域国土空间生态修复规划编</w:t>
      </w:r>
      <w:r>
        <w:rPr>
          <w:spacing w:val="-1"/>
        </w:rPr>
        <w:t>制工作。</w:t>
      </w:r>
    </w:p>
    <w:p>
      <w:pPr>
        <w:spacing w:before="263" w:line="220" w:lineRule="auto"/>
        <w:ind w:left="4"/>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规范性引用文件</w:t>
      </w:r>
    </w:p>
    <w:p>
      <w:pPr>
        <w:pStyle w:val="BodyText"/>
        <w:spacing w:before="262" w:line="233" w:lineRule="auto"/>
        <w:ind w:left="4" w:firstLine="428"/>
        <w:jc w:val="both"/>
      </w:pPr>
      <w:r>
        <w:rPr>
          <w:spacing w:val="-6"/>
        </w:rPr>
        <w:t>下列文件中的内容通过文中的规范性引用而构成本文件必不可少的条款。其中，注日期的引用文件，</w:t>
      </w:r>
      <w:r>
        <w:rPr>
          <w:spacing w:val="7"/>
        </w:rPr>
        <w:t xml:space="preserve"> </w:t>
      </w:r>
      <w:r>
        <w:rPr>
          <w:spacing w:val="-4"/>
        </w:rPr>
        <w:t>仅该日期对应的版本适用于本文件；</w:t>
      </w:r>
      <w:r>
        <w:rPr>
          <w:spacing w:val="-26"/>
        </w:rPr>
        <w:t xml:space="preserve"> </w:t>
      </w:r>
      <w:r>
        <w:rPr>
          <w:spacing w:val="-4"/>
        </w:rPr>
        <w:t>不注日期的引用文件，其最新版本（包括所有的修改单）适用于本</w:t>
      </w:r>
      <w:r>
        <w:t xml:space="preserve"> </w:t>
      </w:r>
      <w:r>
        <w:rPr>
          <w:spacing w:val="-8"/>
        </w:rPr>
        <w:t>文件。</w:t>
      </w:r>
    </w:p>
    <w:p>
      <w:pPr>
        <w:pStyle w:val="BodyText"/>
        <w:spacing w:before="23" w:line="238" w:lineRule="auto"/>
        <w:ind w:left="425"/>
      </w:pPr>
      <w:r>
        <w:rPr>
          <w:rFonts w:ascii="Times New Roman" w:eastAsia="Times New Roman" w:hAnsi="Times New Roman" w:cs="Times New Roman"/>
          <w:spacing w:val="-3"/>
        </w:rPr>
        <w:t xml:space="preserve">GB/T 41339.1    </w:t>
      </w:r>
      <w:r>
        <w:rPr>
          <w:spacing w:val="-3"/>
        </w:rPr>
        <w:t>海洋生态修复技术指南 第</w:t>
      </w:r>
      <w:r>
        <w:rPr>
          <w:rFonts w:ascii="Times New Roman" w:eastAsia="Times New Roman" w:hAnsi="Times New Roman" w:cs="Times New Roman"/>
          <w:spacing w:val="-3"/>
        </w:rPr>
        <w:t>1</w:t>
      </w:r>
      <w:r>
        <w:rPr>
          <w:spacing w:val="-3"/>
        </w:rPr>
        <w:t>部分：</w:t>
      </w:r>
      <w:r>
        <w:rPr>
          <w:spacing w:val="-4"/>
        </w:rPr>
        <w:t xml:space="preserve"> </w:t>
      </w:r>
      <w:r>
        <w:rPr>
          <w:spacing w:val="-3"/>
        </w:rPr>
        <w:t>总则</w:t>
      </w:r>
    </w:p>
    <w:p>
      <w:pPr>
        <w:pStyle w:val="BodyText"/>
        <w:spacing w:before="1" w:line="220" w:lineRule="auto"/>
        <w:ind w:left="425"/>
      </w:pPr>
      <w:r>
        <w:rPr>
          <w:rFonts w:ascii="Times New Roman" w:eastAsia="Times New Roman" w:hAnsi="Times New Roman" w:cs="Times New Roman"/>
        </w:rPr>
        <w:t xml:space="preserve">GB/T 43214    </w:t>
      </w:r>
      <w:r>
        <w:t>省级国土空间规划编</w:t>
      </w:r>
      <w:r>
        <w:rPr>
          <w:spacing w:val="-1"/>
        </w:rPr>
        <w:t>制技术规程</w:t>
      </w:r>
    </w:p>
    <w:p>
      <w:pPr>
        <w:pStyle w:val="BodyText"/>
        <w:spacing w:before="22" w:line="221" w:lineRule="auto"/>
        <w:ind w:left="424"/>
      </w:pPr>
      <w:r>
        <w:rPr>
          <w:rFonts w:ascii="Times New Roman" w:eastAsia="Times New Roman" w:hAnsi="Times New Roman" w:cs="Times New Roman"/>
          <w:spacing w:val="-1"/>
        </w:rPr>
        <w:t>TD/T</w:t>
      </w:r>
      <w:r>
        <w:rPr>
          <w:rFonts w:ascii="Times New Roman" w:eastAsia="Times New Roman" w:hAnsi="Times New Roman" w:cs="Times New Roman"/>
          <w:spacing w:val="30"/>
          <w:w w:val="101"/>
        </w:rPr>
        <w:t xml:space="preserve"> </w:t>
      </w:r>
      <w:r>
        <w:rPr>
          <w:rFonts w:ascii="Times New Roman" w:eastAsia="Times New Roman" w:hAnsi="Times New Roman" w:cs="Times New Roman"/>
          <w:spacing w:val="-1"/>
        </w:rPr>
        <w:t xml:space="preserve">1068    </w:t>
      </w:r>
      <w:r>
        <w:rPr>
          <w:spacing w:val="-1"/>
        </w:rPr>
        <w:t>国土空间生态保护修复工程实施方案编制规程</w:t>
      </w:r>
    </w:p>
    <w:p>
      <w:pPr>
        <w:pStyle w:val="BodyText"/>
        <w:spacing w:before="20" w:line="514" w:lineRule="exact"/>
        <w:ind w:left="424"/>
      </w:pPr>
      <w:r>
        <w:rPr>
          <w:rFonts w:ascii="Times New Roman" w:eastAsia="Times New Roman" w:hAnsi="Times New Roman" w:cs="Times New Roman"/>
          <w:spacing w:val="-1"/>
          <w:position w:val="23"/>
        </w:rPr>
        <w:t>TD/T</w:t>
      </w:r>
      <w:r>
        <w:rPr>
          <w:rFonts w:ascii="Times New Roman" w:eastAsia="Times New Roman" w:hAnsi="Times New Roman" w:cs="Times New Roman"/>
          <w:spacing w:val="27"/>
          <w:w w:val="101"/>
          <w:position w:val="23"/>
        </w:rPr>
        <w:t xml:space="preserve"> </w:t>
      </w:r>
      <w:r>
        <w:rPr>
          <w:rFonts w:ascii="Times New Roman" w:eastAsia="Times New Roman" w:hAnsi="Times New Roman" w:cs="Times New Roman"/>
          <w:spacing w:val="-1"/>
          <w:position w:val="23"/>
        </w:rPr>
        <w:t xml:space="preserve">1070.1    </w:t>
      </w:r>
      <w:r>
        <w:rPr>
          <w:spacing w:val="-1"/>
          <w:position w:val="23"/>
        </w:rPr>
        <w:t>矿山生态修复技术规范 第</w:t>
      </w:r>
      <w:r>
        <w:rPr>
          <w:rFonts w:ascii="Times New Roman" w:eastAsia="Times New Roman" w:hAnsi="Times New Roman" w:cs="Times New Roman"/>
          <w:spacing w:val="-1"/>
          <w:position w:val="23"/>
        </w:rPr>
        <w:t>1</w:t>
      </w:r>
      <w:r>
        <w:rPr>
          <w:spacing w:val="-1"/>
          <w:position w:val="23"/>
        </w:rPr>
        <w:t>部分：通则</w:t>
      </w:r>
    </w:p>
    <w:p>
      <w:pPr>
        <w:spacing w:before="1" w:line="220" w:lineRule="auto"/>
        <w:ind w:left="6"/>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术语和定义</w:t>
      </w:r>
    </w:p>
    <w:p>
      <w:pPr>
        <w:pStyle w:val="BodyText"/>
        <w:spacing w:before="260" w:line="220" w:lineRule="auto"/>
        <w:ind w:left="432"/>
      </w:pPr>
      <w:r>
        <w:rPr>
          <w:spacing w:val="-3"/>
        </w:rPr>
        <w:t>下列术语和定义适用于本文件。</w:t>
      </w:r>
    </w:p>
    <w:p>
      <w:pPr>
        <w:spacing w:line="403" w:lineRule="auto"/>
        <w:rPr>
          <w:rFonts w:ascii="Arial"/>
          <w:sz w:val="21"/>
        </w:rPr>
      </w:pPr>
    </w:p>
    <w:p>
      <w:pPr>
        <w:spacing w:line="156" w:lineRule="exact"/>
      </w:pPr>
      <w:r>
        <w:rPr>
          <w:position w:val="-3"/>
        </w:rPr>
        <w:drawing>
          <wp:inline distT="0" distB="0" distL="0" distR="0">
            <wp:extent cx="176783" cy="9905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76783" cy="99059"/>
                    </a:xfrm>
                    <a:prstGeom prst="rect">
                      <a:avLst/>
                    </a:prstGeom>
                  </pic:spPr>
                </pic:pic>
              </a:graphicData>
            </a:graphic>
          </wp:inline>
        </w:drawing>
      </w:r>
    </w:p>
    <w:p>
      <w:pPr>
        <w:spacing w:before="7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生态系统服务</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ecosystem service</w:t>
      </w:r>
    </w:p>
    <w:p>
      <w:pPr>
        <w:pStyle w:val="BodyText"/>
        <w:spacing w:before="152" w:line="229" w:lineRule="auto"/>
        <w:ind w:left="5" w:right="59" w:firstLine="422"/>
      </w:pPr>
      <w:r>
        <w:rPr>
          <w:spacing w:val="-2"/>
        </w:rPr>
        <w:t>生态系统给人类提供的惠益，即生态系统与生态过程所形成及</w:t>
      </w:r>
      <w:r>
        <w:rPr>
          <w:spacing w:val="-3"/>
        </w:rPr>
        <w:t>所维持的人类赖以生存的自然环境条</w:t>
      </w:r>
      <w:r>
        <w:t xml:space="preserve"> </w:t>
      </w:r>
      <w:r>
        <w:t>件和效用，包括供给服务、调节服务、文化服务以及支持服</w:t>
      </w:r>
      <w:r>
        <w:rPr>
          <w:spacing w:val="-1"/>
        </w:rPr>
        <w:t>务。</w:t>
      </w:r>
    </w:p>
    <w:p>
      <w:pPr>
        <w:spacing w:before="165" w:line="156" w:lineRule="exact"/>
      </w:pPr>
      <w:r>
        <w:rPr>
          <w:position w:val="-3"/>
        </w:rPr>
        <w:drawing>
          <wp:inline distT="0" distB="0" distL="0" distR="0">
            <wp:extent cx="195072" cy="9905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95072" cy="99059"/>
                    </a:xfrm>
                    <a:prstGeom prst="rect">
                      <a:avLst/>
                    </a:prstGeom>
                  </pic:spPr>
                </pic:pic>
              </a:graphicData>
            </a:graphic>
          </wp:inline>
        </w:drawing>
      </w:r>
    </w:p>
    <w:p>
      <w:pPr>
        <w:spacing w:before="7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生态系统恢复力</w:t>
      </w:r>
      <w:r>
        <w:rPr>
          <w:rFonts w:ascii="SimHei" w:eastAsia="SimHei" w:hAnsi="SimHei" w:cs="SimHei"/>
          <w:spacing w:val="-35"/>
          <w:sz w:val="21"/>
          <w:szCs w:val="21"/>
        </w:rPr>
        <w:t xml:space="preserve"> </w:t>
      </w:r>
      <w:r>
        <w:rPr>
          <w:rFonts w:ascii="Times New Roman" w:eastAsia="Times New Roman" w:hAnsi="Times New Roman" w:cs="Times New Roman"/>
          <w:spacing w:val="-1"/>
          <w:sz w:val="21"/>
          <w:szCs w:val="21"/>
        </w:rPr>
        <w:t>ecosystem resilience</w:t>
      </w:r>
    </w:p>
    <w:p>
      <w:pPr>
        <w:pStyle w:val="BodyText"/>
        <w:spacing w:before="149" w:line="220" w:lineRule="auto"/>
        <w:ind w:left="428"/>
      </w:pPr>
      <w:r>
        <w:t>又称弹性、韧性，生态系统维持结构与格局的能力</w:t>
      </w:r>
      <w:r>
        <w:rPr>
          <w:spacing w:val="-1"/>
        </w:rPr>
        <w:t>，即系统受干扰后恢复原来功能的能力。</w:t>
      </w:r>
    </w:p>
    <w:p>
      <w:pPr>
        <w:spacing w:before="165" w:line="156" w:lineRule="exact"/>
      </w:pPr>
      <w:r>
        <w:rPr>
          <w:position w:val="-3"/>
        </w:rPr>
        <w:drawing>
          <wp:inline distT="0" distB="0" distL="0" distR="0">
            <wp:extent cx="195072" cy="99059"/>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95072" cy="99059"/>
                    </a:xfrm>
                    <a:prstGeom prst="rect">
                      <a:avLst/>
                    </a:prstGeom>
                  </pic:spPr>
                </pic:pic>
              </a:graphicData>
            </a:graphic>
          </wp:inline>
        </w:drawing>
      </w:r>
    </w:p>
    <w:p>
      <w:pPr>
        <w:spacing w:before="79"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生态胁迫</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ecological stress</w:t>
      </w:r>
    </w:p>
    <w:p>
      <w:pPr>
        <w:pStyle w:val="BodyText"/>
        <w:spacing w:before="152" w:line="229" w:lineRule="auto"/>
        <w:ind w:left="12" w:firstLine="415"/>
      </w:pPr>
      <w:r>
        <w:rPr>
          <w:spacing w:val="-1"/>
        </w:rPr>
        <w:t>来自人类或自然的对生态系统正常结构和功能性干扰，这些干扰往往超出生态系统承受能力范围，</w:t>
      </w:r>
      <w:r>
        <w:rPr>
          <w:spacing w:val="1"/>
        </w:rPr>
        <w:t xml:space="preserve"> </w:t>
      </w:r>
      <w:r>
        <w:rPr>
          <w:spacing w:val="-1"/>
        </w:rPr>
        <w:t>导致生态系统发生不可逆的变化，甚至退化或崩溃。</w:t>
      </w:r>
    </w:p>
    <w:p>
      <w:pPr>
        <w:pStyle w:val="BodyText"/>
        <w:spacing w:before="20" w:line="217" w:lineRule="auto"/>
        <w:ind w:left="435"/>
        <w:rPr>
          <w:rFonts w:ascii="Times New Roman" w:eastAsia="Times New Roman" w:hAnsi="Times New Roman" w:cs="Times New Roman"/>
        </w:rPr>
      </w:pPr>
      <w:r>
        <w:rPr>
          <w:rFonts w:ascii="Times New Roman" w:eastAsia="Times New Roman" w:hAnsi="Times New Roman" w:cs="Times New Roman"/>
          <w:spacing w:val="-6"/>
        </w:rPr>
        <w:t>[</w:t>
      </w:r>
      <w:r>
        <w:rPr>
          <w:spacing w:val="-6"/>
        </w:rPr>
        <w:t xml:space="preserve">来源： </w:t>
      </w:r>
      <w:r>
        <w:rPr>
          <w:rFonts w:ascii="Times New Roman" w:eastAsia="Times New Roman" w:hAnsi="Times New Roman" w:cs="Times New Roman"/>
          <w:spacing w:val="-6"/>
        </w:rPr>
        <w:t>TD/T</w:t>
      </w:r>
      <w:r>
        <w:rPr>
          <w:rFonts w:ascii="Times New Roman" w:eastAsia="Times New Roman" w:hAnsi="Times New Roman" w:cs="Times New Roman"/>
          <w:spacing w:val="25"/>
          <w:w w:val="101"/>
        </w:rPr>
        <w:t xml:space="preserve"> </w:t>
      </w:r>
      <w:r>
        <w:rPr>
          <w:rFonts w:ascii="Times New Roman" w:eastAsia="Times New Roman" w:hAnsi="Times New Roman" w:cs="Times New Roman"/>
          <w:spacing w:val="-6"/>
        </w:rPr>
        <w:t>1068-2022,3</w:t>
      </w:r>
      <w:r>
        <w:rPr>
          <w:rFonts w:ascii="Times New Roman" w:eastAsia="Times New Roman" w:hAnsi="Times New Roman" w:cs="Times New Roman"/>
          <w:spacing w:val="-7"/>
        </w:rPr>
        <w:t>.10]</w:t>
      </w:r>
    </w:p>
    <w:p>
      <w:pPr>
        <w:spacing w:before="169" w:line="156" w:lineRule="exact"/>
        <w:sectPr>
          <w:headerReference w:type="default" r:id="rId7"/>
          <w:footerReference w:type="default" r:id="rId8"/>
          <w:pgSz w:w="11907" w:h="16839"/>
          <w:pgMar w:top="1659" w:right="1068" w:bottom="1311" w:left="1420" w:header="1448" w:footer="1133" w:gutter="0"/>
          <w:cols w:space="708"/>
        </w:sectPr>
      </w:pPr>
      <w:r>
        <w:rPr>
          <w:position w:val="-3"/>
        </w:rPr>
        <w:drawing>
          <wp:inline distT="0" distB="0" distL="0" distR="0">
            <wp:extent cx="201168" cy="9906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9"/>
                    <a:stretch>
                      <a:fillRect/>
                    </a:stretch>
                  </pic:blipFill>
                  <pic:spPr>
                    <a:xfrm>
                      <a:off x="0" y="0"/>
                      <a:ext cx="201168" cy="99060"/>
                    </a:xfrm>
                    <a:prstGeom prst="rect">
                      <a:avLst/>
                    </a:prstGeom>
                  </pic:spPr>
                </pic:pic>
              </a:graphicData>
            </a:graphic>
          </wp:inline>
        </w:drawing>
      </w:r>
    </w:p>
    <w:p>
      <w:pPr>
        <w:spacing w:before="80" w:line="213" w:lineRule="auto"/>
        <w:ind w:left="427"/>
        <w:rPr>
          <w:rFonts w:ascii="Times New Roman" w:eastAsia="Times New Roman" w:hAnsi="Times New Roman" w:cs="Times New Roman"/>
          <w:sz w:val="21"/>
          <w:szCs w:val="21"/>
        </w:rPr>
      </w:pPr>
      <w:r>
        <w:rPr>
          <w:rFonts w:ascii="SimHei" w:eastAsia="SimHei" w:hAnsi="SimHei" w:cs="SimHei"/>
          <w:sz w:val="21"/>
          <w:szCs w:val="21"/>
        </w:rPr>
        <w:t>生态安全格局</w:t>
      </w:r>
      <w:r>
        <w:rPr>
          <w:rFonts w:ascii="SimHei" w:eastAsia="SimHei" w:hAnsi="SimHei" w:cs="SimHei"/>
          <w:sz w:val="21"/>
          <w:szCs w:val="21"/>
        </w:rPr>
        <w:t xml:space="preserve"> </w:t>
      </w:r>
      <w:r>
        <w:rPr>
          <w:rFonts w:ascii="Times New Roman" w:eastAsia="Times New Roman" w:hAnsi="Times New Roman" w:cs="Times New Roman"/>
          <w:sz w:val="21"/>
          <w:szCs w:val="21"/>
        </w:rPr>
        <w:t>regional pattern for ecological</w:t>
      </w:r>
      <w:r>
        <w:rPr>
          <w:rFonts w:ascii="Times New Roman" w:eastAsia="Times New Roman" w:hAnsi="Times New Roman" w:cs="Times New Roman"/>
          <w:spacing w:val="-1"/>
          <w:sz w:val="21"/>
          <w:szCs w:val="21"/>
        </w:rPr>
        <w:t xml:space="preserve"> security</w:t>
      </w:r>
    </w:p>
    <w:p>
      <w:pPr>
        <w:pStyle w:val="BodyText"/>
        <w:spacing w:before="152" w:line="229" w:lineRule="auto"/>
        <w:ind w:left="12" w:right="59" w:firstLine="413"/>
      </w:pPr>
      <w:r>
        <w:rPr>
          <w:spacing w:val="-2"/>
        </w:rPr>
        <w:t>在国土空间总体规划中，针对区域生态环境问题，为维持生态系统</w:t>
      </w:r>
      <w:r>
        <w:rPr>
          <w:spacing w:val="-3"/>
        </w:rPr>
        <w:t>结构和过程的完整性，保护和恢</w:t>
      </w:r>
      <w:r>
        <w:t xml:space="preserve"> </w:t>
      </w:r>
      <w:r>
        <w:rPr>
          <w:spacing w:val="-3"/>
        </w:rPr>
        <w:t>复生物多样性，</w:t>
      </w:r>
      <w:r>
        <w:rPr>
          <w:spacing w:val="-6"/>
        </w:rPr>
        <w:t xml:space="preserve"> </w:t>
      </w:r>
      <w:r>
        <w:rPr>
          <w:spacing w:val="-3"/>
        </w:rPr>
        <w:t>构建对区域生态环境问题有效控制和持续改善的区域性空间格局。</w:t>
      </w:r>
    </w:p>
    <w:p>
      <w:pPr>
        <w:spacing w:before="162" w:line="158" w:lineRule="exact"/>
      </w:pPr>
      <w:r>
        <w:rPr>
          <w:position w:val="-3"/>
        </w:rPr>
        <w:drawing>
          <wp:inline distT="0" distB="0" distL="0" distR="0">
            <wp:extent cx="196596" cy="10058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0"/>
                    <a:stretch>
                      <a:fillRect/>
                    </a:stretch>
                  </pic:blipFill>
                  <pic:spPr>
                    <a:xfrm>
                      <a:off x="0" y="0"/>
                      <a:ext cx="196596" cy="100583"/>
                    </a:xfrm>
                    <a:prstGeom prst="rect">
                      <a:avLst/>
                    </a:prstGeom>
                  </pic:spPr>
                </pic:pic>
              </a:graphicData>
            </a:graphic>
          </wp:inline>
        </w:drawing>
      </w:r>
    </w:p>
    <w:p>
      <w:pPr>
        <w:spacing w:before="80" w:line="213" w:lineRule="auto"/>
        <w:ind w:left="427"/>
        <w:rPr>
          <w:rFonts w:ascii="Times New Roman" w:eastAsia="Times New Roman" w:hAnsi="Times New Roman" w:cs="Times New Roman"/>
          <w:sz w:val="21"/>
          <w:szCs w:val="21"/>
        </w:rPr>
      </w:pPr>
      <w:r>
        <w:rPr>
          <w:rFonts w:ascii="SimHei" w:eastAsia="SimHei" w:hAnsi="SimHei" w:cs="SimHei"/>
          <w:spacing w:val="-1"/>
          <w:sz w:val="21"/>
          <w:szCs w:val="21"/>
        </w:rPr>
        <w:t>生态源地</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ecological sources</w:t>
      </w:r>
    </w:p>
    <w:p>
      <w:pPr>
        <w:pStyle w:val="BodyText"/>
        <w:spacing w:before="148" w:line="221" w:lineRule="auto"/>
        <w:ind w:left="425"/>
      </w:pPr>
      <w:r>
        <w:rPr>
          <w:spacing w:val="-1"/>
        </w:rPr>
        <w:t>对生态安全具有重要意义或者担负重要辐射功能的生境斑块。</w:t>
      </w:r>
    </w:p>
    <w:p>
      <w:pPr>
        <w:spacing w:line="221" w:lineRule="auto"/>
        <w:sectPr>
          <w:headerReference w:type="default" r:id="rId11"/>
          <w:footerReference w:type="default" r:id="rId12"/>
          <w:type w:val="nextPage"/>
          <w:pgSz w:w="11907" w:h="16839"/>
          <w:pgMar w:top="1659" w:right="1068" w:bottom="1311" w:left="1420" w:header="1448" w:footer="1133" w:gutter="0"/>
          <w:pgNumType w:start="2"/>
          <w:cols w:space="708"/>
          <w:titlePg w:val="0"/>
        </w:sect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40" w:line="188" w:lineRule="auto"/>
        <w:ind w:right="10"/>
        <w:jc w:val="right"/>
        <w:rPr>
          <w:rFonts w:ascii="Times New Roman" w:eastAsia="Times New Roman" w:hAnsi="Times New Roman" w:cs="Times New Roman"/>
          <w:sz w:val="14"/>
          <w:szCs w:val="14"/>
        </w:rPr>
      </w:pPr>
      <w:r>
        <w:rPr>
          <w:rFonts w:ascii="Times New Roman" w:eastAsia="Times New Roman" w:hAnsi="Times New Roman" w:cs="Times New Roman"/>
          <w:b/>
          <w:bCs/>
          <w:sz w:val="14"/>
          <w:szCs w:val="14"/>
        </w:rPr>
        <w:t>XX/T        XXXXX—XXXX</w:t>
      </w:r>
    </w:p>
    <w:p>
      <w:pPr>
        <w:spacing w:line="272" w:lineRule="auto"/>
        <w:rPr>
          <w:rFonts w:ascii="Arial"/>
          <w:sz w:val="21"/>
        </w:rPr>
      </w:pPr>
    </w:p>
    <w:p>
      <w:pPr>
        <w:pStyle w:val="BodyText"/>
        <w:spacing w:before="68" w:line="183" w:lineRule="auto"/>
        <w:ind w:left="3"/>
      </w:pPr>
      <w:r>
        <w:rPr>
          <w:b/>
          <w:bCs/>
          <w:spacing w:val="-5"/>
        </w:rPr>
        <w:t>3.6</w:t>
      </w:r>
    </w:p>
    <w:p>
      <w:pPr>
        <w:spacing w:before="15" w:line="212" w:lineRule="auto"/>
        <w:ind w:left="432"/>
        <w:rPr>
          <w:rFonts w:ascii="Times New Roman" w:eastAsia="Times New Roman" w:hAnsi="Times New Roman" w:cs="Times New Roman"/>
          <w:sz w:val="21"/>
          <w:szCs w:val="21"/>
        </w:rPr>
      </w:pPr>
      <w:r>
        <w:rPr>
          <w:rFonts w:ascii="SimHei" w:eastAsia="SimHei" w:hAnsi="SimHei" w:cs="SimHei"/>
          <w:b/>
          <w:bCs/>
          <w:spacing w:val="-3"/>
          <w:sz w:val="21"/>
          <w:szCs w:val="21"/>
        </w:rPr>
        <w:t>生态廊道</w:t>
      </w:r>
      <w:r>
        <w:rPr>
          <w:rFonts w:ascii="SimHei" w:eastAsia="SimHei" w:hAnsi="SimHei" w:cs="SimHei"/>
          <w:spacing w:val="-3"/>
          <w:sz w:val="21"/>
          <w:szCs w:val="21"/>
        </w:rPr>
        <w:t xml:space="preserve"> </w:t>
      </w:r>
      <w:r>
        <w:rPr>
          <w:rFonts w:ascii="Times New Roman" w:eastAsia="Times New Roman" w:hAnsi="Times New Roman" w:cs="Times New Roman"/>
          <w:spacing w:val="-3"/>
          <w:sz w:val="21"/>
          <w:szCs w:val="21"/>
        </w:rPr>
        <w:t>ecological corridor</w:t>
      </w:r>
    </w:p>
    <w:p>
      <w:pPr>
        <w:pStyle w:val="BodyText"/>
        <w:spacing w:before="142" w:line="297" w:lineRule="exact"/>
        <w:ind w:left="429"/>
      </w:pPr>
      <w:r>
        <w:rPr>
          <w:spacing w:val="-1"/>
          <w:position w:val="6"/>
        </w:rPr>
        <w:t>为保持或恢复有效的生态连通性，长期治理和管理、明确</w:t>
      </w:r>
      <w:r>
        <w:rPr>
          <w:spacing w:val="-2"/>
          <w:position w:val="6"/>
        </w:rPr>
        <w:t>界定的地理空间。</w:t>
      </w:r>
    </w:p>
    <w:p>
      <w:pPr>
        <w:pStyle w:val="BodyText"/>
        <w:spacing w:before="1" w:line="216" w:lineRule="auto"/>
        <w:ind w:left="429"/>
      </w:pPr>
      <w:r>
        <w:rPr>
          <w:spacing w:val="-13"/>
        </w:rPr>
        <w:t>[来源：</w:t>
      </w:r>
      <w:r>
        <w:rPr>
          <w:spacing w:val="-40"/>
        </w:rPr>
        <w:t xml:space="preserve"> </w:t>
      </w:r>
      <w:r>
        <w:rPr>
          <w:spacing w:val="-13"/>
        </w:rPr>
        <w:t>TD/T</w:t>
      </w:r>
      <w:r>
        <w:rPr>
          <w:spacing w:val="15"/>
        </w:rPr>
        <w:t xml:space="preserve"> </w:t>
      </w:r>
      <w:r>
        <w:rPr>
          <w:spacing w:val="-13"/>
        </w:rPr>
        <w:t>1068-2022,3.8]</w:t>
      </w:r>
    </w:p>
    <w:p>
      <w:pPr>
        <w:pStyle w:val="BodyText"/>
        <w:spacing w:before="179" w:line="179" w:lineRule="auto"/>
        <w:ind w:left="3"/>
      </w:pPr>
      <w:r>
        <w:rPr>
          <w:b/>
          <w:bCs/>
          <w:spacing w:val="-5"/>
        </w:rPr>
        <w:t>3.7</w:t>
      </w:r>
    </w:p>
    <w:p>
      <w:pPr>
        <w:spacing w:line="212" w:lineRule="auto"/>
        <w:ind w:left="432"/>
        <w:rPr>
          <w:rFonts w:ascii="Times New Roman" w:eastAsia="Times New Roman" w:hAnsi="Times New Roman" w:cs="Times New Roman"/>
          <w:sz w:val="21"/>
          <w:szCs w:val="21"/>
        </w:rPr>
      </w:pPr>
      <w:r>
        <w:rPr>
          <w:rFonts w:ascii="SimHei" w:eastAsia="SimHei" w:hAnsi="SimHei" w:cs="SimHei"/>
          <w:b/>
          <w:bCs/>
          <w:spacing w:val="-1"/>
          <w:sz w:val="21"/>
          <w:szCs w:val="21"/>
        </w:rPr>
        <w:t>生态产品</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ecological product</w:t>
      </w:r>
    </w:p>
    <w:p>
      <w:pPr>
        <w:pStyle w:val="BodyText"/>
        <w:spacing w:before="162" w:line="233" w:lineRule="auto"/>
        <w:ind w:right="23" w:firstLine="429"/>
      </w:pPr>
      <w:r>
        <w:rPr>
          <w:spacing w:val="-3"/>
        </w:rPr>
        <w:t>维系生态安全、保障生态调节功能、提供良好人居环境的自然要素，包括清新的空气、清洁的水源</w:t>
      </w:r>
      <w:r>
        <w:rPr>
          <w:spacing w:val="16"/>
        </w:rPr>
        <w:t xml:space="preserve"> </w:t>
      </w:r>
      <w:r>
        <w:rPr>
          <w:spacing w:val="5"/>
        </w:rPr>
        <w:t>和宜人的气候等</w:t>
      </w:r>
    </w:p>
    <w:p>
      <w:pPr>
        <w:pStyle w:val="BodyText"/>
        <w:spacing w:before="173" w:line="183" w:lineRule="auto"/>
        <w:ind w:left="3"/>
      </w:pPr>
      <w:r>
        <w:rPr>
          <w:b/>
          <w:bCs/>
          <w:spacing w:val="-5"/>
        </w:rPr>
        <w:t>3.8</w:t>
      </w:r>
    </w:p>
    <w:p>
      <w:pPr>
        <w:spacing w:before="16" w:line="212" w:lineRule="auto"/>
        <w:ind w:left="432"/>
        <w:rPr>
          <w:rFonts w:ascii="Times New Roman" w:eastAsia="Times New Roman" w:hAnsi="Times New Roman" w:cs="Times New Roman"/>
          <w:sz w:val="21"/>
          <w:szCs w:val="21"/>
        </w:rPr>
      </w:pPr>
      <w:r>
        <w:rPr>
          <w:rFonts w:ascii="SimHei" w:eastAsia="SimHei" w:hAnsi="SimHei" w:cs="SimHei"/>
          <w:b/>
          <w:bCs/>
          <w:spacing w:val="-6"/>
          <w:sz w:val="21"/>
          <w:szCs w:val="21"/>
        </w:rPr>
        <w:t>参照生态系统</w:t>
      </w:r>
      <w:r>
        <w:rPr>
          <w:rFonts w:ascii="SimHei" w:eastAsia="SimHei" w:hAnsi="SimHei" w:cs="SimHei"/>
          <w:spacing w:val="-34"/>
          <w:sz w:val="21"/>
          <w:szCs w:val="21"/>
        </w:rPr>
        <w:t xml:space="preserve"> </w:t>
      </w:r>
      <w:r>
        <w:rPr>
          <w:rFonts w:ascii="Times New Roman" w:eastAsia="Times New Roman" w:hAnsi="Times New Roman" w:cs="Times New Roman"/>
          <w:b/>
          <w:bCs/>
          <w:spacing w:val="-6"/>
          <w:sz w:val="21"/>
          <w:szCs w:val="21"/>
        </w:rPr>
        <w:t>reference ecosystem</w:t>
      </w:r>
    </w:p>
    <w:p>
      <w:pPr>
        <w:pStyle w:val="BodyText"/>
        <w:spacing w:before="133" w:line="232" w:lineRule="auto"/>
        <w:ind w:right="23" w:firstLine="570"/>
      </w:pPr>
      <w:r>
        <w:rPr>
          <w:spacing w:val="-6"/>
        </w:rPr>
        <w:t>一个能够作为生态恢复目标或基准的生态系统。通常包括破坏前的生态系统、未因人类活动而退化</w:t>
      </w:r>
      <w:r>
        <w:rPr>
          <w:spacing w:val="5"/>
        </w:rPr>
        <w:t xml:space="preserve"> </w:t>
      </w:r>
      <w:r>
        <w:rPr>
          <w:spacing w:val="-1"/>
        </w:rPr>
        <w:t>的本地生态系统，以及能够适应正在发生的或可预测的环境变化的生态系统。</w:t>
      </w:r>
    </w:p>
    <w:p>
      <w:pPr>
        <w:pStyle w:val="BodyText"/>
        <w:spacing w:before="39" w:line="216" w:lineRule="auto"/>
        <w:ind w:left="429"/>
      </w:pPr>
      <w:r>
        <w:rPr>
          <w:spacing w:val="-13"/>
        </w:rPr>
        <w:t>[来源：</w:t>
      </w:r>
      <w:r>
        <w:rPr>
          <w:spacing w:val="-40"/>
        </w:rPr>
        <w:t xml:space="preserve"> </w:t>
      </w:r>
      <w:r>
        <w:rPr>
          <w:spacing w:val="-13"/>
        </w:rPr>
        <w:t>TD/T</w:t>
      </w:r>
      <w:r>
        <w:rPr>
          <w:spacing w:val="15"/>
        </w:rPr>
        <w:t xml:space="preserve"> </w:t>
      </w:r>
      <w:r>
        <w:rPr>
          <w:spacing w:val="-13"/>
        </w:rPr>
        <w:t>1068-2022,3.7]</w:t>
      </w:r>
    </w:p>
    <w:p>
      <w:pPr>
        <w:pStyle w:val="BodyText"/>
        <w:spacing w:before="179" w:line="183" w:lineRule="auto"/>
        <w:ind w:left="3"/>
      </w:pPr>
      <w:r>
        <w:rPr>
          <w:b/>
          <w:bCs/>
          <w:spacing w:val="-5"/>
        </w:rPr>
        <w:t>3.9</w:t>
      </w:r>
    </w:p>
    <w:p>
      <w:pPr>
        <w:pStyle w:val="BodyText"/>
        <w:spacing w:before="23" w:line="217" w:lineRule="auto"/>
        <w:ind w:left="432"/>
      </w:pPr>
      <w:r>
        <w:rPr>
          <w:rFonts w:ascii="SimHei" w:eastAsia="SimHei" w:hAnsi="SimHei" w:cs="SimHei"/>
          <w:b/>
          <w:bCs/>
          <w:spacing w:val="-20"/>
        </w:rPr>
        <w:t>农业空间生态修复</w:t>
      </w:r>
      <w:r>
        <w:rPr>
          <w:rFonts w:ascii="SimHei" w:eastAsia="SimHei" w:hAnsi="SimHei" w:cs="SimHei"/>
          <w:spacing w:val="20"/>
        </w:rPr>
        <w:t xml:space="preserve"> </w:t>
      </w:r>
      <w:r>
        <w:rPr>
          <w:spacing w:val="-20"/>
        </w:rPr>
        <w:t>agricultural space ecological restorat</w:t>
      </w:r>
      <w:r>
        <w:rPr>
          <w:spacing w:val="-21"/>
        </w:rPr>
        <w:t>ion</w:t>
      </w:r>
    </w:p>
    <w:p>
      <w:pPr>
        <w:pStyle w:val="BodyText"/>
        <w:spacing w:before="108" w:line="233" w:lineRule="auto"/>
        <w:ind w:firstLine="429"/>
        <w:jc w:val="both"/>
      </w:pPr>
      <w:r>
        <w:rPr>
          <w:spacing w:val="-2"/>
        </w:rPr>
        <w:t>采用自然恢复、适度人为引导与修复等方式，保护修复以农业生产、农村生活、乡村产业为</w:t>
      </w:r>
      <w:r>
        <w:rPr>
          <w:spacing w:val="-3"/>
        </w:rPr>
        <w:t>主的农</w:t>
      </w:r>
      <w:r>
        <w:t xml:space="preserve"> </w:t>
      </w:r>
      <w:r>
        <w:t>业空间各类生态系统，降低和防治农业生产对农业生态环境影响，修复退化农用地</w:t>
      </w:r>
      <w:r>
        <w:rPr>
          <w:spacing w:val="-1"/>
        </w:rPr>
        <w:t>及乡村自然/半自然</w:t>
      </w:r>
      <w:r>
        <w:t xml:space="preserve"> </w:t>
      </w:r>
      <w:r>
        <w:rPr>
          <w:spacing w:val="-3"/>
        </w:rPr>
        <w:t>景观特征和乡村文化景观，恢复和提升农业景观生态系统服务，保障和提升粮食生产能力，促进生态系</w:t>
      </w:r>
      <w:r>
        <w:rPr>
          <w:spacing w:val="13"/>
        </w:rPr>
        <w:t xml:space="preserve"> </w:t>
      </w:r>
      <w:r>
        <w:rPr>
          <w:spacing w:val="-3"/>
        </w:rPr>
        <w:t>统良性循环，改善农村人居环境。</w:t>
      </w:r>
    </w:p>
    <w:p>
      <w:pPr>
        <w:pStyle w:val="BodyText"/>
        <w:spacing w:before="213" w:line="171" w:lineRule="auto"/>
        <w:ind w:left="3"/>
      </w:pPr>
      <w:r>
        <w:rPr>
          <w:b/>
          <w:bCs/>
          <w:spacing w:val="-5"/>
        </w:rPr>
        <w:t>3.10</w:t>
      </w:r>
    </w:p>
    <w:p>
      <w:pPr>
        <w:spacing w:line="212" w:lineRule="auto"/>
        <w:ind w:left="432"/>
        <w:rPr>
          <w:rFonts w:ascii="Times New Roman" w:eastAsia="Times New Roman" w:hAnsi="Times New Roman" w:cs="Times New Roman"/>
          <w:sz w:val="21"/>
          <w:szCs w:val="21"/>
        </w:rPr>
      </w:pPr>
      <w:r>
        <w:rPr>
          <w:rFonts w:ascii="SimHei" w:eastAsia="SimHei" w:hAnsi="SimHei" w:cs="SimHei"/>
          <w:b/>
          <w:bCs/>
          <w:spacing w:val="-1"/>
          <w:sz w:val="21"/>
          <w:szCs w:val="21"/>
        </w:rPr>
        <w:t>城镇空间生态修复</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urban ecological restoration</w:t>
      </w:r>
    </w:p>
    <w:p>
      <w:pPr>
        <w:pStyle w:val="BodyText"/>
        <w:spacing w:before="163" w:line="237" w:lineRule="auto"/>
        <w:ind w:right="21" w:firstLine="429"/>
      </w:pPr>
      <w:r>
        <w:rPr>
          <w:spacing w:val="-3"/>
        </w:rPr>
        <w:t>统筹保护和修复城镇各类自然生态系统，修复被破坏的山体，连通河湖水系，构建绿地系统，完善</w:t>
      </w:r>
      <w:r>
        <w:rPr>
          <w:spacing w:val="18"/>
        </w:rPr>
        <w:t xml:space="preserve"> </w:t>
      </w:r>
      <w:r>
        <w:rPr>
          <w:spacing w:val="-1"/>
        </w:rPr>
        <w:t>城镇内外蓝绿交织的生态网络，提高城镇韧性，</w:t>
      </w:r>
      <w:r>
        <w:rPr>
          <w:spacing w:val="-2"/>
        </w:rPr>
        <w:t>提升人居生态品质。</w:t>
      </w:r>
    </w:p>
    <w:p>
      <w:pPr>
        <w:pStyle w:val="BodyText"/>
        <w:spacing w:before="162" w:line="184" w:lineRule="auto"/>
        <w:ind w:left="3"/>
      </w:pPr>
      <w:r>
        <w:rPr>
          <w:b/>
          <w:bCs/>
          <w:spacing w:val="-5"/>
        </w:rPr>
        <w:t>3.11</w:t>
      </w:r>
    </w:p>
    <w:p>
      <w:pPr>
        <w:pStyle w:val="BodyText"/>
        <w:spacing w:before="30" w:line="217" w:lineRule="auto"/>
        <w:ind w:left="432"/>
      </w:pPr>
      <w:r>
        <w:rPr>
          <w:rFonts w:ascii="SimHei" w:eastAsia="SimHei" w:hAnsi="SimHei" w:cs="SimHei"/>
          <w:b/>
          <w:bCs/>
          <w:spacing w:val="-22"/>
        </w:rPr>
        <w:t>生态空间生态修复</w:t>
      </w:r>
      <w:r>
        <w:rPr>
          <w:rFonts w:ascii="SimHei" w:eastAsia="SimHei" w:hAnsi="SimHei" w:cs="SimHei"/>
          <w:spacing w:val="26"/>
        </w:rPr>
        <w:t xml:space="preserve"> </w:t>
      </w:r>
      <w:r>
        <w:rPr>
          <w:b/>
          <w:bCs/>
          <w:spacing w:val="-22"/>
        </w:rPr>
        <w:t>natural</w:t>
      </w:r>
      <w:r>
        <w:rPr>
          <w:spacing w:val="-22"/>
        </w:rPr>
        <w:t xml:space="preserve"> </w:t>
      </w:r>
      <w:r>
        <w:rPr>
          <w:b/>
          <w:bCs/>
          <w:spacing w:val="-22"/>
        </w:rPr>
        <w:t>space</w:t>
      </w:r>
      <w:r>
        <w:rPr>
          <w:spacing w:val="-22"/>
        </w:rPr>
        <w:t xml:space="preserve"> </w:t>
      </w:r>
      <w:r>
        <w:rPr>
          <w:b/>
          <w:bCs/>
          <w:spacing w:val="-22"/>
        </w:rPr>
        <w:t>ecological</w:t>
      </w:r>
      <w:r>
        <w:rPr>
          <w:spacing w:val="-22"/>
        </w:rPr>
        <w:t xml:space="preserve"> </w:t>
      </w:r>
      <w:r>
        <w:rPr>
          <w:b/>
          <w:bCs/>
          <w:spacing w:val="-22"/>
        </w:rPr>
        <w:t>restoration</w:t>
      </w:r>
    </w:p>
    <w:p>
      <w:pPr>
        <w:pStyle w:val="BodyText"/>
        <w:spacing w:before="152" w:line="228" w:lineRule="auto"/>
        <w:ind w:right="21" w:firstLine="429"/>
      </w:pPr>
      <w:r>
        <w:rPr>
          <w:spacing w:val="-3"/>
        </w:rPr>
        <w:t>保护修复受损或退化的具有自然属性、以提供生态产品或生态服务为主导功能的生态空间各类生态</w:t>
      </w:r>
      <w:r>
        <w:rPr>
          <w:spacing w:val="18"/>
        </w:rPr>
        <w:t xml:space="preserve"> </w:t>
      </w:r>
      <w:r>
        <w:rPr>
          <w:spacing w:val="-1"/>
        </w:rPr>
        <w:t>系统，采用自然恢复、辅助再生、生态重建等措施，提升生态系统多样性、稳定性、持续</w:t>
      </w:r>
      <w:r>
        <w:rPr>
          <w:spacing w:val="-2"/>
        </w:rPr>
        <w:t>性。</w:t>
      </w:r>
    </w:p>
    <w:p>
      <w:pPr>
        <w:pStyle w:val="BodyText"/>
        <w:spacing w:before="183" w:line="175" w:lineRule="exact"/>
        <w:ind w:left="3"/>
      </w:pPr>
      <w:r>
        <w:rPr>
          <w:b/>
          <w:bCs/>
          <w:spacing w:val="-5"/>
          <w:position w:val="-2"/>
        </w:rPr>
        <w:t>3.12</w:t>
      </w:r>
    </w:p>
    <w:p>
      <w:pPr>
        <w:spacing w:line="212" w:lineRule="auto"/>
        <w:ind w:left="429"/>
        <w:rPr>
          <w:rFonts w:ascii="Times New Roman" w:eastAsia="Times New Roman" w:hAnsi="Times New Roman" w:cs="Times New Roman"/>
          <w:sz w:val="21"/>
          <w:szCs w:val="21"/>
        </w:rPr>
      </w:pPr>
      <w:r>
        <w:rPr>
          <w:rFonts w:ascii="SimHei" w:eastAsia="SimHei" w:hAnsi="SimHei" w:cs="SimHei"/>
          <w:spacing w:val="-1"/>
          <w:sz w:val="21"/>
          <w:szCs w:val="21"/>
        </w:rPr>
        <w:t>海洋生态修复</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marine ecological restor</w:t>
      </w:r>
      <w:r>
        <w:rPr>
          <w:rFonts w:ascii="Times New Roman" w:eastAsia="Times New Roman" w:hAnsi="Times New Roman" w:cs="Times New Roman"/>
          <w:spacing w:val="-2"/>
          <w:sz w:val="21"/>
          <w:szCs w:val="21"/>
        </w:rPr>
        <w:t>ation</w:t>
      </w:r>
    </w:p>
    <w:p>
      <w:pPr>
        <w:pStyle w:val="BodyText"/>
        <w:spacing w:before="134" w:line="346" w:lineRule="exact"/>
        <w:ind w:left="429"/>
      </w:pPr>
      <w:r>
        <w:rPr>
          <w:spacing w:val="-3"/>
          <w:position w:val="10"/>
        </w:rPr>
        <w:t>协助退化、受损或破坏的海洋生态系统恢复</w:t>
      </w:r>
      <w:r>
        <w:rPr>
          <w:spacing w:val="-4"/>
          <w:position w:val="10"/>
        </w:rPr>
        <w:t>的过程。</w:t>
      </w:r>
    </w:p>
    <w:p>
      <w:pPr>
        <w:pStyle w:val="BodyText"/>
        <w:spacing w:line="216" w:lineRule="auto"/>
        <w:ind w:left="429"/>
      </w:pPr>
      <w:r>
        <w:rPr>
          <w:spacing w:val="-9"/>
        </w:rPr>
        <w:t>[来源：</w:t>
      </w:r>
      <w:r>
        <w:rPr>
          <w:spacing w:val="-29"/>
        </w:rPr>
        <w:t xml:space="preserve"> </w:t>
      </w:r>
      <w:r>
        <w:rPr>
          <w:spacing w:val="-9"/>
        </w:rPr>
        <w:t>GB/T41339.1,3.1]</w:t>
      </w:r>
    </w:p>
    <w:p>
      <w:pPr>
        <w:pStyle w:val="BodyText"/>
        <w:spacing w:before="178" w:line="180" w:lineRule="auto"/>
        <w:ind w:left="3"/>
      </w:pPr>
      <w:r>
        <w:rPr>
          <w:b/>
          <w:bCs/>
          <w:spacing w:val="-5"/>
        </w:rPr>
        <w:t>3.13</w:t>
      </w:r>
    </w:p>
    <w:p>
      <w:pPr>
        <w:spacing w:before="1" w:line="212" w:lineRule="auto"/>
        <w:ind w:left="432"/>
        <w:rPr>
          <w:rFonts w:ascii="Times New Roman" w:eastAsia="Times New Roman" w:hAnsi="Times New Roman" w:cs="Times New Roman"/>
          <w:sz w:val="21"/>
          <w:szCs w:val="21"/>
        </w:rPr>
        <w:sectPr>
          <w:headerReference w:type="default" r:id="rId13"/>
          <w:footerReference w:type="default" r:id="rId14"/>
          <w:pgSz w:w="11910" w:h="16840"/>
          <w:pgMar w:top="400" w:right="1147" w:bottom="1288" w:left="1390" w:header="0" w:footer="1149" w:gutter="0"/>
          <w:pgNumType w:start="3"/>
          <w:cols w:space="708"/>
        </w:sectPr>
      </w:pPr>
      <w:r>
        <w:rPr>
          <w:rFonts w:ascii="SimHei" w:eastAsia="SimHei" w:hAnsi="SimHei" w:cs="SimHei"/>
          <w:b/>
          <w:bCs/>
          <w:spacing w:val="-5"/>
          <w:sz w:val="21"/>
          <w:szCs w:val="21"/>
        </w:rPr>
        <w:t>矿山生态修复</w:t>
      </w:r>
      <w:r>
        <w:rPr>
          <w:rFonts w:ascii="SimHei" w:eastAsia="SimHei" w:hAnsi="SimHei" w:cs="SimHei"/>
          <w:spacing w:val="-5"/>
          <w:sz w:val="21"/>
          <w:szCs w:val="21"/>
        </w:rPr>
        <w:t xml:space="preserve"> </w:t>
      </w:r>
      <w:r>
        <w:rPr>
          <w:rFonts w:ascii="Times New Roman" w:eastAsia="Times New Roman" w:hAnsi="Times New Roman" w:cs="Times New Roman"/>
          <w:b/>
          <w:bCs/>
          <w:spacing w:val="-5"/>
          <w:sz w:val="21"/>
          <w:szCs w:val="21"/>
        </w:rPr>
        <w:t>mine ecological restoration</w:t>
      </w:r>
    </w:p>
    <w:p>
      <w:pPr>
        <w:pStyle w:val="BodyText"/>
        <w:spacing w:before="143" w:line="237" w:lineRule="auto"/>
        <w:ind w:right="17" w:firstLine="429"/>
        <w:jc w:val="both"/>
      </w:pPr>
      <w:r>
        <w:rPr>
          <w:spacing w:val="-3"/>
        </w:rPr>
        <w:t>依靠自然力量或通过人工措施干预，对因矿产资源开采活动造成的地质环境破坏、土地损毁和植被</w:t>
      </w:r>
      <w:r>
        <w:rPr>
          <w:spacing w:val="16"/>
        </w:rPr>
        <w:t xml:space="preserve"> </w:t>
      </w:r>
      <w:r>
        <w:rPr>
          <w:spacing w:val="-2"/>
        </w:rPr>
        <w:t>破坏等矿山生态问题进行修复，使矿山地质环境达到稳定、损毁土地得到复垦利用、生</w:t>
      </w:r>
      <w:r>
        <w:rPr>
          <w:spacing w:val="-3"/>
        </w:rPr>
        <w:t>态系统功能得到</w:t>
      </w:r>
      <w:r>
        <w:t xml:space="preserve"> </w:t>
      </w:r>
      <w:r>
        <w:rPr>
          <w:spacing w:val="-6"/>
        </w:rPr>
        <w:t>恢复和改善。</w:t>
      </w:r>
    </w:p>
    <w:p>
      <w:pPr>
        <w:pStyle w:val="BodyText"/>
        <w:spacing w:before="38" w:line="216" w:lineRule="auto"/>
        <w:ind w:left="429"/>
      </w:pPr>
      <w:r>
        <w:rPr>
          <w:spacing w:val="-9"/>
        </w:rPr>
        <w:t>[来源：</w:t>
      </w:r>
      <w:r>
        <w:rPr>
          <w:spacing w:val="-41"/>
        </w:rPr>
        <w:t xml:space="preserve"> </w:t>
      </w:r>
      <w:r>
        <w:rPr>
          <w:spacing w:val="-9"/>
        </w:rPr>
        <w:t>TD/T</w:t>
      </w:r>
      <w:r>
        <w:rPr>
          <w:spacing w:val="19"/>
        </w:rPr>
        <w:t xml:space="preserve"> </w:t>
      </w:r>
      <w:r>
        <w:rPr>
          <w:spacing w:val="-9"/>
        </w:rPr>
        <w:t>1070.1-2022,3.1,有修改]</w:t>
      </w:r>
    </w:p>
    <w:p>
      <w:pPr>
        <w:spacing w:before="253" w:line="222" w:lineRule="auto"/>
        <w:ind w:left="3"/>
        <w:rPr>
          <w:rFonts w:ascii="SimHei" w:eastAsia="SimHei" w:hAnsi="SimHei" w:cs="SimHei"/>
          <w:sz w:val="21"/>
          <w:szCs w:val="21"/>
        </w:rPr>
      </w:pPr>
      <w:r>
        <w:rPr>
          <w:rFonts w:ascii="SimHei" w:eastAsia="SimHei" w:hAnsi="SimHei" w:cs="SimHei"/>
          <w:b/>
          <w:bCs/>
          <w:spacing w:val="-6"/>
          <w:sz w:val="21"/>
          <w:szCs w:val="21"/>
        </w:rPr>
        <w:t>4</w:t>
      </w:r>
      <w:r>
        <w:rPr>
          <w:rFonts w:ascii="SimHei" w:eastAsia="SimHei" w:hAnsi="SimHei" w:cs="SimHei"/>
          <w:spacing w:val="4"/>
          <w:sz w:val="21"/>
          <w:szCs w:val="21"/>
        </w:rPr>
        <w:t xml:space="preserve">  </w:t>
      </w:r>
      <w:r>
        <w:rPr>
          <w:rFonts w:ascii="SimHei" w:eastAsia="SimHei" w:hAnsi="SimHei" w:cs="SimHei"/>
          <w:b/>
          <w:bCs/>
          <w:spacing w:val="-6"/>
          <w:sz w:val="21"/>
          <w:szCs w:val="21"/>
        </w:rPr>
        <w:t>总则</w:t>
      </w:r>
    </w:p>
    <w:p>
      <w:pPr>
        <w:spacing w:before="269" w:line="222" w:lineRule="auto"/>
        <w:ind w:left="3"/>
        <w:outlineLvl w:val="0"/>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84"/>
          <w:sz w:val="21"/>
          <w:szCs w:val="21"/>
        </w:rPr>
        <w:t xml:space="preserve"> </w:t>
      </w:r>
      <w:r>
        <w:rPr>
          <w:rFonts w:ascii="SimHei" w:eastAsia="SimHei" w:hAnsi="SimHei" w:cs="SimHei"/>
          <w:b/>
          <w:bCs/>
          <w:spacing w:val="-1"/>
          <w:sz w:val="21"/>
          <w:szCs w:val="21"/>
        </w:rPr>
        <w:t>规划定位</w:t>
      </w:r>
    </w:p>
    <w:p>
      <w:pPr>
        <w:spacing w:before="125" w:line="221" w:lineRule="auto"/>
        <w:ind w:left="3"/>
        <w:outlineLvl w:val="0"/>
        <w:rPr>
          <w:rFonts w:ascii="SimHei" w:eastAsia="SimHei" w:hAnsi="SimHei" w:cs="SimHei"/>
          <w:sz w:val="21"/>
          <w:szCs w:val="21"/>
        </w:rPr>
      </w:pPr>
      <w:r>
        <w:rPr>
          <w:rFonts w:ascii="SimHei" w:eastAsia="SimHei" w:hAnsi="SimHei" w:cs="SimHei"/>
          <w:b/>
          <w:bCs/>
          <w:spacing w:val="-3"/>
          <w:sz w:val="21"/>
          <w:szCs w:val="21"/>
        </w:rPr>
        <w:t>4.1.1</w:t>
      </w:r>
      <w:r>
        <w:rPr>
          <w:rFonts w:ascii="SimHei" w:eastAsia="SimHei" w:hAnsi="SimHei" w:cs="SimHei"/>
          <w:spacing w:val="82"/>
          <w:sz w:val="21"/>
          <w:szCs w:val="21"/>
        </w:rPr>
        <w:t xml:space="preserve"> </w:t>
      </w:r>
      <w:r>
        <w:rPr>
          <w:rFonts w:ascii="SimHei" w:eastAsia="SimHei" w:hAnsi="SimHei" w:cs="SimHei"/>
          <w:b/>
          <w:bCs/>
          <w:spacing w:val="-3"/>
          <w:sz w:val="21"/>
          <w:szCs w:val="21"/>
        </w:rPr>
        <w:t>市级国土空间生态修复规划</w:t>
      </w:r>
    </w:p>
    <w:p>
      <w:pPr>
        <w:spacing w:line="221" w:lineRule="auto"/>
        <w:rPr>
          <w:rFonts w:ascii="SimHei" w:eastAsia="SimHei" w:hAnsi="SimHei" w:cs="SimHei"/>
          <w:sz w:val="21"/>
          <w:szCs w:val="21"/>
        </w:rPr>
        <w:sectPr>
          <w:headerReference w:type="default" r:id="rId15"/>
          <w:footerReference w:type="default" r:id="rId16"/>
          <w:type w:val="nextPage"/>
          <w:pgSz w:w="11910" w:h="16840"/>
          <w:pgMar w:top="400" w:right="1147" w:bottom="1288" w:left="1390" w:header="0" w:footer="1149" w:gutter="0"/>
          <w:pgNumType w:start="4"/>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ind w:left="767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T</w:t>
      </w:r>
      <w:r>
        <w:rPr>
          <w:rFonts w:ascii="Times New Roman" w:eastAsia="Times New Roman" w:hAnsi="Times New Roman" w:cs="Times New Roman"/>
          <w:b/>
          <w:bCs/>
          <w:spacing w:val="1"/>
          <w:sz w:val="15"/>
          <w:szCs w:val="15"/>
        </w:rPr>
        <w:t xml:space="preserve">     </w:t>
      </w:r>
      <w:r>
        <w:rPr>
          <w:rFonts w:ascii="Times New Roman" w:eastAsia="Times New Roman" w:hAnsi="Times New Roman" w:cs="Times New Roman"/>
          <w:b/>
          <w:bCs/>
          <w:sz w:val="15"/>
          <w:szCs w:val="15"/>
        </w:rPr>
        <w:t>XXXXX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XXXX</w:t>
      </w:r>
    </w:p>
    <w:p>
      <w:pPr>
        <w:pStyle w:val="BodyText"/>
        <w:spacing w:before="298" w:line="237" w:lineRule="auto"/>
        <w:ind w:right="102" w:firstLine="419"/>
      </w:pPr>
      <w:r>
        <w:rPr>
          <w:spacing w:val="-3"/>
        </w:rPr>
        <w:t>市级国土空间生态修复规划属于国土空间相关专项规划，是落实市</w:t>
      </w:r>
      <w:r>
        <w:rPr>
          <w:spacing w:val="-4"/>
        </w:rPr>
        <w:t>级国土空间总体规划关于生态修</w:t>
      </w:r>
      <w:r>
        <w:t xml:space="preserve"> </w:t>
      </w:r>
      <w:r>
        <w:rPr>
          <w:spacing w:val="-1"/>
        </w:rPr>
        <w:t>复目标任务等内容的重要规划，是一定时期内市域国土空间生态修复工作</w:t>
      </w:r>
      <w:r>
        <w:rPr>
          <w:spacing w:val="-2"/>
        </w:rPr>
        <w:t>的总体安排。</w:t>
      </w:r>
    </w:p>
    <w:p>
      <w:pPr>
        <w:pStyle w:val="BodyText"/>
        <w:spacing w:before="3" w:line="236" w:lineRule="auto"/>
        <w:ind w:right="72" w:firstLine="419"/>
      </w:pPr>
      <w:r>
        <w:rPr>
          <w:spacing w:val="-3"/>
        </w:rPr>
        <w:t>市级国土空间生态修复规划具有承接性、协调性、实施性、指导性，</w:t>
      </w:r>
      <w:r>
        <w:rPr>
          <w:spacing w:val="-4"/>
        </w:rPr>
        <w:t>落实国家级、省级国土空间生</w:t>
      </w:r>
      <w:r>
        <w:t xml:space="preserve"> </w:t>
      </w:r>
      <w:r>
        <w:rPr>
          <w:spacing w:val="-2"/>
        </w:rPr>
        <w:t>态修复规划的目标指标、空间布局、工程项目安</w:t>
      </w:r>
      <w:r>
        <w:rPr>
          <w:spacing w:val="-3"/>
        </w:rPr>
        <w:t>排等要求，同时是指导县级国土空间生态修复规划编制</w:t>
      </w:r>
      <w:r>
        <w:t xml:space="preserve"> </w:t>
      </w:r>
      <w:r>
        <w:rPr>
          <w:spacing w:val="-1"/>
        </w:rPr>
        <w:t>的必要依据，在国土空间生态修复规划体系中发挥承上启</w:t>
      </w:r>
      <w:r>
        <w:rPr>
          <w:spacing w:val="-2"/>
        </w:rPr>
        <w:t>下的作用。</w:t>
      </w:r>
    </w:p>
    <w:p>
      <w:pPr>
        <w:spacing w:before="137" w:line="221" w:lineRule="auto"/>
        <w:ind w:left="3"/>
        <w:outlineLvl w:val="0"/>
        <w:rPr>
          <w:rFonts w:ascii="SimHei" w:eastAsia="SimHei" w:hAnsi="SimHei" w:cs="SimHei"/>
          <w:sz w:val="21"/>
          <w:szCs w:val="21"/>
        </w:rPr>
      </w:pPr>
      <w:r>
        <w:rPr>
          <w:rFonts w:ascii="SimHei" w:eastAsia="SimHei" w:hAnsi="SimHei" w:cs="SimHei"/>
          <w:b/>
          <w:bCs/>
          <w:spacing w:val="-4"/>
          <w:sz w:val="21"/>
          <w:szCs w:val="21"/>
        </w:rPr>
        <w:t>4.1.2</w:t>
      </w:r>
      <w:r>
        <w:rPr>
          <w:rFonts w:ascii="SimHei" w:eastAsia="SimHei" w:hAnsi="SimHei" w:cs="SimHei"/>
          <w:spacing w:val="86"/>
          <w:sz w:val="21"/>
          <w:szCs w:val="21"/>
        </w:rPr>
        <w:t xml:space="preserve"> </w:t>
      </w:r>
      <w:r>
        <w:rPr>
          <w:rFonts w:ascii="SimHei" w:eastAsia="SimHei" w:hAnsi="SimHei" w:cs="SimHei"/>
          <w:b/>
          <w:bCs/>
          <w:spacing w:val="-4"/>
          <w:sz w:val="21"/>
          <w:szCs w:val="21"/>
        </w:rPr>
        <w:t>县级国土空间生态修复规划</w:t>
      </w:r>
    </w:p>
    <w:p>
      <w:pPr>
        <w:pStyle w:val="BodyText"/>
        <w:spacing w:before="133" w:line="237" w:lineRule="auto"/>
        <w:ind w:right="81" w:firstLine="419"/>
      </w:pPr>
      <w:r>
        <w:rPr>
          <w:spacing w:val="2"/>
        </w:rPr>
        <w:t>县级国土空间生态修复规划是落实县级国土空间总体规划关于生态修复目标任务等内容的重要规</w:t>
      </w:r>
      <w:r>
        <w:rPr>
          <w:spacing w:val="4"/>
        </w:rPr>
        <w:t xml:space="preserve"> </w:t>
      </w:r>
      <w:r>
        <w:rPr>
          <w:spacing w:val="-2"/>
        </w:rPr>
        <w:t>划，是一定时期内县域国土空间生态修复工作的总体安排。</w:t>
      </w:r>
    </w:p>
    <w:p>
      <w:pPr>
        <w:pStyle w:val="BodyText"/>
        <w:spacing w:before="11" w:line="236" w:lineRule="auto"/>
        <w:ind w:firstLine="419"/>
      </w:pPr>
      <w:r>
        <w:rPr>
          <w:spacing w:val="-2"/>
        </w:rPr>
        <w:t>县级国土空间生态修复规划突出实施性和可操作性，应落实国</w:t>
      </w:r>
      <w:r>
        <w:rPr>
          <w:spacing w:val="-3"/>
        </w:rPr>
        <w:t>家级、省级和市级国土空间生态修复</w:t>
      </w:r>
      <w:r>
        <w:t xml:space="preserve"> </w:t>
      </w:r>
      <w:r>
        <w:rPr>
          <w:spacing w:val="-1"/>
        </w:rPr>
        <w:t>规划的目标指标、空间布局、工程项目安排等要求，是实施本辖区国土空间生态修复工作的重要依据。</w:t>
      </w:r>
    </w:p>
    <w:p>
      <w:pPr>
        <w:spacing w:before="140" w:line="223" w:lineRule="auto"/>
        <w:ind w:left="3"/>
        <w:outlineLvl w:val="0"/>
        <w:rPr>
          <w:rFonts w:ascii="SimHei" w:eastAsia="SimHei" w:hAnsi="SimHei" w:cs="SimHei"/>
          <w:sz w:val="21"/>
          <w:szCs w:val="21"/>
        </w:rPr>
      </w:pPr>
      <w:r>
        <w:rPr>
          <w:rFonts w:ascii="SimHei" w:eastAsia="SimHei" w:hAnsi="SimHei" w:cs="SimHei"/>
          <w:b/>
          <w:bCs/>
          <w:spacing w:val="-4"/>
          <w:sz w:val="21"/>
          <w:szCs w:val="21"/>
        </w:rPr>
        <w:t>4.2</w:t>
      </w:r>
      <w:r>
        <w:rPr>
          <w:rFonts w:ascii="SimHei" w:eastAsia="SimHei" w:hAnsi="SimHei" w:cs="SimHei"/>
          <w:spacing w:val="111"/>
          <w:sz w:val="21"/>
          <w:szCs w:val="21"/>
        </w:rPr>
        <w:t xml:space="preserve"> </w:t>
      </w:r>
      <w:r>
        <w:rPr>
          <w:rFonts w:ascii="SimHei" w:eastAsia="SimHei" w:hAnsi="SimHei" w:cs="SimHei"/>
          <w:b/>
          <w:bCs/>
          <w:spacing w:val="-4"/>
          <w:sz w:val="21"/>
          <w:szCs w:val="21"/>
        </w:rPr>
        <w:t>规划范围和期限</w:t>
      </w:r>
    </w:p>
    <w:p>
      <w:pPr>
        <w:pStyle w:val="BodyText"/>
        <w:spacing w:before="147" w:line="229" w:lineRule="auto"/>
        <w:ind w:right="61" w:firstLine="419"/>
      </w:pPr>
      <w:r>
        <w:rPr>
          <w:spacing w:val="-2"/>
        </w:rPr>
        <w:t>规划范围包括市县级行政辖区内全部陆域和管理海域国土空</w:t>
      </w:r>
      <w:r>
        <w:rPr>
          <w:spacing w:val="-3"/>
        </w:rPr>
        <w:t>间，规划期限衔接同级国土空间总体规</w:t>
      </w:r>
      <w:r>
        <w:t xml:space="preserve"> </w:t>
      </w:r>
      <w:r>
        <w:rPr>
          <w:spacing w:val="3"/>
        </w:rPr>
        <w:t>划， 一般为15年，可分为近期(近5年)和远期。</w:t>
      </w:r>
    </w:p>
    <w:p>
      <w:pPr>
        <w:spacing w:before="126" w:line="221" w:lineRule="auto"/>
        <w:ind w:left="3"/>
        <w:outlineLvl w:val="0"/>
        <w:rPr>
          <w:rFonts w:ascii="SimHei" w:eastAsia="SimHei" w:hAnsi="SimHei" w:cs="SimHei"/>
          <w:sz w:val="21"/>
          <w:szCs w:val="21"/>
        </w:rPr>
      </w:pPr>
      <w:r>
        <w:rPr>
          <w:rFonts w:ascii="SimHei" w:eastAsia="SimHei" w:hAnsi="SimHei" w:cs="SimHei"/>
          <w:b/>
          <w:bCs/>
          <w:spacing w:val="-4"/>
          <w:sz w:val="21"/>
          <w:szCs w:val="21"/>
        </w:rPr>
        <w:t>4.3</w:t>
      </w:r>
      <w:r>
        <w:rPr>
          <w:rFonts w:ascii="SimHei" w:eastAsia="SimHei" w:hAnsi="SimHei" w:cs="SimHei"/>
          <w:spacing w:val="86"/>
          <w:sz w:val="21"/>
          <w:szCs w:val="21"/>
        </w:rPr>
        <w:t xml:space="preserve"> </w:t>
      </w:r>
      <w:r>
        <w:rPr>
          <w:rFonts w:ascii="SimHei" w:eastAsia="SimHei" w:hAnsi="SimHei" w:cs="SimHei"/>
          <w:b/>
          <w:bCs/>
          <w:spacing w:val="-4"/>
          <w:sz w:val="21"/>
          <w:szCs w:val="21"/>
        </w:rPr>
        <w:t>规划任务</w:t>
      </w:r>
    </w:p>
    <w:p>
      <w:pPr>
        <w:pStyle w:val="BodyText"/>
        <w:spacing w:before="144" w:line="219" w:lineRule="auto"/>
        <w:ind w:left="419"/>
      </w:pPr>
      <w:r>
        <w:rPr>
          <w:spacing w:val="-5"/>
        </w:rPr>
        <w:t>国土空间生态修复规划主要任务是：</w:t>
      </w:r>
    </w:p>
    <w:p>
      <w:pPr>
        <w:pStyle w:val="BodyText"/>
        <w:spacing w:before="21" w:line="220" w:lineRule="auto"/>
        <w:ind w:left="419"/>
      </w:pPr>
      <w:r>
        <w:rPr>
          <w:spacing w:val="-3"/>
        </w:rPr>
        <w:t>a)</w:t>
      </w:r>
      <w:r>
        <w:rPr>
          <w:spacing w:val="110"/>
        </w:rPr>
        <w:t xml:space="preserve"> </w:t>
      </w:r>
      <w:r>
        <w:rPr>
          <w:spacing w:val="-3"/>
        </w:rPr>
        <w:t>识别区域生态问题，研判重大生态风险；</w:t>
      </w:r>
    </w:p>
    <w:p>
      <w:pPr>
        <w:pStyle w:val="BodyText"/>
        <w:spacing w:before="40" w:line="223" w:lineRule="auto"/>
        <w:ind w:left="859" w:right="81" w:hanging="440"/>
      </w:pPr>
      <w:r>
        <w:rPr>
          <w:spacing w:val="2"/>
        </w:rPr>
        <w:t>b)  根据国土空间总体规划确定的生态修复总体思路、目标任务，细化国土空间生态修复目标任</w:t>
      </w:r>
      <w:r>
        <w:t xml:space="preserve"> </w:t>
      </w:r>
      <w:r>
        <w:rPr>
          <w:spacing w:val="-5"/>
        </w:rPr>
        <w:t>务，科学提出规划指标；</w:t>
      </w:r>
    </w:p>
    <w:p>
      <w:pPr>
        <w:pStyle w:val="BodyText"/>
        <w:spacing w:before="31" w:line="217" w:lineRule="auto"/>
        <w:ind w:left="419"/>
      </w:pPr>
      <w:r>
        <w:rPr>
          <w:spacing w:val="-1"/>
        </w:rPr>
        <w:t>c)  细化落实国土空间生态修复总体布局，确定生态修复分区和重点区域；</w:t>
      </w:r>
    </w:p>
    <w:p>
      <w:pPr>
        <w:pStyle w:val="BodyText"/>
        <w:spacing w:line="212" w:lineRule="auto"/>
        <w:ind w:left="419"/>
      </w:pPr>
      <w:r>
        <w:rPr>
          <w:rFonts w:ascii="Times New Roman" w:eastAsia="Times New Roman" w:hAnsi="Times New Roman" w:cs="Times New Roman"/>
          <w:spacing w:val="3"/>
        </w:rPr>
        <w:t xml:space="preserve">d)    </w:t>
      </w:r>
      <w:r>
        <w:rPr>
          <w:spacing w:val="3"/>
        </w:rPr>
        <w:t>提出规划实施对策与生态修复项目安排，进行资金测算、效益评价；</w:t>
      </w:r>
    </w:p>
    <w:p>
      <w:pPr>
        <w:pStyle w:val="BodyText"/>
        <w:spacing w:before="29" w:line="212" w:lineRule="auto"/>
        <w:ind w:left="419"/>
      </w:pPr>
      <w:r>
        <w:rPr>
          <w:rFonts w:ascii="Times New Roman" w:eastAsia="Times New Roman" w:hAnsi="Times New Roman" w:cs="Times New Roman"/>
          <w:spacing w:val="-4"/>
        </w:rPr>
        <w:t>e)</w:t>
      </w:r>
      <w:r>
        <w:rPr>
          <w:rFonts w:ascii="Times New Roman" w:eastAsia="Times New Roman" w:hAnsi="Times New Roman" w:cs="Times New Roman"/>
          <w:spacing w:val="11"/>
        </w:rPr>
        <w:t xml:space="preserve">    </w:t>
      </w:r>
      <w:r>
        <w:rPr>
          <w:spacing w:val="-4"/>
        </w:rPr>
        <w:t>提出规划实施的保障措施。</w:t>
      </w:r>
    </w:p>
    <w:p>
      <w:pPr>
        <w:spacing w:before="178" w:line="221" w:lineRule="auto"/>
        <w:ind w:left="3"/>
        <w:outlineLvl w:val="0"/>
        <w:rPr>
          <w:rFonts w:ascii="SimHei" w:eastAsia="SimHei" w:hAnsi="SimHei" w:cs="SimHei"/>
          <w:sz w:val="21"/>
          <w:szCs w:val="21"/>
        </w:rPr>
      </w:pPr>
      <w:r>
        <w:rPr>
          <w:rFonts w:ascii="SimHei" w:eastAsia="SimHei" w:hAnsi="SimHei" w:cs="SimHei"/>
          <w:b/>
          <w:bCs/>
          <w:spacing w:val="-1"/>
          <w:sz w:val="21"/>
          <w:szCs w:val="21"/>
        </w:rPr>
        <w:t>4.4</w:t>
      </w:r>
      <w:r>
        <w:rPr>
          <w:rFonts w:ascii="SimHei" w:eastAsia="SimHei" w:hAnsi="SimHei" w:cs="SimHei"/>
          <w:spacing w:val="85"/>
          <w:sz w:val="21"/>
          <w:szCs w:val="21"/>
        </w:rPr>
        <w:t xml:space="preserve"> </w:t>
      </w:r>
      <w:r>
        <w:rPr>
          <w:rFonts w:ascii="SimHei" w:eastAsia="SimHei" w:hAnsi="SimHei" w:cs="SimHei"/>
          <w:b/>
          <w:bCs/>
          <w:spacing w:val="-1"/>
          <w:sz w:val="21"/>
          <w:szCs w:val="21"/>
        </w:rPr>
        <w:t>编制原则</w:t>
      </w:r>
    </w:p>
    <w:p>
      <w:pPr>
        <w:spacing w:before="119" w:line="213" w:lineRule="auto"/>
        <w:ind w:left="3"/>
        <w:outlineLvl w:val="0"/>
        <w:rPr>
          <w:rFonts w:ascii="SimHei" w:eastAsia="SimHei" w:hAnsi="SimHei" w:cs="SimHei"/>
          <w:sz w:val="21"/>
          <w:szCs w:val="21"/>
        </w:rPr>
      </w:pPr>
      <w:r>
        <w:rPr>
          <w:rFonts w:ascii="SimHei" w:eastAsia="SimHei" w:hAnsi="SimHei" w:cs="SimHei"/>
          <w:b/>
          <w:bCs/>
          <w:spacing w:val="-4"/>
          <w:sz w:val="21"/>
          <w:szCs w:val="21"/>
        </w:rPr>
        <w:t>4.4.1</w:t>
      </w:r>
      <w:r>
        <w:rPr>
          <w:rFonts w:ascii="SimHei" w:eastAsia="SimHei" w:hAnsi="SimHei" w:cs="SimHei"/>
          <w:spacing w:val="93"/>
          <w:sz w:val="21"/>
          <w:szCs w:val="21"/>
        </w:rPr>
        <w:t xml:space="preserve"> </w:t>
      </w:r>
      <w:r>
        <w:rPr>
          <w:rFonts w:ascii="SimHei" w:eastAsia="SimHei" w:hAnsi="SimHei" w:cs="SimHei"/>
          <w:b/>
          <w:bCs/>
          <w:spacing w:val="-4"/>
          <w:sz w:val="21"/>
          <w:szCs w:val="21"/>
        </w:rPr>
        <w:t>战略引领，科学编制</w:t>
      </w:r>
    </w:p>
    <w:p>
      <w:pPr>
        <w:pStyle w:val="BodyText"/>
        <w:spacing w:before="151" w:line="242" w:lineRule="auto"/>
        <w:ind w:right="73" w:firstLine="419"/>
      </w:pPr>
      <w:r>
        <w:rPr>
          <w:spacing w:val="-3"/>
        </w:rPr>
        <w:t>落实国家、区域和省级重大战略，遵循同级国土空间总体规划，科学编制生态修复规划。坚持人与</w:t>
      </w:r>
      <w:r>
        <w:rPr>
          <w:spacing w:val="15"/>
        </w:rPr>
        <w:t xml:space="preserve"> </w:t>
      </w:r>
      <w:r>
        <w:rPr>
          <w:spacing w:val="-1"/>
        </w:rPr>
        <w:t>自然和谐共生，坚持节约优先、保护优先、自然恢复为主，统筹安排规划期内生态修</w:t>
      </w:r>
      <w:r>
        <w:rPr>
          <w:spacing w:val="-2"/>
        </w:rPr>
        <w:t>复工作。</w:t>
      </w:r>
    </w:p>
    <w:p>
      <w:pPr>
        <w:spacing w:before="117" w:line="213" w:lineRule="auto"/>
        <w:ind w:left="3"/>
        <w:outlineLvl w:val="0"/>
        <w:rPr>
          <w:rFonts w:ascii="SimHei" w:eastAsia="SimHei" w:hAnsi="SimHei" w:cs="SimHei"/>
          <w:sz w:val="21"/>
          <w:szCs w:val="21"/>
        </w:rPr>
      </w:pPr>
      <w:r>
        <w:rPr>
          <w:rFonts w:ascii="SimHei" w:eastAsia="SimHei" w:hAnsi="SimHei" w:cs="SimHei"/>
          <w:b/>
          <w:bCs/>
          <w:spacing w:val="-4"/>
          <w:sz w:val="21"/>
          <w:szCs w:val="21"/>
        </w:rPr>
        <w:t>4.4.2</w:t>
      </w:r>
      <w:r>
        <w:rPr>
          <w:rFonts w:ascii="SimHei" w:eastAsia="SimHei" w:hAnsi="SimHei" w:cs="SimHei"/>
          <w:spacing w:val="95"/>
          <w:sz w:val="21"/>
          <w:szCs w:val="21"/>
        </w:rPr>
        <w:t xml:space="preserve"> </w:t>
      </w:r>
      <w:r>
        <w:rPr>
          <w:rFonts w:ascii="SimHei" w:eastAsia="SimHei" w:hAnsi="SimHei" w:cs="SimHei"/>
          <w:b/>
          <w:bCs/>
          <w:spacing w:val="-4"/>
          <w:sz w:val="21"/>
          <w:szCs w:val="21"/>
        </w:rPr>
        <w:t>因地制宜，突出重点</w:t>
      </w:r>
    </w:p>
    <w:p>
      <w:pPr>
        <w:pStyle w:val="BodyText"/>
        <w:spacing w:before="172" w:line="231" w:lineRule="auto"/>
        <w:ind w:right="80" w:firstLine="419"/>
        <w:jc w:val="both"/>
      </w:pPr>
      <w:r>
        <w:rPr>
          <w:spacing w:val="-3"/>
        </w:rPr>
        <w:t>立足自然地理格局、生态系统状况和主体功能定位，识别突出生态问题，研判生态风险和挑战，坚</w:t>
      </w:r>
      <w:r>
        <w:rPr>
          <w:spacing w:val="8"/>
        </w:rPr>
        <w:t xml:space="preserve"> </w:t>
      </w:r>
      <w:r>
        <w:rPr>
          <w:spacing w:val="-3"/>
        </w:rPr>
        <w:t>持问题导向、目标导向、效果导向，制定规划目标，明确需要解决的重大问题和重点任务，确定参照生</w:t>
      </w:r>
      <w:r>
        <w:rPr>
          <w:spacing w:val="13"/>
        </w:rPr>
        <w:t xml:space="preserve"> </w:t>
      </w:r>
      <w:r>
        <w:rPr>
          <w:spacing w:val="-1"/>
        </w:rPr>
        <w:t>态系统，因地制宜提出基于自然的生态修复途径和措施，突出地域特点、文化特色、时代特征。</w:t>
      </w:r>
    </w:p>
    <w:p>
      <w:pPr>
        <w:spacing w:before="127" w:line="213" w:lineRule="auto"/>
        <w:ind w:left="3"/>
        <w:outlineLvl w:val="0"/>
        <w:rPr>
          <w:rFonts w:ascii="SimHei" w:eastAsia="SimHei" w:hAnsi="SimHei" w:cs="SimHei"/>
          <w:sz w:val="21"/>
          <w:szCs w:val="21"/>
        </w:rPr>
      </w:pPr>
      <w:r>
        <w:rPr>
          <w:rFonts w:ascii="SimHei" w:eastAsia="SimHei" w:hAnsi="SimHei" w:cs="SimHei"/>
          <w:b/>
          <w:bCs/>
          <w:spacing w:val="-3"/>
          <w:sz w:val="21"/>
          <w:szCs w:val="21"/>
        </w:rPr>
        <w:t>4.4.3</w:t>
      </w:r>
      <w:r>
        <w:rPr>
          <w:rFonts w:ascii="SimHei" w:eastAsia="SimHei" w:hAnsi="SimHei" w:cs="SimHei"/>
          <w:spacing w:val="74"/>
          <w:sz w:val="21"/>
          <w:szCs w:val="21"/>
        </w:rPr>
        <w:t xml:space="preserve"> </w:t>
      </w:r>
      <w:r>
        <w:rPr>
          <w:rFonts w:ascii="SimHei" w:eastAsia="SimHei" w:hAnsi="SimHei" w:cs="SimHei"/>
          <w:b/>
          <w:bCs/>
          <w:spacing w:val="-3"/>
          <w:sz w:val="21"/>
          <w:szCs w:val="21"/>
        </w:rPr>
        <w:t>统筹协调，注重实施</w:t>
      </w:r>
    </w:p>
    <w:p>
      <w:pPr>
        <w:pStyle w:val="BodyText"/>
        <w:spacing w:before="169" w:line="232" w:lineRule="auto"/>
        <w:ind w:right="3" w:firstLine="419"/>
        <w:jc w:val="both"/>
      </w:pPr>
      <w:r>
        <w:rPr>
          <w:spacing w:val="-3"/>
        </w:rPr>
        <w:t xml:space="preserve">坚持山水林田湖草沙一体化保护和系统治理，统筹考虑自然生态系统与农田、城市人工生态系统及 </w:t>
      </w:r>
      <w:r>
        <w:rPr>
          <w:spacing w:val="-1"/>
        </w:rPr>
        <w:t>与社会、经济、文化系统之间的协同性，统筹相关领域和部门生态修复任务，注重国土空间的整体性、</w:t>
      </w:r>
      <w:r>
        <w:rPr>
          <w:spacing w:val="1"/>
        </w:rPr>
        <w:t xml:space="preserve"> </w:t>
      </w:r>
      <w:r>
        <w:rPr>
          <w:spacing w:val="-1"/>
        </w:rPr>
        <w:t>系统性，体现综合治理，突出整体效益，以修复项目为平台，强化治理方案的空间落</w:t>
      </w:r>
      <w:r>
        <w:rPr>
          <w:spacing w:val="-2"/>
        </w:rPr>
        <w:t>地性。</w:t>
      </w:r>
    </w:p>
    <w:p>
      <w:pPr>
        <w:spacing w:before="137" w:line="213" w:lineRule="auto"/>
        <w:ind w:left="2"/>
        <w:outlineLvl w:val="0"/>
        <w:rPr>
          <w:rFonts w:ascii="SimHei" w:eastAsia="SimHei" w:hAnsi="SimHei" w:cs="SimHei"/>
          <w:sz w:val="21"/>
          <w:szCs w:val="21"/>
        </w:rPr>
        <w:sectPr>
          <w:headerReference w:type="default" r:id="rId17"/>
          <w:footerReference w:type="default" r:id="rId18"/>
          <w:pgSz w:w="11910" w:h="16840"/>
          <w:pgMar w:top="400" w:right="1099" w:bottom="1305" w:left="1400" w:header="0" w:footer="1156" w:gutter="0"/>
          <w:pgNumType w:start="5"/>
          <w:cols w:space="708"/>
        </w:sectPr>
      </w:pPr>
      <w:r>
        <w:rPr>
          <w:rFonts w:ascii="SimHei" w:eastAsia="SimHei" w:hAnsi="SimHei" w:cs="SimHei"/>
          <w:b/>
          <w:bCs/>
          <w:spacing w:val="-5"/>
          <w:sz w:val="21"/>
          <w:szCs w:val="21"/>
        </w:rPr>
        <w:t>4.4.4</w:t>
      </w:r>
      <w:r>
        <w:rPr>
          <w:rFonts w:ascii="SimHei" w:eastAsia="SimHei" w:hAnsi="SimHei" w:cs="SimHei"/>
          <w:spacing w:val="-5"/>
          <w:sz w:val="21"/>
          <w:szCs w:val="21"/>
        </w:rPr>
        <w:t xml:space="preserve">  </w:t>
      </w:r>
      <w:r>
        <w:rPr>
          <w:rFonts w:ascii="SimHei" w:eastAsia="SimHei" w:hAnsi="SimHei" w:cs="SimHei"/>
          <w:b/>
          <w:bCs/>
          <w:spacing w:val="-5"/>
          <w:sz w:val="21"/>
          <w:szCs w:val="21"/>
        </w:rPr>
        <w:t>充分论证，公众参与</w:t>
      </w:r>
    </w:p>
    <w:p>
      <w:pPr>
        <w:pStyle w:val="BodyText"/>
        <w:spacing w:before="159" w:line="231" w:lineRule="auto"/>
        <w:ind w:right="18" w:firstLine="419"/>
        <w:jc w:val="both"/>
      </w:pPr>
      <w:r>
        <w:rPr>
          <w:spacing w:val="-1"/>
        </w:rPr>
        <w:t>坚持行政逻辑与技术逻辑相结合，广泛征求专家学者、企事</w:t>
      </w:r>
      <w:r>
        <w:rPr>
          <w:spacing w:val="-2"/>
        </w:rPr>
        <w:t>业单位、社团组织、社会公众等意见，</w:t>
      </w:r>
      <w:r>
        <w:t xml:space="preserve"> </w:t>
      </w:r>
      <w:r>
        <w:rPr>
          <w:spacing w:val="-3"/>
        </w:rPr>
        <w:t>在规划编制的各阶段充分论证，确保生态修复方案合理科学，积极探索建立健全政府主导、企业和社会</w:t>
      </w:r>
      <w:r>
        <w:rPr>
          <w:spacing w:val="12"/>
        </w:rPr>
        <w:t xml:space="preserve"> </w:t>
      </w:r>
      <w:r>
        <w:rPr>
          <w:spacing w:val="-2"/>
        </w:rPr>
        <w:t>各界参与的生态修复工程项目实施机制和生态产品价值实现机制。</w:t>
      </w:r>
    </w:p>
    <w:p>
      <w:pPr>
        <w:spacing w:before="159" w:line="221" w:lineRule="auto"/>
        <w:ind w:left="3"/>
        <w:outlineLvl w:val="0"/>
        <w:rPr>
          <w:rFonts w:ascii="SimHei" w:eastAsia="SimHei" w:hAnsi="SimHei" w:cs="SimHei"/>
          <w:sz w:val="21"/>
          <w:szCs w:val="21"/>
        </w:rPr>
      </w:pPr>
      <w:r>
        <w:rPr>
          <w:rFonts w:ascii="SimHei" w:eastAsia="SimHei" w:hAnsi="SimHei" w:cs="SimHei"/>
          <w:b/>
          <w:bCs/>
          <w:spacing w:val="-4"/>
          <w:sz w:val="21"/>
          <w:szCs w:val="21"/>
        </w:rPr>
        <w:t>4.5</w:t>
      </w:r>
      <w:r>
        <w:rPr>
          <w:rFonts w:ascii="SimHei" w:eastAsia="SimHei" w:hAnsi="SimHei" w:cs="SimHei"/>
          <w:spacing w:val="86"/>
          <w:sz w:val="21"/>
          <w:szCs w:val="21"/>
        </w:rPr>
        <w:t xml:space="preserve"> </w:t>
      </w:r>
      <w:r>
        <w:rPr>
          <w:rFonts w:ascii="SimHei" w:eastAsia="SimHei" w:hAnsi="SimHei" w:cs="SimHei"/>
          <w:b/>
          <w:bCs/>
          <w:spacing w:val="-4"/>
          <w:sz w:val="21"/>
          <w:szCs w:val="21"/>
        </w:rPr>
        <w:t>编制依据</w:t>
      </w:r>
    </w:p>
    <w:p>
      <w:pPr>
        <w:pStyle w:val="BodyText"/>
        <w:spacing w:before="134" w:line="208" w:lineRule="auto"/>
        <w:ind w:left="419"/>
      </w:pPr>
      <w:r>
        <w:rPr>
          <w:spacing w:val="-5"/>
        </w:rPr>
        <w:t>编制依据包括以下几个方面：</w:t>
      </w:r>
    </w:p>
    <w:p>
      <w:pPr>
        <w:pStyle w:val="BodyText"/>
        <w:spacing w:line="212" w:lineRule="auto"/>
        <w:ind w:left="419"/>
      </w:pPr>
      <w:r>
        <w:rPr>
          <w:rFonts w:ascii="Times New Roman" w:eastAsia="Times New Roman" w:hAnsi="Times New Roman" w:cs="Times New Roman"/>
          <w:spacing w:val="-3"/>
        </w:rPr>
        <w:t xml:space="preserve">a)     </w:t>
      </w:r>
      <w:r>
        <w:rPr>
          <w:spacing w:val="-3"/>
        </w:rPr>
        <w:t>生态修复相关法律法规，政策文件；</w:t>
      </w:r>
    </w:p>
    <w:p>
      <w:pPr>
        <w:pStyle w:val="BodyText"/>
        <w:spacing w:before="72" w:line="219" w:lineRule="auto"/>
        <w:ind w:left="419"/>
      </w:pPr>
      <w:r>
        <w:rPr>
          <w:spacing w:val="-3"/>
        </w:rPr>
        <w:t>b)  国家和区域重大发展战略，以及所在省(区、市)相关重</w:t>
      </w:r>
      <w:r>
        <w:rPr>
          <w:spacing w:val="-4"/>
        </w:rPr>
        <w:t>大战略；</w:t>
      </w:r>
    </w:p>
    <w:p>
      <w:pPr>
        <w:spacing w:line="219" w:lineRule="auto"/>
        <w:sectPr>
          <w:headerReference w:type="default" r:id="rId19"/>
          <w:footerReference w:type="default" r:id="rId20"/>
          <w:type w:val="nextPage"/>
          <w:pgSz w:w="11910" w:h="16840"/>
          <w:pgMar w:top="400" w:right="1099" w:bottom="1305" w:left="1400" w:header="0" w:footer="1156" w:gutter="0"/>
          <w:pgNumType w:start="6"/>
          <w:cols w:space="708"/>
          <w:titlePg w:val="0"/>
        </w:sectPr>
      </w:pPr>
    </w:p>
    <w:p>
      <w:pPr>
        <w:pStyle w:val="BodyText"/>
        <w:spacing w:before="298" w:line="233" w:lineRule="auto"/>
        <w:ind w:left="854" w:right="74" w:hanging="420"/>
      </w:pPr>
      <w:r>
        <w:rPr>
          <w:rFonts w:ascii="Times New Roman" w:eastAsia="Times New Roman" w:hAnsi="Times New Roman" w:cs="Times New Roman"/>
          <w:spacing w:val="-2"/>
        </w:rPr>
        <w:t xml:space="preserve">c)     </w:t>
      </w:r>
      <w:r>
        <w:rPr>
          <w:spacing w:val="-2"/>
        </w:rPr>
        <w:t>全国重要生态系统保护和修复重大工程总体规划及其专项建设</w:t>
      </w:r>
      <w:r>
        <w:rPr>
          <w:spacing w:val="-3"/>
        </w:rPr>
        <w:t>规划，省级国土空间规划、生态</w:t>
      </w:r>
      <w:r>
        <w:t xml:space="preserve"> </w:t>
      </w:r>
      <w:r>
        <w:rPr>
          <w:spacing w:val="-3"/>
        </w:rPr>
        <w:t>修复规划及其相关区域发展规划，市县级国土空间总体规划、国民经济和社会发展规划及其他</w:t>
      </w:r>
      <w:r>
        <w:rPr>
          <w:spacing w:val="18"/>
        </w:rPr>
        <w:t xml:space="preserve"> </w:t>
      </w:r>
      <w:r>
        <w:rPr>
          <w:spacing w:val="-1"/>
        </w:rPr>
        <w:t>相关规划等；</w:t>
      </w:r>
    </w:p>
    <w:p>
      <w:pPr>
        <w:pStyle w:val="BodyText"/>
        <w:spacing w:before="22" w:line="214" w:lineRule="auto"/>
        <w:ind w:left="434"/>
      </w:pPr>
      <w:r>
        <w:rPr>
          <w:rFonts w:ascii="Times New Roman" w:eastAsia="Times New Roman" w:hAnsi="Times New Roman" w:cs="Times New Roman"/>
          <w:spacing w:val="-1"/>
        </w:rPr>
        <w:t>d)</w:t>
      </w:r>
      <w:r>
        <w:rPr>
          <w:rFonts w:ascii="Times New Roman" w:eastAsia="Times New Roman" w:hAnsi="Times New Roman" w:cs="Times New Roman"/>
          <w:spacing w:val="12"/>
        </w:rPr>
        <w:t xml:space="preserve">    </w:t>
      </w:r>
      <w:r>
        <w:rPr>
          <w:spacing w:val="-1"/>
        </w:rPr>
        <w:t>有关国家、地方和行业标准规范。</w:t>
      </w:r>
    </w:p>
    <w:p>
      <w:pPr>
        <w:spacing w:before="148" w:line="219" w:lineRule="auto"/>
        <w:rPr>
          <w:rFonts w:ascii="SimHei" w:eastAsia="SimHei" w:hAnsi="SimHei" w:cs="SimHei"/>
          <w:sz w:val="21"/>
          <w:szCs w:val="21"/>
        </w:rPr>
      </w:pPr>
      <w:r>
        <w:rPr>
          <w:rFonts w:ascii="SimHei" w:eastAsia="SimHei" w:hAnsi="SimHei" w:cs="SimHei"/>
          <w:sz w:val="21"/>
          <w:szCs w:val="21"/>
        </w:rPr>
        <w:drawing>
          <wp:inline distT="0" distB="0" distL="0" distR="0">
            <wp:extent cx="202691" cy="10058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1"/>
                    <a:stretch>
                      <a:fillRect/>
                    </a:stretch>
                  </pic:blipFill>
                  <pic:spPr>
                    <a:xfrm>
                      <a:off x="0" y="0"/>
                      <a:ext cx="202691" cy="100583"/>
                    </a:xfrm>
                    <a:prstGeom prst="rect">
                      <a:avLst/>
                    </a:prstGeom>
                  </pic:spPr>
                </pic:pic>
              </a:graphicData>
            </a:graphic>
          </wp:inline>
        </w:drawing>
      </w:r>
      <w:r>
        <w:rPr>
          <w:rFonts w:ascii="SimHei" w:eastAsia="SimHei" w:hAnsi="SimHei" w:cs="SimHei"/>
          <w:spacing w:val="2"/>
          <w:sz w:val="21"/>
          <w:szCs w:val="21"/>
        </w:rPr>
        <w:t xml:space="preserve">  </w:t>
      </w:r>
      <w:r>
        <w:rPr>
          <w:rFonts w:ascii="SimHei" w:eastAsia="SimHei" w:hAnsi="SimHei" w:cs="SimHei"/>
          <w:spacing w:val="-1"/>
          <w:sz w:val="21"/>
          <w:szCs w:val="21"/>
        </w:rPr>
        <w:t>编制程序</w:t>
      </w:r>
    </w:p>
    <w:p>
      <w:pPr>
        <w:pStyle w:val="BodyText"/>
        <w:spacing w:before="144" w:line="219" w:lineRule="auto"/>
        <w:ind w:left="432"/>
      </w:pPr>
      <w:r>
        <w:t>编制程序宜包括准备工作、分析评价、规划编制、论证报批等，具体技术流程参见</w:t>
      </w:r>
      <w:r>
        <w:rPr>
          <w:spacing w:val="-1"/>
        </w:rPr>
        <w:t>附录</w:t>
      </w:r>
      <w:r>
        <w:rPr>
          <w:rFonts w:ascii="Times New Roman" w:eastAsia="Times New Roman" w:hAnsi="Times New Roman" w:cs="Times New Roman"/>
          <w:spacing w:val="-1"/>
        </w:rPr>
        <w:t>A</w:t>
      </w:r>
      <w:r>
        <w:rPr>
          <w:spacing w:val="-1"/>
        </w:rPr>
        <w:t>。</w:t>
      </w:r>
    </w:p>
    <w:p>
      <w:pPr>
        <w:spacing w:before="141" w:line="220" w:lineRule="auto"/>
        <w:rPr>
          <w:rFonts w:ascii="SimHei" w:eastAsia="SimHei" w:hAnsi="SimHei" w:cs="SimHei"/>
          <w:sz w:val="21"/>
          <w:szCs w:val="21"/>
        </w:rPr>
      </w:pPr>
      <w:r>
        <w:rPr>
          <w:rFonts w:ascii="SimHei" w:eastAsia="SimHei" w:hAnsi="SimHei" w:cs="SimHei"/>
          <w:sz w:val="21"/>
          <w:szCs w:val="21"/>
        </w:rPr>
        <w:drawing>
          <wp:inline distT="0" distB="0" distL="0" distR="0">
            <wp:extent cx="201167" cy="9905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2"/>
                    <a:stretch>
                      <a:fillRect/>
                    </a:stretch>
                  </pic:blipFill>
                  <pic:spPr>
                    <a:xfrm>
                      <a:off x="0" y="0"/>
                      <a:ext cx="201167" cy="99059"/>
                    </a:xfrm>
                    <a:prstGeom prst="rect">
                      <a:avLst/>
                    </a:prstGeom>
                  </pic:spPr>
                </pic:pic>
              </a:graphicData>
            </a:graphic>
          </wp:inline>
        </w:drawing>
      </w:r>
      <w:r>
        <w:rPr>
          <w:rFonts w:ascii="SimHei" w:eastAsia="SimHei" w:hAnsi="SimHei" w:cs="SimHei"/>
          <w:spacing w:val="5"/>
          <w:sz w:val="21"/>
          <w:szCs w:val="21"/>
        </w:rPr>
        <w:t xml:space="preserve">  </w:t>
      </w:r>
      <w:r>
        <w:rPr>
          <w:rFonts w:ascii="SimHei" w:eastAsia="SimHei" w:hAnsi="SimHei" w:cs="SimHei"/>
          <w:spacing w:val="-2"/>
          <w:sz w:val="21"/>
          <w:szCs w:val="21"/>
        </w:rPr>
        <w:t>成果建议</w:t>
      </w:r>
    </w:p>
    <w:p>
      <w:pPr>
        <w:pStyle w:val="BodyText"/>
        <w:spacing w:before="145" w:line="234" w:lineRule="auto"/>
        <w:ind w:left="15" w:right="74" w:firstLine="415"/>
        <w:jc w:val="both"/>
      </w:pPr>
      <w:r>
        <w:rPr>
          <w:spacing w:val="-2"/>
        </w:rPr>
        <w:t>根据市县级国土空间总体规划确定的生态修复总体思路、目标任务</w:t>
      </w:r>
      <w:r>
        <w:rPr>
          <w:spacing w:val="-3"/>
        </w:rPr>
        <w:t>、总体布局，细化形成统筹和科</w:t>
      </w:r>
      <w:r>
        <w:t xml:space="preserve"> </w:t>
      </w:r>
      <w:r>
        <w:rPr>
          <w:spacing w:val="-5"/>
        </w:rPr>
        <w:t>学推进国土空间生态修复的目标任务、修复布局、项目安排、时序安排、资金测算、政策措施等， 形成</w:t>
      </w:r>
      <w:r>
        <w:rPr>
          <w:spacing w:val="17"/>
        </w:rPr>
        <w:t xml:space="preserve"> </w:t>
      </w:r>
      <w:r>
        <w:rPr>
          <w:spacing w:val="-2"/>
        </w:rPr>
        <w:t>市县级国土空间生态修复规划文本、说明、图件、专题研究报告</w:t>
      </w:r>
      <w:r>
        <w:rPr>
          <w:spacing w:val="-3"/>
        </w:rPr>
        <w:t>、数据库及其他材料等成果，具体参见</w:t>
      </w:r>
      <w:r>
        <w:t xml:space="preserve"> </w:t>
      </w:r>
      <w:r>
        <w:rPr>
          <w:spacing w:val="-3"/>
        </w:rPr>
        <w:t>附录</w:t>
      </w:r>
      <w:r>
        <w:rPr>
          <w:rFonts w:ascii="Times New Roman" w:eastAsia="Times New Roman" w:hAnsi="Times New Roman" w:cs="Times New Roman"/>
          <w:spacing w:val="-3"/>
        </w:rPr>
        <w:t>B</w:t>
      </w:r>
      <w:r>
        <w:rPr>
          <w:spacing w:val="-3"/>
        </w:rPr>
        <w:t>。</w:t>
      </w:r>
    </w:p>
    <w:p>
      <w:pPr>
        <w:spacing w:before="264" w:line="220" w:lineRule="auto"/>
        <w:ind w:left="6"/>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1"/>
          <w:sz w:val="21"/>
          <w:szCs w:val="21"/>
        </w:rPr>
        <w:t xml:space="preserve">  </w:t>
      </w:r>
      <w:r>
        <w:rPr>
          <w:rFonts w:ascii="SimHei" w:eastAsia="SimHei" w:hAnsi="SimHei" w:cs="SimHei"/>
          <w:spacing w:val="-1"/>
          <w:sz w:val="21"/>
          <w:szCs w:val="21"/>
        </w:rPr>
        <w:t>准备工作</w:t>
      </w:r>
    </w:p>
    <w:p>
      <w:pPr>
        <w:spacing w:before="260" w:line="221" w:lineRule="auto"/>
        <w:rPr>
          <w:rFonts w:ascii="SimHei" w:eastAsia="SimHei" w:hAnsi="SimHei" w:cs="SimHei"/>
          <w:sz w:val="21"/>
          <w:szCs w:val="21"/>
        </w:rPr>
      </w:pPr>
      <w:r>
        <w:rPr>
          <w:rFonts w:ascii="SimHei" w:eastAsia="SimHei" w:hAnsi="SimHei" w:cs="SimHei"/>
          <w:sz w:val="21"/>
          <w:szCs w:val="21"/>
        </w:rPr>
        <w:drawing>
          <wp:inline distT="0" distB="0" distL="0" distR="0">
            <wp:extent cx="179832" cy="100583"/>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3"/>
                    <a:stretch>
                      <a:fillRect/>
                    </a:stretch>
                  </pic:blipFill>
                  <pic:spPr>
                    <a:xfrm>
                      <a:off x="0" y="0"/>
                      <a:ext cx="179832" cy="100583"/>
                    </a:xfrm>
                    <a:prstGeom prst="rect">
                      <a:avLst/>
                    </a:prstGeom>
                  </pic:spPr>
                </pic:pic>
              </a:graphicData>
            </a:graphic>
          </wp:inline>
        </w:drawing>
      </w:r>
      <w:r>
        <w:rPr>
          <w:rFonts w:ascii="SimHei" w:eastAsia="SimHei" w:hAnsi="SimHei" w:cs="SimHei"/>
          <w:spacing w:val="21"/>
          <w:sz w:val="21"/>
          <w:szCs w:val="21"/>
        </w:rPr>
        <w:t xml:space="preserve">  </w:t>
      </w:r>
      <w:r>
        <w:rPr>
          <w:rFonts w:ascii="SimHei" w:eastAsia="SimHei" w:hAnsi="SimHei" w:cs="SimHei"/>
          <w:spacing w:val="-1"/>
          <w:sz w:val="21"/>
          <w:szCs w:val="21"/>
        </w:rPr>
        <w:t>组织准备</w:t>
      </w:r>
    </w:p>
    <w:p>
      <w:pPr>
        <w:spacing w:before="143" w:line="221" w:lineRule="auto"/>
        <w:ind w:left="8"/>
        <w:rPr>
          <w:rFonts w:ascii="SimHei" w:eastAsia="SimHei" w:hAnsi="SimHei" w:cs="SimHei"/>
          <w:sz w:val="21"/>
          <w:szCs w:val="21"/>
        </w:rPr>
      </w:pPr>
      <w:r>
        <w:rPr>
          <w:rFonts w:ascii="SimHei" w:eastAsia="SimHei" w:hAnsi="SimHei" w:cs="SimHei"/>
          <w:spacing w:val="-1"/>
          <w:sz w:val="21"/>
          <w:szCs w:val="21"/>
        </w:rPr>
        <w:t>5.1.1</w:t>
      </w:r>
      <w:r>
        <w:rPr>
          <w:rFonts w:ascii="SimHei" w:eastAsia="SimHei" w:hAnsi="SimHei" w:cs="SimHei"/>
          <w:spacing w:val="-1"/>
          <w:sz w:val="21"/>
          <w:szCs w:val="21"/>
        </w:rPr>
        <w:t xml:space="preserve">  </w:t>
      </w:r>
      <w:r>
        <w:rPr>
          <w:rFonts w:ascii="SimHei" w:eastAsia="SimHei" w:hAnsi="SimHei" w:cs="SimHei"/>
          <w:spacing w:val="-1"/>
          <w:sz w:val="21"/>
          <w:szCs w:val="21"/>
        </w:rPr>
        <w:t>建立协调机制</w:t>
      </w:r>
    </w:p>
    <w:p>
      <w:pPr>
        <w:pStyle w:val="BodyText"/>
        <w:spacing w:before="141" w:line="229" w:lineRule="auto"/>
        <w:ind w:left="17" w:firstLine="414"/>
      </w:pPr>
      <w:r>
        <w:rPr>
          <w:spacing w:val="-5"/>
        </w:rPr>
        <w:t>协调解决规划编制中的重大问题是十分必要的，宜建立规划编</w:t>
      </w:r>
      <w:r>
        <w:rPr>
          <w:spacing w:val="-6"/>
        </w:rPr>
        <w:t>制工作协调机制，负责审定工作计划、</w:t>
      </w:r>
      <w:r>
        <w:t xml:space="preserve"> </w:t>
      </w:r>
      <w:r>
        <w:rPr>
          <w:spacing w:val="-4"/>
        </w:rPr>
        <w:t>审查规划方案、落实相关经费， 及时协调解决规划编制中的重大问题。</w:t>
      </w:r>
    </w:p>
    <w:p>
      <w:pPr>
        <w:spacing w:before="143" w:line="219" w:lineRule="auto"/>
        <w:ind w:left="8"/>
        <w:rPr>
          <w:rFonts w:ascii="SimHei" w:eastAsia="SimHei" w:hAnsi="SimHei" w:cs="SimHei"/>
          <w:sz w:val="21"/>
          <w:szCs w:val="21"/>
        </w:rPr>
      </w:pPr>
      <w:r>
        <w:rPr>
          <w:rFonts w:ascii="SimHei" w:eastAsia="SimHei" w:hAnsi="SimHei" w:cs="SimHei"/>
          <w:spacing w:val="-1"/>
          <w:sz w:val="21"/>
          <w:szCs w:val="21"/>
        </w:rPr>
        <w:t>5.1.2</w:t>
      </w:r>
      <w:r>
        <w:rPr>
          <w:rFonts w:ascii="SimHei" w:eastAsia="SimHei" w:hAnsi="SimHei" w:cs="SimHei"/>
          <w:spacing w:val="-1"/>
          <w:sz w:val="21"/>
          <w:szCs w:val="21"/>
        </w:rPr>
        <w:t xml:space="preserve">  </w:t>
      </w:r>
      <w:r>
        <w:rPr>
          <w:rFonts w:ascii="SimHei" w:eastAsia="SimHei" w:hAnsi="SimHei" w:cs="SimHei"/>
          <w:spacing w:val="-1"/>
          <w:sz w:val="21"/>
          <w:szCs w:val="21"/>
        </w:rPr>
        <w:t>组建编制团队</w:t>
      </w:r>
    </w:p>
    <w:p>
      <w:pPr>
        <w:pStyle w:val="BodyText"/>
        <w:spacing w:before="142" w:line="230" w:lineRule="auto"/>
        <w:ind w:left="13" w:right="74" w:firstLine="418"/>
      </w:pPr>
      <w:r>
        <w:rPr>
          <w:spacing w:val="-2"/>
        </w:rPr>
        <w:t>规划涵盖生态、地理、土地、环境、地质、水利、农业、海洋</w:t>
      </w:r>
      <w:r>
        <w:rPr>
          <w:spacing w:val="-3"/>
        </w:rPr>
        <w:t>、林草、遥感及规划等专业领域，宜</w:t>
      </w:r>
      <w:r>
        <w:t xml:space="preserve"> </w:t>
      </w:r>
      <w:r>
        <w:rPr>
          <w:spacing w:val="-4"/>
        </w:rPr>
        <w:t>组建规划编制工作团队， 负责方案制定、调查分析、专题研究、成果编制等工作。</w:t>
      </w:r>
    </w:p>
    <w:p>
      <w:pPr>
        <w:spacing w:before="141" w:line="221" w:lineRule="auto"/>
        <w:rPr>
          <w:rFonts w:ascii="SimHei" w:eastAsia="SimHei" w:hAnsi="SimHei" w:cs="SimHei"/>
          <w:sz w:val="21"/>
          <w:szCs w:val="21"/>
        </w:rPr>
      </w:pPr>
      <w:r>
        <w:rPr>
          <w:rFonts w:ascii="SimHei" w:eastAsia="SimHei" w:hAnsi="SimHei" w:cs="SimHei"/>
          <w:sz w:val="21"/>
          <w:szCs w:val="21"/>
        </w:rPr>
        <w:drawing>
          <wp:inline distT="0" distB="0" distL="0" distR="0">
            <wp:extent cx="198119" cy="10058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4"/>
                    <a:stretch>
                      <a:fillRect/>
                    </a:stretch>
                  </pic:blipFill>
                  <pic:spPr>
                    <a:xfrm>
                      <a:off x="0" y="0"/>
                      <a:ext cx="198119" cy="100584"/>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2"/>
          <w:sz w:val="21"/>
          <w:szCs w:val="21"/>
        </w:rPr>
        <w:t>技术准备</w:t>
      </w:r>
    </w:p>
    <w:p>
      <w:pPr>
        <w:spacing w:before="143" w:line="219" w:lineRule="auto"/>
        <w:ind w:left="6"/>
        <w:rPr>
          <w:rFonts w:ascii="SimHei" w:eastAsia="SimHei" w:hAnsi="SimHei" w:cs="SimHei"/>
          <w:sz w:val="21"/>
          <w:szCs w:val="21"/>
        </w:rPr>
      </w:pPr>
      <w:r>
        <w:rPr>
          <w:rFonts w:ascii="SimHei" w:eastAsia="SimHei" w:hAnsi="SimHei" w:cs="SimHei"/>
          <w:spacing w:val="-1"/>
          <w:sz w:val="21"/>
          <w:szCs w:val="21"/>
        </w:rPr>
        <w:t>5.2.1</w:t>
      </w:r>
      <w:r>
        <w:rPr>
          <w:rFonts w:ascii="SimHei" w:eastAsia="SimHei" w:hAnsi="SimHei" w:cs="SimHei"/>
          <w:spacing w:val="-1"/>
          <w:sz w:val="21"/>
          <w:szCs w:val="21"/>
        </w:rPr>
        <w:t xml:space="preserve">  </w:t>
      </w:r>
      <w:r>
        <w:rPr>
          <w:rFonts w:ascii="SimHei" w:eastAsia="SimHei" w:hAnsi="SimHei" w:cs="SimHei"/>
          <w:spacing w:val="-1"/>
          <w:sz w:val="21"/>
          <w:szCs w:val="21"/>
        </w:rPr>
        <w:t>拟定工作方案</w:t>
      </w:r>
    </w:p>
    <w:p>
      <w:pPr>
        <w:pStyle w:val="BodyText"/>
        <w:spacing w:before="141" w:line="231" w:lineRule="auto"/>
        <w:ind w:left="13" w:firstLine="421"/>
      </w:pPr>
      <w:r>
        <w:rPr>
          <w:spacing w:val="-1"/>
        </w:rPr>
        <w:t>宜包括编制工作的指导思想、基本原则、目标任务、技术路线、专题设置、进度安排、成果建议、</w:t>
      </w:r>
      <w:r>
        <w:rPr>
          <w:spacing w:val="13"/>
        </w:rPr>
        <w:t xml:space="preserve"> </w:t>
      </w:r>
      <w:r>
        <w:rPr>
          <w:spacing w:val="-1"/>
        </w:rPr>
        <w:t>工作组织和经费保障等内容。</w:t>
      </w:r>
    </w:p>
    <w:p>
      <w:pPr>
        <w:spacing w:before="141" w:line="219" w:lineRule="auto"/>
        <w:ind w:left="6"/>
        <w:rPr>
          <w:rFonts w:ascii="SimHei" w:eastAsia="SimHei" w:hAnsi="SimHei" w:cs="SimHei"/>
          <w:sz w:val="21"/>
          <w:szCs w:val="21"/>
        </w:rPr>
      </w:pPr>
      <w:r>
        <w:rPr>
          <w:rFonts w:ascii="SimHei" w:eastAsia="SimHei" w:hAnsi="SimHei" w:cs="SimHei"/>
          <w:spacing w:val="-1"/>
          <w:sz w:val="21"/>
          <w:szCs w:val="21"/>
        </w:rPr>
        <w:t>5.2.2</w:t>
      </w:r>
      <w:r>
        <w:rPr>
          <w:rFonts w:ascii="SimHei" w:eastAsia="SimHei" w:hAnsi="SimHei" w:cs="SimHei"/>
          <w:spacing w:val="-1"/>
          <w:sz w:val="21"/>
          <w:szCs w:val="21"/>
        </w:rPr>
        <w:t xml:space="preserve">  </w:t>
      </w:r>
      <w:r>
        <w:rPr>
          <w:rFonts w:ascii="SimHei" w:eastAsia="SimHei" w:hAnsi="SimHei" w:cs="SimHei"/>
          <w:spacing w:val="-1"/>
          <w:sz w:val="21"/>
          <w:szCs w:val="21"/>
        </w:rPr>
        <w:t>收集基础资料</w:t>
      </w:r>
    </w:p>
    <w:p>
      <w:pPr>
        <w:spacing w:before="144" w:line="219" w:lineRule="auto"/>
        <w:ind w:left="6"/>
        <w:rPr>
          <w:rFonts w:ascii="SimHei" w:eastAsia="SimHei" w:hAnsi="SimHei" w:cs="SimHei"/>
          <w:sz w:val="21"/>
          <w:szCs w:val="21"/>
        </w:rPr>
      </w:pPr>
      <w:hyperlink r:id="rId25" w:history="1">
        <w:r>
          <w:rPr>
            <w:rFonts w:ascii="SimHei" w:eastAsia="SimHei" w:hAnsi="SimHei" w:cs="SimHei"/>
            <w:spacing w:val="-3"/>
            <w:sz w:val="21"/>
            <w:szCs w:val="21"/>
          </w:rPr>
          <w:t>5.2.2.1</w:t>
        </w:r>
      </w:hyperlink>
      <w:r>
        <w:rPr>
          <w:rFonts w:ascii="SimHei" w:eastAsia="SimHei" w:hAnsi="SimHei" w:cs="SimHei"/>
          <w:spacing w:val="22"/>
          <w:sz w:val="21"/>
          <w:szCs w:val="21"/>
        </w:rPr>
        <w:t xml:space="preserve">  </w:t>
      </w:r>
      <w:r>
        <w:rPr>
          <w:rFonts w:ascii="SimHei" w:eastAsia="SimHei" w:hAnsi="SimHei" w:cs="SimHei"/>
          <w:spacing w:val="-3"/>
          <w:sz w:val="21"/>
          <w:szCs w:val="21"/>
        </w:rPr>
        <w:t>自然资源本底数据</w:t>
      </w:r>
    </w:p>
    <w:p>
      <w:pPr>
        <w:pStyle w:val="BodyText"/>
        <w:spacing w:before="142" w:line="230" w:lineRule="auto"/>
        <w:ind w:left="13" w:right="74" w:firstLine="417"/>
      </w:pPr>
      <w:r>
        <w:rPr>
          <w:spacing w:val="-7"/>
        </w:rPr>
        <w:t>包括最新全国国土调查成果，</w:t>
      </w:r>
      <w:r>
        <w:rPr>
          <w:spacing w:val="-44"/>
        </w:rPr>
        <w:t xml:space="preserve"> </w:t>
      </w:r>
      <w:r>
        <w:rPr>
          <w:spacing w:val="-7"/>
        </w:rPr>
        <w:t>年度国土变更调查数据， 自然资</w:t>
      </w:r>
      <w:r>
        <w:rPr>
          <w:spacing w:val="-8"/>
        </w:rPr>
        <w:t>源监测数据，</w:t>
      </w:r>
      <w:r>
        <w:rPr>
          <w:spacing w:val="-48"/>
        </w:rPr>
        <w:t xml:space="preserve"> </w:t>
      </w:r>
      <w:r>
        <w:rPr>
          <w:spacing w:val="-8"/>
        </w:rPr>
        <w:t>基础测绘数据，土壤普</w:t>
      </w:r>
      <w:r>
        <w:t xml:space="preserve"> </w:t>
      </w:r>
      <w:r>
        <w:rPr>
          <w:spacing w:val="-1"/>
        </w:rPr>
        <w:t>查数据，以及地形地貌、地质、气候、水文、矿产等自然地理基础条件等数据。</w:t>
      </w:r>
    </w:p>
    <w:p>
      <w:pPr>
        <w:spacing w:before="142" w:line="219" w:lineRule="auto"/>
        <w:ind w:left="6"/>
        <w:rPr>
          <w:rFonts w:ascii="SimHei" w:eastAsia="SimHei" w:hAnsi="SimHei" w:cs="SimHei"/>
          <w:sz w:val="21"/>
          <w:szCs w:val="21"/>
        </w:rPr>
      </w:pPr>
      <w:hyperlink r:id="rId26" w:history="1">
        <w:r>
          <w:rPr>
            <w:rFonts w:ascii="SimHei" w:eastAsia="SimHei" w:hAnsi="SimHei" w:cs="SimHei"/>
            <w:sz w:val="21"/>
            <w:szCs w:val="21"/>
          </w:rPr>
          <w:t>5.2.2.2</w:t>
        </w:r>
      </w:hyperlink>
      <w:r>
        <w:rPr>
          <w:rFonts w:ascii="SimHei" w:eastAsia="SimHei" w:hAnsi="SimHei" w:cs="SimHei"/>
          <w:sz w:val="21"/>
          <w:szCs w:val="21"/>
        </w:rPr>
        <w:t xml:space="preserve">  </w:t>
      </w:r>
      <w:r>
        <w:rPr>
          <w:rFonts w:ascii="SimHei" w:eastAsia="SimHei" w:hAnsi="SimHei" w:cs="SimHei"/>
          <w:sz w:val="21"/>
          <w:szCs w:val="21"/>
        </w:rPr>
        <w:t>生态系统本底数据</w:t>
      </w:r>
    </w:p>
    <w:p>
      <w:pPr>
        <w:pStyle w:val="BodyText"/>
        <w:spacing w:before="145" w:line="233" w:lineRule="auto"/>
        <w:ind w:left="13" w:firstLine="417"/>
        <w:jc w:val="both"/>
      </w:pPr>
      <w:r>
        <w:rPr>
          <w:spacing w:val="-3"/>
        </w:rPr>
        <w:t>包括历史多期主要生态系统调查监测数据， 以及生物多样性、水土流失、矿山地质环境、石漠化、</w:t>
      </w:r>
      <w:r>
        <w:t xml:space="preserve"> </w:t>
      </w:r>
      <w:r>
        <w:rPr>
          <w:spacing w:val="1"/>
        </w:rPr>
        <w:t>荒漠化</w:t>
      </w:r>
      <w:r>
        <w:rPr>
          <w:rFonts w:ascii="Times New Roman" w:eastAsia="Times New Roman" w:hAnsi="Times New Roman" w:cs="Times New Roman"/>
          <w:spacing w:val="1"/>
        </w:rPr>
        <w:t>/</w:t>
      </w:r>
      <w:r>
        <w:rPr>
          <w:spacing w:val="1"/>
        </w:rPr>
        <w:t>沙漠化、冰川、海岸带和海岛海域等专项调查与研究成果等数据、生态环境监</w:t>
      </w:r>
      <w:r>
        <w:t xml:space="preserve">测数据、生态系 </w:t>
      </w:r>
      <w:r>
        <w:rPr>
          <w:spacing w:val="-2"/>
        </w:rPr>
        <w:t>统碳汇调查监测数据、地质灾害普查数据等，</w:t>
      </w:r>
      <w:r>
        <w:rPr>
          <w:spacing w:val="-23"/>
        </w:rPr>
        <w:t xml:space="preserve"> </w:t>
      </w:r>
      <w:r>
        <w:rPr>
          <w:spacing w:val="-2"/>
        </w:rPr>
        <w:t>根据实际需要可有针对性</w:t>
      </w:r>
      <w:r>
        <w:rPr>
          <w:spacing w:val="-3"/>
        </w:rPr>
        <w:t>的开展补充调查。</w:t>
      </w:r>
    </w:p>
    <w:p>
      <w:pPr>
        <w:spacing w:before="140" w:line="220" w:lineRule="auto"/>
        <w:ind w:left="6"/>
        <w:rPr>
          <w:rFonts w:ascii="SimHei" w:eastAsia="SimHei" w:hAnsi="SimHei" w:cs="SimHei"/>
          <w:sz w:val="21"/>
          <w:szCs w:val="21"/>
        </w:rPr>
      </w:pPr>
      <w:hyperlink r:id="rId27" w:history="1">
        <w:r>
          <w:rPr>
            <w:rFonts w:ascii="SimHei" w:eastAsia="SimHei" w:hAnsi="SimHei" w:cs="SimHei"/>
            <w:sz w:val="21"/>
            <w:szCs w:val="21"/>
          </w:rPr>
          <w:t>5.2.2.3</w:t>
        </w:r>
      </w:hyperlink>
      <w:r>
        <w:rPr>
          <w:rFonts w:ascii="SimHei" w:eastAsia="SimHei" w:hAnsi="SimHei" w:cs="SimHei"/>
          <w:sz w:val="21"/>
          <w:szCs w:val="21"/>
        </w:rPr>
        <w:t xml:space="preserve">  </w:t>
      </w:r>
      <w:r>
        <w:rPr>
          <w:rFonts w:ascii="SimHei" w:eastAsia="SimHei" w:hAnsi="SimHei" w:cs="SimHei"/>
          <w:sz w:val="21"/>
          <w:szCs w:val="21"/>
        </w:rPr>
        <w:t>经济社会文化数据</w:t>
      </w:r>
    </w:p>
    <w:p>
      <w:pPr>
        <w:pStyle w:val="BodyText"/>
        <w:spacing w:before="144" w:line="391" w:lineRule="exact"/>
        <w:ind w:left="431"/>
      </w:pPr>
      <w:r>
        <w:rPr>
          <w:spacing w:val="-1"/>
          <w:position w:val="13"/>
        </w:rPr>
        <w:t>包括人口、经济、历史文化、城镇建设、农业发展等基本情况和历史演变数据等。</w:t>
      </w:r>
    </w:p>
    <w:p>
      <w:pPr>
        <w:spacing w:before="1" w:line="220" w:lineRule="auto"/>
        <w:ind w:left="6"/>
        <w:rPr>
          <w:rFonts w:ascii="SimHei" w:eastAsia="SimHei" w:hAnsi="SimHei" w:cs="SimHei"/>
          <w:sz w:val="21"/>
          <w:szCs w:val="21"/>
        </w:rPr>
        <w:sectPr>
          <w:headerReference w:type="default" r:id="rId28"/>
          <w:footerReference w:type="default" r:id="rId29"/>
          <w:pgSz w:w="11907" w:h="16839"/>
          <w:pgMar w:top="1659" w:right="1053" w:bottom="1310" w:left="1416" w:header="1448" w:footer="1133" w:gutter="0"/>
          <w:pgNumType w:start="7"/>
          <w:cols w:space="708"/>
        </w:sectPr>
      </w:pPr>
      <w:hyperlink r:id="rId30" w:history="1">
        <w:r>
          <w:rPr>
            <w:rFonts w:ascii="SimHei" w:eastAsia="SimHei" w:hAnsi="SimHei" w:cs="SimHei"/>
            <w:sz w:val="21"/>
            <w:szCs w:val="21"/>
          </w:rPr>
          <w:t>5.2.2.4</w:t>
        </w:r>
      </w:hyperlink>
      <w:r>
        <w:rPr>
          <w:rFonts w:ascii="SimHei" w:eastAsia="SimHei" w:hAnsi="SimHei" w:cs="SimHei"/>
          <w:sz w:val="21"/>
          <w:szCs w:val="21"/>
        </w:rPr>
        <w:t xml:space="preserve">  </w:t>
      </w:r>
      <w:r>
        <w:rPr>
          <w:rFonts w:ascii="SimHei" w:eastAsia="SimHei" w:hAnsi="SimHei" w:cs="SimHei"/>
          <w:sz w:val="21"/>
          <w:szCs w:val="21"/>
        </w:rPr>
        <w:t>相关规划成果数据</w:t>
      </w:r>
    </w:p>
    <w:p>
      <w:pPr>
        <w:pStyle w:val="BodyText"/>
        <w:spacing w:before="143" w:line="232" w:lineRule="auto"/>
        <w:ind w:left="12" w:right="74" w:firstLine="418"/>
        <w:jc w:val="both"/>
      </w:pPr>
      <w:r>
        <w:rPr>
          <w:spacing w:val="-2"/>
        </w:rPr>
        <w:t>包括国土空间总体规划成果，全国重要生态系统保护和修复重大工</w:t>
      </w:r>
      <w:r>
        <w:rPr>
          <w:spacing w:val="-3"/>
        </w:rPr>
        <w:t>程总体规划及其专项建设规划成</w:t>
      </w:r>
      <w:r>
        <w:t xml:space="preserve"> </w:t>
      </w:r>
      <w:r>
        <w:rPr>
          <w:spacing w:val="-4"/>
        </w:rPr>
        <w:t>果， 自然保护地建设情况，水资源利用与保护</w:t>
      </w:r>
      <w:r>
        <w:rPr>
          <w:spacing w:val="-5"/>
        </w:rPr>
        <w:t>规划成果，林草、矿产、海洋、交通、水利、农业、产业</w:t>
      </w:r>
      <w:r>
        <w:t xml:space="preserve"> </w:t>
      </w:r>
      <w:r>
        <w:rPr>
          <w:spacing w:val="-7"/>
        </w:rPr>
        <w:t>等相关领域规划或成果等，城市更新相关规划成果，村庄规划成果，省级国土空间生态修复规划成果等。</w:t>
      </w:r>
    </w:p>
    <w:p>
      <w:pPr>
        <w:spacing w:before="143" w:line="220" w:lineRule="auto"/>
        <w:ind w:left="6"/>
        <w:rPr>
          <w:rFonts w:ascii="SimHei" w:eastAsia="SimHei" w:hAnsi="SimHei" w:cs="SimHei"/>
          <w:sz w:val="21"/>
          <w:szCs w:val="21"/>
        </w:rPr>
      </w:pPr>
      <w:r>
        <w:rPr>
          <w:rFonts w:ascii="SimHei" w:eastAsia="SimHei" w:hAnsi="SimHei" w:cs="SimHei"/>
          <w:spacing w:val="-1"/>
          <w:sz w:val="21"/>
          <w:szCs w:val="21"/>
        </w:rPr>
        <w:t>5.2.3</w:t>
      </w:r>
      <w:r>
        <w:rPr>
          <w:rFonts w:ascii="SimHei" w:eastAsia="SimHei" w:hAnsi="SimHei" w:cs="SimHei"/>
          <w:spacing w:val="-1"/>
          <w:sz w:val="21"/>
          <w:szCs w:val="21"/>
        </w:rPr>
        <w:t xml:space="preserve">  </w:t>
      </w:r>
      <w:r>
        <w:rPr>
          <w:rFonts w:ascii="SimHei" w:eastAsia="SimHei" w:hAnsi="SimHei" w:cs="SimHei"/>
          <w:spacing w:val="-1"/>
          <w:sz w:val="21"/>
          <w:szCs w:val="21"/>
        </w:rPr>
        <w:t>确定底数底图</w:t>
      </w:r>
    </w:p>
    <w:p>
      <w:pPr>
        <w:spacing w:line="220" w:lineRule="auto"/>
        <w:rPr>
          <w:rFonts w:ascii="SimHei" w:eastAsia="SimHei" w:hAnsi="SimHei" w:cs="SimHei"/>
          <w:sz w:val="21"/>
          <w:szCs w:val="21"/>
        </w:rPr>
        <w:sectPr>
          <w:headerReference w:type="default" r:id="rId31"/>
          <w:footerReference w:type="default" r:id="rId32"/>
          <w:type w:val="nextPage"/>
          <w:pgSz w:w="11907" w:h="16839"/>
          <w:pgMar w:top="1659" w:right="1053" w:bottom="1310" w:left="1416" w:header="1448" w:footer="1133" w:gutter="0"/>
          <w:pgNumType w:start="8"/>
          <w:cols w:space="708"/>
          <w:titlePg w:val="0"/>
        </w:sectPr>
      </w:pPr>
    </w:p>
    <w:p>
      <w:pPr>
        <w:pStyle w:val="BodyText"/>
        <w:spacing w:before="298" w:line="230" w:lineRule="auto"/>
        <w:ind w:left="8" w:right="74" w:firstLine="417"/>
      </w:pPr>
      <w:r>
        <w:rPr>
          <w:spacing w:val="-2"/>
        </w:rPr>
        <w:t>采用规划基准年的年度国土变更调查现状数据作为规划现状底图和</w:t>
      </w:r>
      <w:r>
        <w:rPr>
          <w:spacing w:val="-3"/>
        </w:rPr>
        <w:t>底数基础，以其他各类调查监测</w:t>
      </w:r>
      <w:r>
        <w:t xml:space="preserve"> </w:t>
      </w:r>
      <w:r>
        <w:rPr>
          <w:spacing w:val="-1"/>
        </w:rPr>
        <w:t>成果为补充，统一采用</w:t>
      </w:r>
      <w:r>
        <w:rPr>
          <w:rFonts w:ascii="Times New Roman" w:eastAsia="Times New Roman" w:hAnsi="Times New Roman" w:cs="Times New Roman"/>
          <w:spacing w:val="-1"/>
        </w:rPr>
        <w:t>2000</w:t>
      </w:r>
      <w:r>
        <w:rPr>
          <w:spacing w:val="-1"/>
        </w:rPr>
        <w:t>国家大地坐标系和</w:t>
      </w:r>
      <w:r>
        <w:rPr>
          <w:rFonts w:ascii="Times New Roman" w:eastAsia="Times New Roman" w:hAnsi="Times New Roman" w:cs="Times New Roman"/>
          <w:spacing w:val="-1"/>
        </w:rPr>
        <w:t>1985</w:t>
      </w:r>
      <w:r>
        <w:rPr>
          <w:spacing w:val="-1"/>
        </w:rPr>
        <w:t>国家高程基准作为空间定位基础。</w:t>
      </w:r>
    </w:p>
    <w:p>
      <w:pPr>
        <w:spacing w:before="140" w:line="220" w:lineRule="auto"/>
        <w:ind w:left="1"/>
        <w:rPr>
          <w:rFonts w:ascii="SimHei" w:eastAsia="SimHei" w:hAnsi="SimHei" w:cs="SimHei"/>
          <w:sz w:val="21"/>
          <w:szCs w:val="21"/>
        </w:rPr>
      </w:pPr>
      <w:r>
        <w:rPr>
          <w:rFonts w:ascii="SimHei" w:eastAsia="SimHei" w:hAnsi="SimHei" w:cs="SimHei"/>
          <w:spacing w:val="-1"/>
          <w:sz w:val="21"/>
          <w:szCs w:val="21"/>
        </w:rPr>
        <w:t>5.2.4</w:t>
      </w:r>
      <w:r>
        <w:rPr>
          <w:rFonts w:ascii="SimHei" w:eastAsia="SimHei" w:hAnsi="SimHei" w:cs="SimHei"/>
          <w:spacing w:val="-1"/>
          <w:sz w:val="21"/>
          <w:szCs w:val="21"/>
        </w:rPr>
        <w:t xml:space="preserve">  </w:t>
      </w:r>
      <w:r>
        <w:rPr>
          <w:rFonts w:ascii="SimHei" w:eastAsia="SimHei" w:hAnsi="SimHei" w:cs="SimHei"/>
          <w:spacing w:val="-1"/>
          <w:sz w:val="21"/>
          <w:szCs w:val="21"/>
        </w:rPr>
        <w:t>评估既往工作</w:t>
      </w:r>
    </w:p>
    <w:p>
      <w:pPr>
        <w:pStyle w:val="BodyText"/>
        <w:spacing w:before="142" w:line="233" w:lineRule="auto"/>
        <w:ind w:left="7" w:firstLine="418"/>
        <w:jc w:val="both"/>
      </w:pPr>
      <w:r>
        <w:rPr>
          <w:spacing w:val="-1"/>
        </w:rPr>
        <w:t>对行政区范围内涉及生态修复的各类规划及相关工作（如山水林田湖草沙一体化保护和系统治理、</w:t>
      </w:r>
      <w:r>
        <w:rPr>
          <w:spacing w:val="18"/>
        </w:rPr>
        <w:t xml:space="preserve"> </w:t>
      </w:r>
      <w:r>
        <w:rPr>
          <w:spacing w:val="-2"/>
        </w:rPr>
        <w:t>土地综合整治、国土绿化、自然保护地建设、水土流失与石</w:t>
      </w:r>
      <w:r>
        <w:rPr>
          <w:spacing w:val="-3"/>
        </w:rPr>
        <w:t xml:space="preserve">漠化治理、矿山生态修复、海洋生态保护修 </w:t>
      </w:r>
      <w:r>
        <w:rPr>
          <w:spacing w:val="-4"/>
        </w:rPr>
        <w:t>复等）</w:t>
      </w:r>
      <w:r>
        <w:rPr>
          <w:spacing w:val="-18"/>
        </w:rPr>
        <w:t xml:space="preserve"> </w:t>
      </w:r>
      <w:r>
        <w:rPr>
          <w:spacing w:val="-4"/>
        </w:rPr>
        <w:t>开展情况进行评估，总结实施成效与不足等。</w:t>
      </w:r>
    </w:p>
    <w:p>
      <w:pPr>
        <w:spacing w:before="261" w:line="220" w:lineRule="auto"/>
        <w:ind w:left="5"/>
        <w:rPr>
          <w:rFonts w:ascii="SimHei" w:eastAsia="SimHei" w:hAnsi="SimHei" w:cs="SimHei"/>
          <w:sz w:val="21"/>
          <w:szCs w:val="21"/>
        </w:rPr>
      </w:pPr>
      <w:r>
        <w:rPr>
          <w:rFonts w:ascii="SimHei" w:eastAsia="SimHei" w:hAnsi="SimHei" w:cs="SimHei"/>
          <w:spacing w:val="-4"/>
          <w:sz w:val="21"/>
          <w:szCs w:val="21"/>
        </w:rPr>
        <w:t>6</w:t>
      </w:r>
      <w:r>
        <w:rPr>
          <w:rFonts w:ascii="SimHei" w:eastAsia="SimHei" w:hAnsi="SimHei" w:cs="SimHei"/>
          <w:spacing w:val="7"/>
          <w:sz w:val="21"/>
          <w:szCs w:val="21"/>
        </w:rPr>
        <w:t xml:space="preserve">  </w:t>
      </w:r>
      <w:r>
        <w:rPr>
          <w:rFonts w:ascii="SimHei" w:eastAsia="SimHei" w:hAnsi="SimHei" w:cs="SimHei"/>
          <w:spacing w:val="-4"/>
          <w:sz w:val="21"/>
          <w:szCs w:val="21"/>
        </w:rPr>
        <w:t>分析评价</w:t>
      </w:r>
    </w:p>
    <w:p>
      <w:pPr>
        <w:spacing w:before="264" w:line="219" w:lineRule="auto"/>
        <w:rPr>
          <w:rFonts w:ascii="SimHei" w:eastAsia="SimHei" w:hAnsi="SimHei" w:cs="SimHei"/>
          <w:sz w:val="21"/>
          <w:szCs w:val="21"/>
        </w:rPr>
      </w:pPr>
      <w:r>
        <w:rPr>
          <w:rFonts w:ascii="SimHei" w:eastAsia="SimHei" w:hAnsi="SimHei" w:cs="SimHei"/>
          <w:sz w:val="21"/>
          <w:szCs w:val="21"/>
        </w:rPr>
        <w:drawing>
          <wp:inline distT="0" distB="0" distL="0" distR="0">
            <wp:extent cx="176783" cy="100583"/>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33"/>
                    <a:stretch>
                      <a:fillRect/>
                    </a:stretch>
                  </pic:blipFill>
                  <pic:spPr>
                    <a:xfrm>
                      <a:off x="0" y="0"/>
                      <a:ext cx="176783" cy="100583"/>
                    </a:xfrm>
                    <a:prstGeom prst="rect">
                      <a:avLst/>
                    </a:prstGeom>
                  </pic:spPr>
                </pic:pic>
              </a:graphicData>
            </a:graphic>
          </wp:inline>
        </w:drawing>
      </w:r>
      <w:r>
        <w:rPr>
          <w:rFonts w:ascii="SimHei" w:eastAsia="SimHei" w:hAnsi="SimHei" w:cs="SimHei"/>
          <w:spacing w:val="22"/>
          <w:sz w:val="21"/>
          <w:szCs w:val="21"/>
        </w:rPr>
        <w:t xml:space="preserve">  </w:t>
      </w:r>
      <w:r>
        <w:rPr>
          <w:rFonts w:ascii="SimHei" w:eastAsia="SimHei" w:hAnsi="SimHei" w:cs="SimHei"/>
          <w:spacing w:val="-2"/>
          <w:sz w:val="21"/>
          <w:szCs w:val="21"/>
        </w:rPr>
        <w:t>基础分析</w:t>
      </w:r>
    </w:p>
    <w:p>
      <w:pPr>
        <w:spacing w:before="142" w:line="221" w:lineRule="auto"/>
        <w:ind w:left="7"/>
        <w:rPr>
          <w:rFonts w:ascii="SimHei" w:eastAsia="SimHei" w:hAnsi="SimHei" w:cs="SimHei"/>
          <w:sz w:val="21"/>
          <w:szCs w:val="21"/>
        </w:rPr>
      </w:pPr>
      <w:r>
        <w:rPr>
          <w:rFonts w:ascii="SimHei" w:eastAsia="SimHei" w:hAnsi="SimHei" w:cs="SimHei"/>
          <w:spacing w:val="-1"/>
          <w:sz w:val="21"/>
          <w:szCs w:val="21"/>
        </w:rPr>
        <w:t>6.1.1</w:t>
      </w:r>
      <w:r>
        <w:rPr>
          <w:rFonts w:ascii="SimHei" w:eastAsia="SimHei" w:hAnsi="SimHei" w:cs="SimHei"/>
          <w:spacing w:val="-1"/>
          <w:sz w:val="21"/>
          <w:szCs w:val="21"/>
        </w:rPr>
        <w:t xml:space="preserve">  </w:t>
      </w:r>
      <w:r>
        <w:rPr>
          <w:rFonts w:ascii="SimHei" w:eastAsia="SimHei" w:hAnsi="SimHei" w:cs="SimHei"/>
          <w:spacing w:val="-1"/>
          <w:sz w:val="21"/>
          <w:szCs w:val="21"/>
        </w:rPr>
        <w:t>生态本底</w:t>
      </w:r>
    </w:p>
    <w:p>
      <w:pPr>
        <w:pStyle w:val="BodyText"/>
        <w:spacing w:before="142" w:line="233" w:lineRule="auto"/>
        <w:ind w:left="6" w:right="74" w:firstLine="436"/>
        <w:jc w:val="both"/>
      </w:pPr>
      <w:r>
        <w:rPr>
          <w:spacing w:val="-4"/>
        </w:rPr>
        <w:t>因地制宜分析气候（气温、降水等）</w:t>
      </w:r>
      <w:r>
        <w:rPr>
          <w:spacing w:val="-50"/>
        </w:rPr>
        <w:t xml:space="preserve"> </w:t>
      </w:r>
      <w:r>
        <w:rPr>
          <w:spacing w:val="-4"/>
        </w:rPr>
        <w:t>、地形地貌、水文、土壤、植被等自然地理要素的空间分布及</w:t>
      </w:r>
      <w:r>
        <w:t xml:space="preserve"> </w:t>
      </w:r>
      <w:r>
        <w:rPr>
          <w:spacing w:val="-8"/>
        </w:rPr>
        <w:t>综合格局特征。分析生态系统的类型、规模、质量、分布，</w:t>
      </w:r>
      <w:r>
        <w:rPr>
          <w:spacing w:val="54"/>
        </w:rPr>
        <w:t xml:space="preserve"> </w:t>
      </w:r>
      <w:r>
        <w:rPr>
          <w:spacing w:val="-8"/>
        </w:rPr>
        <w:t>结合土地利用变化和社会经济因素影响， 明</w:t>
      </w:r>
      <w:r>
        <w:t xml:space="preserve"> </w:t>
      </w:r>
      <w:r>
        <w:rPr>
          <w:spacing w:val="-2"/>
        </w:rPr>
        <w:t>确生态本底空间分布及其演替特征。</w:t>
      </w:r>
    </w:p>
    <w:p>
      <w:pPr>
        <w:spacing w:before="142" w:line="219" w:lineRule="auto"/>
        <w:ind w:left="7"/>
        <w:rPr>
          <w:rFonts w:ascii="SimHei" w:eastAsia="SimHei" w:hAnsi="SimHei" w:cs="SimHei"/>
          <w:sz w:val="21"/>
          <w:szCs w:val="21"/>
        </w:rPr>
      </w:pPr>
      <w:r>
        <w:rPr>
          <w:rFonts w:ascii="SimHei" w:eastAsia="SimHei" w:hAnsi="SimHei" w:cs="SimHei"/>
          <w:spacing w:val="-1"/>
          <w:sz w:val="21"/>
          <w:szCs w:val="21"/>
        </w:rPr>
        <w:t>6.1.2</w:t>
      </w:r>
      <w:r>
        <w:rPr>
          <w:rFonts w:ascii="SimHei" w:eastAsia="SimHei" w:hAnsi="SimHei" w:cs="SimHei"/>
          <w:spacing w:val="-1"/>
          <w:sz w:val="21"/>
          <w:szCs w:val="21"/>
        </w:rPr>
        <w:t xml:space="preserve">  </w:t>
      </w:r>
      <w:r>
        <w:rPr>
          <w:rFonts w:ascii="SimHei" w:eastAsia="SimHei" w:hAnsi="SimHei" w:cs="SimHei"/>
          <w:spacing w:val="-1"/>
          <w:sz w:val="21"/>
          <w:szCs w:val="21"/>
        </w:rPr>
        <w:t>生态系统状况</w:t>
      </w:r>
    </w:p>
    <w:p>
      <w:pPr>
        <w:pStyle w:val="BodyText"/>
        <w:spacing w:before="146" w:line="234" w:lineRule="auto"/>
        <w:ind w:left="6" w:right="74" w:firstLine="420"/>
        <w:jc w:val="both"/>
      </w:pPr>
      <w:r>
        <w:rPr>
          <w:spacing w:val="-5"/>
        </w:rPr>
        <w:t>根据地域实际，</w:t>
      </w:r>
      <w:r>
        <w:rPr>
          <w:spacing w:val="-38"/>
        </w:rPr>
        <w:t xml:space="preserve"> </w:t>
      </w:r>
      <w:r>
        <w:rPr>
          <w:spacing w:val="-5"/>
        </w:rPr>
        <w:t>结合林草、农业、水利、海洋等专项调查和监</w:t>
      </w:r>
      <w:r>
        <w:rPr>
          <w:spacing w:val="-6"/>
        </w:rPr>
        <w:t>测结果，</w:t>
      </w:r>
      <w:r>
        <w:rPr>
          <w:spacing w:val="-42"/>
        </w:rPr>
        <w:t xml:space="preserve"> </w:t>
      </w:r>
      <w:r>
        <w:rPr>
          <w:spacing w:val="-6"/>
        </w:rPr>
        <w:t>利用资源环境承载能力和国</w:t>
      </w:r>
      <w:r>
        <w:t xml:space="preserve"> </w:t>
      </w:r>
      <w:r>
        <w:rPr>
          <w:spacing w:val="-3"/>
        </w:rPr>
        <w:t>土空间开发适宜性评价中生态系统服务功能重要性和生态脆弱</w:t>
      </w:r>
      <w:r>
        <w:rPr>
          <w:spacing w:val="-4"/>
        </w:rPr>
        <w:t>性评价结果，</w:t>
      </w:r>
      <w:r>
        <w:rPr>
          <w:spacing w:val="-55"/>
        </w:rPr>
        <w:t xml:space="preserve"> </w:t>
      </w:r>
      <w:r>
        <w:rPr>
          <w:spacing w:val="-4"/>
        </w:rPr>
        <w:t>因地制宜分析水源涵养、洪</w:t>
      </w:r>
      <w:r>
        <w:t xml:space="preserve"> </w:t>
      </w:r>
      <w:r>
        <w:rPr>
          <w:spacing w:val="-2"/>
        </w:rPr>
        <w:t>涝调蓄、水土保持、固碳释氧、防风固沙、海岸防护、生物多样性维护</w:t>
      </w:r>
      <w:r>
        <w:rPr>
          <w:spacing w:val="-3"/>
        </w:rPr>
        <w:t>、休闲游憩等多项生态系统服务</w:t>
      </w:r>
      <w:r>
        <w:t xml:space="preserve"> </w:t>
      </w:r>
      <w:r>
        <w:rPr>
          <w:spacing w:val="-2"/>
        </w:rPr>
        <w:t>状况。</w:t>
      </w:r>
    </w:p>
    <w:p>
      <w:pPr>
        <w:pStyle w:val="BodyText"/>
        <w:spacing w:before="20" w:line="233" w:lineRule="auto"/>
        <w:ind w:left="5" w:firstLine="422"/>
        <w:jc w:val="both"/>
      </w:pPr>
      <w:r>
        <w:rPr>
          <w:spacing w:val="-5"/>
        </w:rPr>
        <w:t>参考《资源环境承载能力和国土空间开发适宜性评价指南（试</w:t>
      </w:r>
      <w:r>
        <w:rPr>
          <w:spacing w:val="-6"/>
        </w:rPr>
        <w:t>行）</w:t>
      </w:r>
      <w:r>
        <w:rPr>
          <w:spacing w:val="-63"/>
        </w:rPr>
        <w:t xml:space="preserve"> </w:t>
      </w:r>
      <w:r>
        <w:rPr>
          <w:spacing w:val="-6"/>
        </w:rPr>
        <w:t>》，</w:t>
      </w:r>
      <w:r>
        <w:rPr>
          <w:spacing w:val="-23"/>
        </w:rPr>
        <w:t xml:space="preserve"> </w:t>
      </w:r>
      <w:r>
        <w:rPr>
          <w:spacing w:val="-6"/>
        </w:rPr>
        <w:t xml:space="preserve">评价生态系统服务重要性及 </w:t>
      </w:r>
      <w:r>
        <w:rPr>
          <w:spacing w:val="-3"/>
        </w:rPr>
        <w:t>其空间分布， 识别评价单元内的主导服务类型；分析水土流失、石漠化、荒漠化、土地沙化、盐渍化、</w:t>
      </w:r>
      <w:r>
        <w:rPr>
          <w:spacing w:val="7"/>
        </w:rPr>
        <w:t xml:space="preserve"> </w:t>
      </w:r>
      <w:r>
        <w:rPr>
          <w:spacing w:val="-2"/>
        </w:rPr>
        <w:t>海岸侵蚀及沙源流失等生态系统脆弱性状况，</w:t>
      </w:r>
      <w:r>
        <w:rPr>
          <w:spacing w:val="-22"/>
        </w:rPr>
        <w:t xml:space="preserve"> </w:t>
      </w:r>
      <w:r>
        <w:rPr>
          <w:spacing w:val="-2"/>
        </w:rPr>
        <w:t>识别生态系统受</w:t>
      </w:r>
      <w:r>
        <w:rPr>
          <w:spacing w:val="-3"/>
        </w:rPr>
        <w:t>损、退化程度和胁迫敏感性问题。</w:t>
      </w:r>
    </w:p>
    <w:p>
      <w:pPr>
        <w:spacing w:before="144" w:line="219" w:lineRule="auto"/>
        <w:ind w:left="7"/>
        <w:rPr>
          <w:rFonts w:ascii="SimHei" w:eastAsia="SimHei" w:hAnsi="SimHei" w:cs="SimHei"/>
          <w:sz w:val="21"/>
          <w:szCs w:val="21"/>
        </w:rPr>
      </w:pPr>
      <w:r>
        <w:rPr>
          <w:rFonts w:ascii="SimHei" w:eastAsia="SimHei" w:hAnsi="SimHei" w:cs="SimHei"/>
          <w:spacing w:val="-1"/>
          <w:sz w:val="21"/>
          <w:szCs w:val="21"/>
        </w:rPr>
        <w:t>6.1.3</w:t>
      </w:r>
      <w:r>
        <w:rPr>
          <w:rFonts w:ascii="SimHei" w:eastAsia="SimHei" w:hAnsi="SimHei" w:cs="SimHei"/>
          <w:spacing w:val="-1"/>
          <w:sz w:val="21"/>
          <w:szCs w:val="21"/>
        </w:rPr>
        <w:t xml:space="preserve">  </w:t>
      </w:r>
      <w:r>
        <w:rPr>
          <w:rFonts w:ascii="SimHei" w:eastAsia="SimHei" w:hAnsi="SimHei" w:cs="SimHei"/>
          <w:spacing w:val="-1"/>
          <w:sz w:val="21"/>
          <w:szCs w:val="21"/>
        </w:rPr>
        <w:t>水资源</w:t>
      </w:r>
    </w:p>
    <w:p>
      <w:pPr>
        <w:pStyle w:val="BodyText"/>
        <w:spacing w:before="143" w:line="230" w:lineRule="auto"/>
        <w:ind w:left="8" w:right="74" w:firstLine="420"/>
      </w:pPr>
      <w:r>
        <w:rPr>
          <w:spacing w:val="-4"/>
        </w:rPr>
        <w:t>分析重点江河湖泊及水库、饮用水水源地等水资源、水环境、水生态和</w:t>
      </w:r>
      <w:r>
        <w:rPr>
          <w:spacing w:val="-5"/>
        </w:rPr>
        <w:t>水灾害等状况，</w:t>
      </w:r>
      <w:r>
        <w:rPr>
          <w:spacing w:val="-24"/>
        </w:rPr>
        <w:t xml:space="preserve"> </w:t>
      </w:r>
      <w:r>
        <w:rPr>
          <w:spacing w:val="-5"/>
        </w:rPr>
        <w:t>以流域为单</w:t>
      </w:r>
      <w:r>
        <w:t xml:space="preserve"> </w:t>
      </w:r>
      <w:r>
        <w:rPr>
          <w:spacing w:val="-1"/>
        </w:rPr>
        <w:t>元分析水资源在各生态系统间的分布、匹配情况。</w:t>
      </w:r>
    </w:p>
    <w:p>
      <w:pPr>
        <w:spacing w:before="141" w:line="219" w:lineRule="auto"/>
        <w:rPr>
          <w:rFonts w:ascii="SimHei" w:eastAsia="SimHei" w:hAnsi="SimHei" w:cs="SimHei"/>
          <w:sz w:val="21"/>
          <w:szCs w:val="21"/>
        </w:rPr>
      </w:pPr>
      <w:r>
        <w:rPr>
          <w:rFonts w:ascii="SimHei" w:eastAsia="SimHei" w:hAnsi="SimHei" w:cs="SimHei"/>
          <w:sz w:val="21"/>
          <w:szCs w:val="21"/>
        </w:rPr>
        <w:drawing>
          <wp:inline distT="0" distB="0" distL="0" distR="0">
            <wp:extent cx="195072" cy="100584"/>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34"/>
                    <a:stretch>
                      <a:fillRect/>
                    </a:stretch>
                  </pic:blipFill>
                  <pic:spPr>
                    <a:xfrm>
                      <a:off x="0" y="0"/>
                      <a:ext cx="195072" cy="100584"/>
                    </a:xfrm>
                    <a:prstGeom prst="rect">
                      <a:avLst/>
                    </a:prstGeom>
                  </pic:spPr>
                </pic:pic>
              </a:graphicData>
            </a:graphic>
          </wp:inline>
        </w:drawing>
      </w:r>
      <w:r>
        <w:rPr>
          <w:rFonts w:ascii="SimHei" w:eastAsia="SimHei" w:hAnsi="SimHei" w:cs="SimHei"/>
          <w:spacing w:val="15"/>
          <w:sz w:val="21"/>
          <w:szCs w:val="21"/>
        </w:rPr>
        <w:t xml:space="preserve">  </w:t>
      </w:r>
      <w:r>
        <w:rPr>
          <w:rFonts w:ascii="SimHei" w:eastAsia="SimHei" w:hAnsi="SimHei" w:cs="SimHei"/>
          <w:spacing w:val="-3"/>
          <w:sz w:val="21"/>
          <w:szCs w:val="21"/>
        </w:rPr>
        <w:t>问题识别与诊断</w:t>
      </w:r>
    </w:p>
    <w:p>
      <w:pPr>
        <w:spacing w:before="144" w:line="219" w:lineRule="auto"/>
        <w:ind w:left="7"/>
        <w:rPr>
          <w:rFonts w:ascii="SimHei" w:eastAsia="SimHei" w:hAnsi="SimHei" w:cs="SimHei"/>
          <w:sz w:val="21"/>
          <w:szCs w:val="21"/>
        </w:rPr>
      </w:pPr>
      <w:r>
        <w:rPr>
          <w:rFonts w:ascii="SimHei" w:eastAsia="SimHei" w:hAnsi="SimHei" w:cs="SimHei"/>
          <w:spacing w:val="-1"/>
          <w:sz w:val="21"/>
          <w:szCs w:val="21"/>
        </w:rPr>
        <w:t>6.2.1</w:t>
      </w:r>
      <w:r>
        <w:rPr>
          <w:rFonts w:ascii="SimHei" w:eastAsia="SimHei" w:hAnsi="SimHei" w:cs="SimHei"/>
          <w:spacing w:val="-1"/>
          <w:sz w:val="21"/>
          <w:szCs w:val="21"/>
        </w:rPr>
        <w:t xml:space="preserve">  </w:t>
      </w:r>
      <w:r>
        <w:rPr>
          <w:rFonts w:ascii="SimHei" w:eastAsia="SimHei" w:hAnsi="SimHei" w:cs="SimHei"/>
          <w:spacing w:val="-1"/>
          <w:sz w:val="21"/>
          <w:szCs w:val="21"/>
        </w:rPr>
        <w:t>全域系统性生态问题</w:t>
      </w:r>
    </w:p>
    <w:p>
      <w:pPr>
        <w:pStyle w:val="BodyText"/>
        <w:spacing w:before="142" w:line="235" w:lineRule="auto"/>
        <w:ind w:left="7" w:firstLine="421"/>
        <w:jc w:val="both"/>
      </w:pPr>
      <w:r>
        <w:rPr>
          <w:spacing w:val="-3"/>
        </w:rPr>
        <w:t xml:space="preserve">分析人类开发利用活动对生态空间的侵占、胁迫以及由此导致的生境破碎化、生态连通性差、缓冲 </w:t>
      </w:r>
      <w:r>
        <w:rPr>
          <w:spacing w:val="-1"/>
        </w:rPr>
        <w:t>过渡带缺失等问题，识别山上山下、岸上岸下、上游下游、陆域海域等区域之间的关联性，从整体性、</w:t>
      </w:r>
      <w:r>
        <w:rPr>
          <w:spacing w:val="18"/>
        </w:rPr>
        <w:t xml:space="preserve"> </w:t>
      </w:r>
      <w:r>
        <w:rPr>
          <w:spacing w:val="-2"/>
        </w:rPr>
        <w:t>系统性角度，重点剖析忽视自然地理格局、过度人工干预、</w:t>
      </w:r>
      <w:r>
        <w:rPr>
          <w:spacing w:val="-3"/>
        </w:rPr>
        <w:t xml:space="preserve">突破水资源刚性约束等生态问题，不同功能 </w:t>
      </w:r>
      <w:r>
        <w:t>生态廊道冲突问题，以及跨空间的生态问题，研判</w:t>
      </w:r>
      <w:r>
        <w:rPr>
          <w:spacing w:val="-1"/>
        </w:rPr>
        <w:t>生物多样性下降、外来物种入侵等问题。</w:t>
      </w:r>
    </w:p>
    <w:p>
      <w:pPr>
        <w:spacing w:before="140" w:line="221" w:lineRule="auto"/>
        <w:ind w:left="7"/>
        <w:rPr>
          <w:rFonts w:ascii="SimHei" w:eastAsia="SimHei" w:hAnsi="SimHei" w:cs="SimHei"/>
          <w:sz w:val="21"/>
          <w:szCs w:val="21"/>
        </w:rPr>
      </w:pPr>
      <w:r>
        <w:rPr>
          <w:rFonts w:ascii="SimHei" w:eastAsia="SimHei" w:hAnsi="SimHei" w:cs="SimHei"/>
          <w:spacing w:val="-1"/>
          <w:sz w:val="21"/>
          <w:szCs w:val="21"/>
        </w:rPr>
        <w:t>6.2.2</w:t>
      </w:r>
      <w:r>
        <w:rPr>
          <w:rFonts w:ascii="SimHei" w:eastAsia="SimHei" w:hAnsi="SimHei" w:cs="SimHei"/>
          <w:spacing w:val="-1"/>
          <w:sz w:val="21"/>
          <w:szCs w:val="21"/>
        </w:rPr>
        <w:t xml:space="preserve">  </w:t>
      </w:r>
      <w:r>
        <w:rPr>
          <w:rFonts w:ascii="SimHei" w:eastAsia="SimHei" w:hAnsi="SimHei" w:cs="SimHei"/>
          <w:spacing w:val="-1"/>
          <w:sz w:val="21"/>
          <w:szCs w:val="21"/>
        </w:rPr>
        <w:t>生态空间的生态问题</w:t>
      </w:r>
    </w:p>
    <w:p>
      <w:pPr>
        <w:pStyle w:val="BodyText"/>
        <w:spacing w:before="144" w:line="234" w:lineRule="auto"/>
        <w:ind w:left="5" w:firstLine="422"/>
        <w:jc w:val="both"/>
      </w:pPr>
      <w:r>
        <w:rPr>
          <w:spacing w:val="-1"/>
        </w:rPr>
        <w:t>识别陆域和海域典型生态系统面积减少、质量下降、结构受损、功能退化、脆弱化等问题的分布、</w:t>
      </w:r>
      <w:r>
        <w:rPr>
          <w:spacing w:val="15"/>
        </w:rPr>
        <w:t xml:space="preserve"> </w:t>
      </w:r>
      <w:r>
        <w:rPr>
          <w:spacing w:val="-2"/>
        </w:rPr>
        <w:t>程度，从自然和人为两方面研判问题的主要胁迫因素、成因及</w:t>
      </w:r>
      <w:r>
        <w:rPr>
          <w:spacing w:val="-3"/>
        </w:rPr>
        <w:t xml:space="preserve">关联性；识别生态保护红线内矿山生态损 </w:t>
      </w:r>
      <w:r>
        <w:rPr>
          <w:spacing w:val="-5"/>
        </w:rPr>
        <w:t>毁等问题的分布、程度、趋势；</w:t>
      </w:r>
      <w:r>
        <w:rPr>
          <w:spacing w:val="32"/>
        </w:rPr>
        <w:t xml:space="preserve"> </w:t>
      </w:r>
      <w:r>
        <w:rPr>
          <w:spacing w:val="-5"/>
        </w:rPr>
        <w:t>诊断国家重点生态功能区生态问</w:t>
      </w:r>
      <w:r>
        <w:rPr>
          <w:spacing w:val="-6"/>
        </w:rPr>
        <w:t xml:space="preserve">题严重程度和障碍因子；识别生态问题 </w:t>
      </w:r>
      <w:r>
        <w:rPr>
          <w:spacing w:val="-1"/>
        </w:rPr>
        <w:t>分布聚集或生态问题关联性大的关键区域。</w:t>
      </w:r>
    </w:p>
    <w:p>
      <w:pPr>
        <w:spacing w:before="144" w:line="221" w:lineRule="auto"/>
        <w:ind w:left="7"/>
        <w:rPr>
          <w:rFonts w:ascii="SimHei" w:eastAsia="SimHei" w:hAnsi="SimHei" w:cs="SimHei"/>
          <w:sz w:val="21"/>
          <w:szCs w:val="21"/>
        </w:rPr>
      </w:pPr>
      <w:r>
        <w:rPr>
          <w:rFonts w:ascii="SimHei" w:eastAsia="SimHei" w:hAnsi="SimHei" w:cs="SimHei"/>
          <w:spacing w:val="-1"/>
          <w:sz w:val="21"/>
          <w:szCs w:val="21"/>
        </w:rPr>
        <w:t>6.2.3</w:t>
      </w:r>
      <w:r>
        <w:rPr>
          <w:rFonts w:ascii="SimHei" w:eastAsia="SimHei" w:hAnsi="SimHei" w:cs="SimHei"/>
          <w:spacing w:val="-1"/>
          <w:sz w:val="21"/>
          <w:szCs w:val="21"/>
        </w:rPr>
        <w:t xml:space="preserve">  </w:t>
      </w:r>
      <w:r>
        <w:rPr>
          <w:rFonts w:ascii="SimHei" w:eastAsia="SimHei" w:hAnsi="SimHei" w:cs="SimHei"/>
          <w:spacing w:val="-1"/>
          <w:sz w:val="21"/>
          <w:szCs w:val="21"/>
        </w:rPr>
        <w:t>农业空间的生态问题</w:t>
      </w:r>
    </w:p>
    <w:p>
      <w:pPr>
        <w:pStyle w:val="BodyText"/>
        <w:spacing w:before="142" w:line="234" w:lineRule="auto"/>
        <w:ind w:left="5" w:right="77" w:firstLine="422"/>
        <w:jc w:val="both"/>
        <w:sectPr>
          <w:headerReference w:type="default" r:id="rId35"/>
          <w:footerReference w:type="default" r:id="rId36"/>
          <w:pgSz w:w="11907" w:h="16839"/>
          <w:pgMar w:top="1659" w:right="1053" w:bottom="1309" w:left="1420" w:header="1448" w:footer="1133" w:gutter="0"/>
          <w:pgNumType w:start="9"/>
          <w:cols w:space="708"/>
        </w:sectPr>
      </w:pPr>
      <w:r>
        <w:rPr>
          <w:spacing w:val="-2"/>
        </w:rPr>
        <w:t>识别农用地破碎化、土地退化、生境质量及生物多样性</w:t>
      </w:r>
      <w:r>
        <w:rPr>
          <w:spacing w:val="-3"/>
        </w:rPr>
        <w:t>下降等问题，从自然和人为两方面研判主要</w:t>
      </w:r>
      <w:r>
        <w:t xml:space="preserve"> </w:t>
      </w:r>
      <w:r>
        <w:rPr>
          <w:spacing w:val="-5"/>
        </w:rPr>
        <w:t>胁迫因素，</w:t>
      </w:r>
      <w:r>
        <w:rPr>
          <w:spacing w:val="-44"/>
        </w:rPr>
        <w:t xml:space="preserve"> </w:t>
      </w:r>
      <w:r>
        <w:rPr>
          <w:spacing w:val="-5"/>
        </w:rPr>
        <w:t>识别农村居民点、农田周边矿山生态破坏造成的土地损毁问题；</w:t>
      </w:r>
      <w:r>
        <w:rPr>
          <w:spacing w:val="-43"/>
        </w:rPr>
        <w:t xml:space="preserve"> </w:t>
      </w:r>
      <w:r>
        <w:rPr>
          <w:spacing w:val="-5"/>
        </w:rPr>
        <w:t>分析耕地撂荒抛荒、过度放</w:t>
      </w:r>
      <w:r>
        <w:t xml:space="preserve"> </w:t>
      </w:r>
      <w:r>
        <w:rPr>
          <w:spacing w:val="-2"/>
        </w:rPr>
        <w:t>牧樵采和围垦养殖等对生态的影响；识别人居环境恶化、生态基础设施不足</w:t>
      </w:r>
      <w:r>
        <w:rPr>
          <w:spacing w:val="-3"/>
        </w:rPr>
        <w:t>、乡村自然风貌和景观文化</w:t>
      </w:r>
      <w:r>
        <w:t xml:space="preserve"> </w:t>
      </w:r>
      <w:r>
        <w:rPr>
          <w:spacing w:val="-1"/>
        </w:rPr>
        <w:t>破坏等问题。</w:t>
      </w:r>
    </w:p>
    <w:p>
      <w:pPr>
        <w:spacing w:before="143" w:line="221" w:lineRule="auto"/>
        <w:ind w:left="7"/>
        <w:rPr>
          <w:rFonts w:ascii="SimHei" w:eastAsia="SimHei" w:hAnsi="SimHei" w:cs="SimHei"/>
          <w:sz w:val="21"/>
          <w:szCs w:val="21"/>
        </w:rPr>
      </w:pPr>
      <w:r>
        <w:rPr>
          <w:rFonts w:ascii="SimHei" w:eastAsia="SimHei" w:hAnsi="SimHei" w:cs="SimHei"/>
          <w:spacing w:val="-1"/>
          <w:sz w:val="21"/>
          <w:szCs w:val="21"/>
        </w:rPr>
        <w:t>6.2.4</w:t>
      </w:r>
      <w:r>
        <w:rPr>
          <w:rFonts w:ascii="SimHei" w:eastAsia="SimHei" w:hAnsi="SimHei" w:cs="SimHei"/>
          <w:spacing w:val="-1"/>
          <w:sz w:val="21"/>
          <w:szCs w:val="21"/>
        </w:rPr>
        <w:t xml:space="preserve">  </w:t>
      </w:r>
      <w:r>
        <w:rPr>
          <w:rFonts w:ascii="SimHei" w:eastAsia="SimHei" w:hAnsi="SimHei" w:cs="SimHei"/>
          <w:spacing w:val="-1"/>
          <w:sz w:val="21"/>
          <w:szCs w:val="21"/>
        </w:rPr>
        <w:t>城镇空间的生态问题</w:t>
      </w:r>
    </w:p>
    <w:p>
      <w:pPr>
        <w:spacing w:line="221" w:lineRule="auto"/>
        <w:rPr>
          <w:rFonts w:ascii="SimHei" w:eastAsia="SimHei" w:hAnsi="SimHei" w:cs="SimHei"/>
          <w:sz w:val="21"/>
          <w:szCs w:val="21"/>
        </w:rPr>
        <w:sectPr>
          <w:headerReference w:type="default" r:id="rId37"/>
          <w:footerReference w:type="default" r:id="rId38"/>
          <w:type w:val="nextPage"/>
          <w:pgSz w:w="11907" w:h="16839"/>
          <w:pgMar w:top="1659" w:right="1053" w:bottom="1309" w:left="1420" w:header="1448" w:footer="1133" w:gutter="0"/>
          <w:pgNumType w:start="10"/>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ind w:left="767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T</w:t>
      </w:r>
      <w:r>
        <w:rPr>
          <w:rFonts w:ascii="Times New Roman" w:eastAsia="Times New Roman" w:hAnsi="Times New Roman" w:cs="Times New Roman"/>
          <w:b/>
          <w:bCs/>
          <w:spacing w:val="1"/>
          <w:sz w:val="15"/>
          <w:szCs w:val="15"/>
        </w:rPr>
        <w:t xml:space="preserve">     </w:t>
      </w:r>
      <w:r>
        <w:rPr>
          <w:rFonts w:ascii="Times New Roman" w:eastAsia="Times New Roman" w:hAnsi="Times New Roman" w:cs="Times New Roman"/>
          <w:b/>
          <w:bCs/>
          <w:sz w:val="15"/>
          <w:szCs w:val="15"/>
        </w:rPr>
        <w:t>XXXXX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XXXX</w:t>
      </w:r>
    </w:p>
    <w:p>
      <w:pPr>
        <w:spacing w:line="258" w:lineRule="auto"/>
        <w:rPr>
          <w:rFonts w:ascii="Arial"/>
          <w:sz w:val="21"/>
        </w:rPr>
      </w:pPr>
    </w:p>
    <w:p>
      <w:pPr>
        <w:pStyle w:val="BodyText"/>
        <w:spacing w:before="68" w:line="226" w:lineRule="auto"/>
        <w:ind w:right="87" w:firstLine="399"/>
        <w:jc w:val="both"/>
      </w:pPr>
      <w:r>
        <w:rPr>
          <w:spacing w:val="-2"/>
        </w:rPr>
        <w:t>分析城镇内部及周边山体和河湖水系生态破坏问题、海岸带生态破坏问题、矿山</w:t>
      </w:r>
      <w:r>
        <w:rPr>
          <w:spacing w:val="-3"/>
        </w:rPr>
        <w:t>生态破坏和土地损</w:t>
      </w:r>
      <w:r>
        <w:t xml:space="preserve"> </w:t>
      </w:r>
      <w:r>
        <w:rPr>
          <w:spacing w:val="-3"/>
        </w:rPr>
        <w:t>毁问题、城内外蓝绿网络连通性问题、城镇内蓝绿空间生态品质问题、城市生态韧性不高及热岛效应等</w:t>
      </w:r>
      <w:r>
        <w:rPr>
          <w:spacing w:val="13"/>
        </w:rPr>
        <w:t xml:space="preserve"> </w:t>
      </w:r>
      <w:r>
        <w:rPr>
          <w:spacing w:val="-3"/>
        </w:rPr>
        <w:t>问题，分析城市建设、基础设施建设等对生物栖息地、迁徙通道的破坏，评估城镇生态空间的游憩利用</w:t>
      </w:r>
      <w:r>
        <w:rPr>
          <w:spacing w:val="9"/>
        </w:rPr>
        <w:t xml:space="preserve"> </w:t>
      </w:r>
      <w:r>
        <w:rPr>
          <w:spacing w:val="-4"/>
        </w:rPr>
        <w:t>等社会服务效益与潜力。</w:t>
      </w:r>
    </w:p>
    <w:p>
      <w:pPr>
        <w:spacing w:before="157" w:line="222" w:lineRule="auto"/>
        <w:ind w:left="2"/>
        <w:outlineLvl w:val="0"/>
        <w:rPr>
          <w:rFonts w:ascii="SimHei" w:eastAsia="SimHei" w:hAnsi="SimHei" w:cs="SimHei"/>
          <w:sz w:val="21"/>
          <w:szCs w:val="21"/>
        </w:rPr>
      </w:pPr>
      <w:r>
        <w:rPr>
          <w:rFonts w:ascii="SimHei" w:eastAsia="SimHei" w:hAnsi="SimHei" w:cs="SimHei"/>
          <w:b/>
          <w:bCs/>
          <w:spacing w:val="-6"/>
          <w:sz w:val="21"/>
          <w:szCs w:val="21"/>
        </w:rPr>
        <w:t>6.3</w:t>
      </w:r>
      <w:r>
        <w:rPr>
          <w:rFonts w:ascii="SimHei" w:eastAsia="SimHei" w:hAnsi="SimHei" w:cs="SimHei"/>
          <w:spacing w:val="15"/>
          <w:sz w:val="21"/>
          <w:szCs w:val="21"/>
        </w:rPr>
        <w:t xml:space="preserve">  </w:t>
      </w:r>
      <w:r>
        <w:rPr>
          <w:rFonts w:ascii="SimHei" w:eastAsia="SimHei" w:hAnsi="SimHei" w:cs="SimHei"/>
          <w:b/>
          <w:bCs/>
          <w:spacing w:val="-6"/>
          <w:sz w:val="21"/>
          <w:szCs w:val="21"/>
        </w:rPr>
        <w:t>风险分析与趋势研判</w:t>
      </w:r>
    </w:p>
    <w:p>
      <w:pPr>
        <w:pStyle w:val="BodyText"/>
        <w:spacing w:before="159" w:line="226" w:lineRule="auto"/>
        <w:ind w:right="85" w:firstLine="399"/>
        <w:jc w:val="both"/>
      </w:pPr>
      <w:r>
        <w:rPr>
          <w:spacing w:val="-2"/>
        </w:rPr>
        <w:t>依据市县级国土空间总体规划，研判行政区范围内城镇扩张</w:t>
      </w:r>
      <w:r>
        <w:rPr>
          <w:spacing w:val="-3"/>
        </w:rPr>
        <w:t>、基础设施建设等的动态生态影响，预</w:t>
      </w:r>
      <w:r>
        <w:t xml:space="preserve"> </w:t>
      </w:r>
      <w:r>
        <w:rPr>
          <w:spacing w:val="-2"/>
        </w:rPr>
        <w:t>判生态风险；分析人口流动、资源约束趋紧等可能导</w:t>
      </w:r>
      <w:r>
        <w:rPr>
          <w:spacing w:val="-3"/>
        </w:rPr>
        <w:t>致的生态隐患；分析气候变化对洪涝安全、生物多</w:t>
      </w:r>
      <w:r>
        <w:t xml:space="preserve"> </w:t>
      </w:r>
      <w:r>
        <w:rPr>
          <w:spacing w:val="-1"/>
        </w:rPr>
        <w:t>样性等的影响；解析生态系统碳汇能力巩固提升对生态</w:t>
      </w:r>
      <w:r>
        <w:rPr>
          <w:spacing w:val="-2"/>
        </w:rPr>
        <w:t>修复的需求等。</w:t>
      </w:r>
    </w:p>
    <w:p>
      <w:pPr>
        <w:spacing w:before="276" w:line="222" w:lineRule="auto"/>
        <w:ind w:left="3"/>
        <w:rPr>
          <w:rFonts w:ascii="SimHei" w:eastAsia="SimHei" w:hAnsi="SimHei" w:cs="SimHei"/>
          <w:sz w:val="21"/>
          <w:szCs w:val="21"/>
        </w:rPr>
      </w:pPr>
      <w:r>
        <w:rPr>
          <w:rFonts w:ascii="SimHei" w:eastAsia="SimHei" w:hAnsi="SimHei" w:cs="SimHei"/>
          <w:b/>
          <w:bCs/>
          <w:spacing w:val="-4"/>
          <w:sz w:val="21"/>
          <w:szCs w:val="21"/>
        </w:rPr>
        <w:t>7</w:t>
      </w:r>
      <w:r>
        <w:rPr>
          <w:rFonts w:ascii="SimHei" w:eastAsia="SimHei" w:hAnsi="SimHei" w:cs="SimHei"/>
          <w:spacing w:val="-4"/>
          <w:sz w:val="21"/>
          <w:szCs w:val="21"/>
        </w:rPr>
        <w:t xml:space="preserve">  </w:t>
      </w:r>
      <w:r>
        <w:rPr>
          <w:rFonts w:ascii="SimHei" w:eastAsia="SimHei" w:hAnsi="SimHei" w:cs="SimHei"/>
          <w:b/>
          <w:bCs/>
          <w:spacing w:val="-4"/>
          <w:sz w:val="21"/>
          <w:szCs w:val="21"/>
        </w:rPr>
        <w:t>专题研究</w:t>
      </w:r>
    </w:p>
    <w:p>
      <w:pPr>
        <w:pStyle w:val="BodyText"/>
        <w:spacing w:before="261" w:line="219" w:lineRule="auto"/>
        <w:ind w:left="399"/>
      </w:pPr>
      <w:r>
        <w:rPr>
          <w:spacing w:val="-1"/>
        </w:rPr>
        <w:t>根据规划编制需要和工作基础，因地制宜，合理设置重大</w:t>
      </w:r>
      <w:r>
        <w:rPr>
          <w:spacing w:val="-2"/>
        </w:rPr>
        <w:t>专题研究：</w:t>
      </w:r>
    </w:p>
    <w:p>
      <w:pPr>
        <w:pStyle w:val="BodyText"/>
        <w:spacing w:line="241" w:lineRule="auto"/>
        <w:ind w:right="89" w:firstLine="399"/>
      </w:pPr>
      <w:r>
        <w:rPr>
          <w:spacing w:val="-2"/>
        </w:rPr>
        <w:t>a)  分析评价类专题，包括区域重要生态系统相互关系分析、区域生态问题系统性诊</w:t>
      </w:r>
      <w:r>
        <w:rPr>
          <w:spacing w:val="-3"/>
        </w:rPr>
        <w:t>断与风险研判</w:t>
      </w:r>
      <w:r>
        <w:t xml:space="preserve"> </w:t>
      </w:r>
      <w:r>
        <w:rPr>
          <w:spacing w:val="-9"/>
        </w:rPr>
        <w:t>等；</w:t>
      </w:r>
    </w:p>
    <w:p>
      <w:pPr>
        <w:pStyle w:val="BodyText"/>
        <w:spacing w:line="212" w:lineRule="auto"/>
        <w:ind w:left="399"/>
      </w:pPr>
      <w:r>
        <w:rPr>
          <w:rFonts w:ascii="Times New Roman" w:eastAsia="Times New Roman" w:hAnsi="Times New Roman" w:cs="Times New Roman"/>
        </w:rPr>
        <w:t xml:space="preserve">b)    </w:t>
      </w:r>
      <w:r>
        <w:t>规划布局类专题，包括生态网</w:t>
      </w:r>
      <w:r>
        <w:rPr>
          <w:spacing w:val="-1"/>
        </w:rPr>
        <w:t>络与生态廊道、修复分区、重点区域、项目布局等；</w:t>
      </w:r>
    </w:p>
    <w:p>
      <w:pPr>
        <w:pStyle w:val="BodyText"/>
        <w:spacing w:before="9" w:line="242" w:lineRule="auto"/>
        <w:ind w:right="74" w:firstLine="399"/>
      </w:pPr>
      <w:r>
        <w:rPr>
          <w:rFonts w:ascii="Times New Roman" w:eastAsia="Times New Roman" w:hAnsi="Times New Roman" w:cs="Times New Roman"/>
          <w:spacing w:val="-2"/>
        </w:rPr>
        <w:t xml:space="preserve">c)     </w:t>
      </w:r>
      <w:r>
        <w:rPr>
          <w:spacing w:val="-2"/>
        </w:rPr>
        <w:t>规划策略类专题，包括生态空间生态修复、农业空间生态修复、城镇空间生态修复、矿山生态</w:t>
      </w:r>
      <w:r>
        <w:rPr>
          <w:spacing w:val="9"/>
        </w:rPr>
        <w:t xml:space="preserve"> </w:t>
      </w:r>
      <w:r>
        <w:rPr>
          <w:spacing w:val="-2"/>
        </w:rPr>
        <w:t>修复、海洋生态修复，以及结合生态修复分区开展一体化保护修复等；</w:t>
      </w:r>
    </w:p>
    <w:p>
      <w:pPr>
        <w:pStyle w:val="BodyText"/>
        <w:spacing w:line="237" w:lineRule="auto"/>
        <w:ind w:right="94" w:firstLine="399"/>
      </w:pPr>
      <w:r>
        <w:rPr>
          <w:rFonts w:ascii="Times New Roman" w:eastAsia="Times New Roman" w:hAnsi="Times New Roman" w:cs="Times New Roman"/>
          <w:spacing w:val="-1"/>
        </w:rPr>
        <w:t xml:space="preserve">d)    </w:t>
      </w:r>
      <w:r>
        <w:rPr>
          <w:spacing w:val="-1"/>
        </w:rPr>
        <w:t>规划实施保障类专题，包括市场化投入机制、生态</w:t>
      </w:r>
      <w:r>
        <w:rPr>
          <w:spacing w:val="-2"/>
        </w:rPr>
        <w:t>补偿、生态产品价值实现路径与机制、生态</w:t>
      </w:r>
      <w:r>
        <w:t xml:space="preserve"> </w:t>
      </w:r>
      <w:r>
        <w:rPr>
          <w:spacing w:val="-7"/>
        </w:rPr>
        <w:t>修复政策机制等；</w:t>
      </w:r>
    </w:p>
    <w:p>
      <w:pPr>
        <w:pStyle w:val="BodyText"/>
        <w:spacing w:before="2" w:line="246" w:lineRule="auto"/>
        <w:ind w:right="95" w:firstLine="399"/>
      </w:pPr>
      <w:r>
        <w:rPr>
          <w:rFonts w:ascii="Times New Roman" w:eastAsia="Times New Roman" w:hAnsi="Times New Roman" w:cs="Times New Roman"/>
          <w:spacing w:val="-2"/>
        </w:rPr>
        <w:t xml:space="preserve">e)     </w:t>
      </w:r>
      <w:r>
        <w:rPr>
          <w:spacing w:val="-2"/>
        </w:rPr>
        <w:t>地方特色类专题。县级国土空间生态修复规划可不另行开展专题研究</w:t>
      </w:r>
      <w:r>
        <w:rPr>
          <w:spacing w:val="-3"/>
        </w:rPr>
        <w:t>，但需细化落实市级国土</w:t>
      </w:r>
      <w:r>
        <w:t xml:space="preserve"> </w:t>
      </w:r>
      <w:r>
        <w:rPr>
          <w:spacing w:val="-2"/>
        </w:rPr>
        <w:t>空间生态修复规划专题研究成果，并在规划说明中具体阐述。</w:t>
      </w:r>
    </w:p>
    <w:p>
      <w:pPr>
        <w:spacing w:before="250" w:line="222" w:lineRule="auto"/>
        <w:ind w:left="3"/>
        <w:rPr>
          <w:rFonts w:ascii="SimHei" w:eastAsia="SimHei" w:hAnsi="SimHei" w:cs="SimHei"/>
          <w:sz w:val="21"/>
          <w:szCs w:val="21"/>
        </w:rPr>
      </w:pPr>
      <w:r>
        <w:rPr>
          <w:rFonts w:ascii="SimHei" w:eastAsia="SimHei" w:hAnsi="SimHei" w:cs="SimHei"/>
          <w:b/>
          <w:bCs/>
          <w:spacing w:val="-5"/>
          <w:sz w:val="21"/>
          <w:szCs w:val="21"/>
        </w:rPr>
        <w:t>8</w:t>
      </w:r>
      <w:r>
        <w:rPr>
          <w:rFonts w:ascii="SimHei" w:eastAsia="SimHei" w:hAnsi="SimHei" w:cs="SimHei"/>
          <w:spacing w:val="98"/>
          <w:sz w:val="21"/>
          <w:szCs w:val="21"/>
        </w:rPr>
        <w:t xml:space="preserve"> </w:t>
      </w:r>
      <w:r>
        <w:rPr>
          <w:rFonts w:ascii="SimHei" w:eastAsia="SimHei" w:hAnsi="SimHei" w:cs="SimHei"/>
          <w:b/>
          <w:bCs/>
          <w:spacing w:val="-5"/>
          <w:sz w:val="21"/>
          <w:szCs w:val="21"/>
        </w:rPr>
        <w:t>规划内容</w:t>
      </w:r>
    </w:p>
    <w:p>
      <w:pPr>
        <w:spacing w:before="268" w:line="223" w:lineRule="auto"/>
        <w:ind w:left="3"/>
        <w:outlineLvl w:val="0"/>
        <w:rPr>
          <w:rFonts w:ascii="SimHei" w:eastAsia="SimHei" w:hAnsi="SimHei" w:cs="SimHei"/>
          <w:sz w:val="21"/>
          <w:szCs w:val="21"/>
        </w:rPr>
      </w:pPr>
      <w:r>
        <w:rPr>
          <w:rFonts w:ascii="SimHei" w:eastAsia="SimHei" w:hAnsi="SimHei" w:cs="SimHei"/>
          <w:b/>
          <w:bCs/>
          <w:spacing w:val="-4"/>
          <w:sz w:val="21"/>
          <w:szCs w:val="21"/>
        </w:rPr>
        <w:t>8.1</w:t>
      </w:r>
      <w:r>
        <w:rPr>
          <w:rFonts w:ascii="SimHei" w:eastAsia="SimHei" w:hAnsi="SimHei" w:cs="SimHei"/>
          <w:spacing w:val="96"/>
          <w:sz w:val="21"/>
          <w:szCs w:val="21"/>
        </w:rPr>
        <w:t xml:space="preserve"> </w:t>
      </w:r>
      <w:r>
        <w:rPr>
          <w:rFonts w:ascii="SimHei" w:eastAsia="SimHei" w:hAnsi="SimHei" w:cs="SimHei"/>
          <w:b/>
          <w:bCs/>
          <w:spacing w:val="-4"/>
          <w:sz w:val="21"/>
          <w:szCs w:val="21"/>
        </w:rPr>
        <w:t>规划目标</w:t>
      </w:r>
    </w:p>
    <w:p>
      <w:pPr>
        <w:pStyle w:val="BodyText"/>
        <w:spacing w:before="137" w:line="233" w:lineRule="auto"/>
        <w:ind w:right="96" w:firstLine="399"/>
        <w:jc w:val="both"/>
      </w:pPr>
      <w:r>
        <w:rPr>
          <w:spacing w:val="-3"/>
        </w:rPr>
        <w:t>围绕生态文明建设总体部署，落实国家、省级等上位规划，协调同级</w:t>
      </w:r>
      <w:r>
        <w:rPr>
          <w:spacing w:val="-4"/>
        </w:rPr>
        <w:t>相关规划目标及任务要求，综</w:t>
      </w:r>
      <w:r>
        <w:t xml:space="preserve"> </w:t>
      </w:r>
      <w:r>
        <w:rPr>
          <w:spacing w:val="-3"/>
        </w:rPr>
        <w:t>合考虑本地生态问题治理需求和紧迫性，以山水林田湖草沙一体化保护和系统治理为主</w:t>
      </w:r>
      <w:r>
        <w:rPr>
          <w:spacing w:val="-4"/>
        </w:rPr>
        <w:t>线，将生态修复</w:t>
      </w:r>
      <w:r>
        <w:t xml:space="preserve"> </w:t>
      </w:r>
      <w:r>
        <w:rPr>
          <w:spacing w:val="-3"/>
        </w:rPr>
        <w:t>融入经济、社会、文化建设中，提高生态修复空间的人文属性，激发空间活力，分别提出近期、远期分</w:t>
      </w:r>
      <w:r>
        <w:rPr>
          <w:spacing w:val="12"/>
        </w:rPr>
        <w:t xml:space="preserve"> </w:t>
      </w:r>
      <w:r>
        <w:rPr>
          <w:spacing w:val="-4"/>
        </w:rPr>
        <w:t>阶段国土空间生态修复目标。</w:t>
      </w:r>
    </w:p>
    <w:p>
      <w:pPr>
        <w:pStyle w:val="BodyText"/>
        <w:spacing w:before="41" w:line="225" w:lineRule="auto"/>
        <w:ind w:right="16" w:firstLine="399"/>
        <w:jc w:val="both"/>
      </w:pPr>
      <w:r>
        <w:rPr>
          <w:spacing w:val="-2"/>
        </w:rPr>
        <w:t>坚持上下衔接、统分结合、简明适用、定性与定量相结</w:t>
      </w:r>
      <w:r>
        <w:rPr>
          <w:spacing w:val="-3"/>
        </w:rPr>
        <w:t xml:space="preserve">合原则，依据规划目标，围绕生态安全底线 </w:t>
      </w:r>
      <w:r>
        <w:rPr>
          <w:spacing w:val="-1"/>
        </w:rPr>
        <w:t>维护、生态质量提升、生态结构优化、生态品质改善等，合理提出规划指标体系及分阶段指标目标值。</w:t>
      </w:r>
      <w:r>
        <w:rPr>
          <w:spacing w:val="2"/>
        </w:rPr>
        <w:t xml:space="preserve"> </w:t>
      </w:r>
      <w:r>
        <w:rPr>
          <w:spacing w:val="-4"/>
        </w:rPr>
        <w:t>指标体系见附录C。</w:t>
      </w:r>
    </w:p>
    <w:p>
      <w:pPr>
        <w:spacing w:before="158" w:line="222" w:lineRule="auto"/>
        <w:ind w:left="3"/>
        <w:outlineLvl w:val="0"/>
        <w:rPr>
          <w:rFonts w:ascii="SimHei" w:eastAsia="SimHei" w:hAnsi="SimHei" w:cs="SimHei"/>
          <w:sz w:val="21"/>
          <w:szCs w:val="21"/>
        </w:rPr>
      </w:pPr>
      <w:r>
        <w:rPr>
          <w:rFonts w:ascii="SimHei" w:eastAsia="SimHei" w:hAnsi="SimHei" w:cs="SimHei"/>
          <w:b/>
          <w:bCs/>
          <w:spacing w:val="-4"/>
          <w:sz w:val="21"/>
          <w:szCs w:val="21"/>
        </w:rPr>
        <w:t>8.2</w:t>
      </w:r>
      <w:r>
        <w:rPr>
          <w:rFonts w:ascii="SimHei" w:eastAsia="SimHei" w:hAnsi="SimHei" w:cs="SimHei"/>
          <w:spacing w:val="89"/>
          <w:sz w:val="21"/>
          <w:szCs w:val="21"/>
        </w:rPr>
        <w:t xml:space="preserve"> </w:t>
      </w:r>
      <w:r>
        <w:rPr>
          <w:rFonts w:ascii="SimHei" w:eastAsia="SimHei" w:hAnsi="SimHei" w:cs="SimHei"/>
          <w:b/>
          <w:bCs/>
          <w:spacing w:val="-4"/>
          <w:sz w:val="21"/>
          <w:szCs w:val="21"/>
        </w:rPr>
        <w:t>生态修复布局</w:t>
      </w:r>
    </w:p>
    <w:p>
      <w:pPr>
        <w:spacing w:before="137" w:line="222" w:lineRule="auto"/>
        <w:ind w:left="3"/>
        <w:outlineLvl w:val="0"/>
        <w:rPr>
          <w:rFonts w:ascii="SimHei" w:eastAsia="SimHei" w:hAnsi="SimHei" w:cs="SimHei"/>
          <w:sz w:val="21"/>
          <w:szCs w:val="21"/>
        </w:rPr>
      </w:pPr>
      <w:r>
        <w:rPr>
          <w:rFonts w:ascii="SimHei" w:eastAsia="SimHei" w:hAnsi="SimHei" w:cs="SimHei"/>
          <w:b/>
          <w:bCs/>
          <w:spacing w:val="-4"/>
          <w:sz w:val="21"/>
          <w:szCs w:val="21"/>
        </w:rPr>
        <w:t>8.2.1</w:t>
      </w:r>
      <w:r>
        <w:rPr>
          <w:rFonts w:ascii="SimHei" w:eastAsia="SimHei" w:hAnsi="SimHei" w:cs="SimHei"/>
          <w:spacing w:val="99"/>
          <w:sz w:val="21"/>
          <w:szCs w:val="21"/>
        </w:rPr>
        <w:t xml:space="preserve"> </w:t>
      </w:r>
      <w:r>
        <w:rPr>
          <w:rFonts w:ascii="SimHei" w:eastAsia="SimHei" w:hAnsi="SimHei" w:cs="SimHei"/>
          <w:b/>
          <w:bCs/>
          <w:spacing w:val="-4"/>
          <w:sz w:val="21"/>
          <w:szCs w:val="21"/>
        </w:rPr>
        <w:t>细化落实生态修复总体布局</w:t>
      </w:r>
    </w:p>
    <w:p>
      <w:pPr>
        <w:pStyle w:val="BodyText"/>
        <w:spacing w:before="140" w:line="234" w:lineRule="auto"/>
        <w:ind w:right="87" w:firstLine="399"/>
        <w:jc w:val="both"/>
      </w:pPr>
      <w:r>
        <w:rPr>
          <w:spacing w:val="-2"/>
        </w:rPr>
        <w:t>结合国家生态安全屏障和区域重大战略的生态定位，落实上级国土空间生态修复</w:t>
      </w:r>
      <w:r>
        <w:rPr>
          <w:spacing w:val="-3"/>
        </w:rPr>
        <w:t>规划确定的修复总</w:t>
      </w:r>
      <w:r>
        <w:t xml:space="preserve"> </w:t>
      </w:r>
      <w:r>
        <w:rPr>
          <w:spacing w:val="2"/>
        </w:rPr>
        <w:t>体布局，明确在全省(全市)及周边区域的生态定位，以同级国土空间总体规划确定的生态安全格局为</w:t>
      </w:r>
      <w:r>
        <w:t xml:space="preserve"> </w:t>
      </w:r>
      <w:r>
        <w:rPr>
          <w:spacing w:val="-3"/>
        </w:rPr>
        <w:t>基础，以生态保护红线、自然保护地体系为核心，识别生态源地、连通生态廊道，反映区域生态修复的</w:t>
      </w:r>
      <w:r>
        <w:t xml:space="preserve"> </w:t>
      </w:r>
      <w:r>
        <w:rPr>
          <w:spacing w:val="-8"/>
        </w:rPr>
        <w:t>总体脉络。</w:t>
      </w:r>
    </w:p>
    <w:p>
      <w:pPr>
        <w:spacing w:before="143" w:line="222" w:lineRule="auto"/>
        <w:ind w:left="3"/>
        <w:outlineLvl w:val="0"/>
        <w:rPr>
          <w:rFonts w:ascii="SimHei" w:eastAsia="SimHei" w:hAnsi="SimHei" w:cs="SimHei"/>
          <w:sz w:val="21"/>
          <w:szCs w:val="21"/>
        </w:rPr>
        <w:sectPr>
          <w:headerReference w:type="default" r:id="rId39"/>
          <w:footerReference w:type="default" r:id="rId40"/>
          <w:pgSz w:w="11910" w:h="16840"/>
          <w:pgMar w:top="400" w:right="1085" w:bottom="1305" w:left="1400" w:header="0" w:footer="1156" w:gutter="0"/>
          <w:pgNumType w:start="11"/>
          <w:cols w:space="708"/>
        </w:sectPr>
      </w:pPr>
      <w:r>
        <w:rPr>
          <w:rFonts w:ascii="SimHei" w:eastAsia="SimHei" w:hAnsi="SimHei" w:cs="SimHei"/>
          <w:b/>
          <w:bCs/>
          <w:spacing w:val="-4"/>
          <w:sz w:val="21"/>
          <w:szCs w:val="21"/>
        </w:rPr>
        <w:t>8.2.2</w:t>
      </w:r>
      <w:r>
        <w:rPr>
          <w:rFonts w:ascii="SimHei" w:eastAsia="SimHei" w:hAnsi="SimHei" w:cs="SimHei"/>
          <w:spacing w:val="86"/>
          <w:sz w:val="21"/>
          <w:szCs w:val="21"/>
        </w:rPr>
        <w:t xml:space="preserve"> </w:t>
      </w:r>
      <w:r>
        <w:rPr>
          <w:rFonts w:ascii="SimHei" w:eastAsia="SimHei" w:hAnsi="SimHei" w:cs="SimHei"/>
          <w:b/>
          <w:bCs/>
          <w:spacing w:val="-4"/>
          <w:sz w:val="21"/>
          <w:szCs w:val="21"/>
        </w:rPr>
        <w:t>确定生态修复分区</w:t>
      </w:r>
    </w:p>
    <w:p>
      <w:pPr>
        <w:pStyle w:val="BodyText"/>
        <w:spacing w:before="145" w:line="233" w:lineRule="auto"/>
        <w:ind w:firstLine="399"/>
        <w:jc w:val="both"/>
      </w:pPr>
      <w:r>
        <w:rPr>
          <w:spacing w:val="2"/>
        </w:rPr>
        <w:t>市级国土空间生态修复规划以省级国土空间生态修复规划确定的修复分区和市级国土空间总体规</w:t>
      </w:r>
      <w:r>
        <w:rPr>
          <w:spacing w:val="1"/>
        </w:rPr>
        <w:t xml:space="preserve">  </w:t>
      </w:r>
      <w:r>
        <w:rPr>
          <w:spacing w:val="-5"/>
        </w:rPr>
        <w:t>划确定的生态修复总体布局为基础，综合考虑区域自然本底、主导生态服务功能及主要的</w:t>
      </w:r>
      <w:r>
        <w:rPr>
          <w:spacing w:val="-6"/>
        </w:rPr>
        <w:t>生态胁迫问题，</w:t>
      </w:r>
      <w:r>
        <w:t xml:space="preserve"> </w:t>
      </w:r>
      <w:r>
        <w:rPr>
          <w:spacing w:val="-3"/>
        </w:rPr>
        <w:t>以流域、区域、海域为基础单元，突出自然地理和生态系统的完整性和连通性，划分市级国土空间生态</w:t>
      </w:r>
      <w:r>
        <w:rPr>
          <w:spacing w:val="7"/>
        </w:rPr>
        <w:t xml:space="preserve">  </w:t>
      </w:r>
      <w:r>
        <w:rPr>
          <w:spacing w:val="-3"/>
        </w:rPr>
        <w:t>修复分区，明确各分区生态系统服务主导功能定位、主要生态胁迫问题及修复的主导方向。分区划定技</w:t>
      </w:r>
      <w:r>
        <w:rPr>
          <w:spacing w:val="6"/>
        </w:rPr>
        <w:t xml:space="preserve">  </w:t>
      </w:r>
      <w:r>
        <w:rPr>
          <w:spacing w:val="-4"/>
        </w:rPr>
        <w:t>术流程参见附录D。</w:t>
      </w:r>
    </w:p>
    <w:p>
      <w:pPr>
        <w:pStyle w:val="BodyText"/>
        <w:spacing w:before="52" w:line="219" w:lineRule="auto"/>
        <w:ind w:left="399"/>
      </w:pPr>
      <w:r>
        <w:rPr>
          <w:spacing w:val="-1"/>
        </w:rPr>
        <w:t>县级国土空间生态修复规划落实市级国土空间生态修复规划的修复分区，可不再进行分区。</w:t>
      </w:r>
    </w:p>
    <w:p>
      <w:pPr>
        <w:spacing w:before="136" w:line="222" w:lineRule="auto"/>
        <w:ind w:left="3"/>
        <w:outlineLvl w:val="0"/>
        <w:rPr>
          <w:rFonts w:ascii="SimHei" w:eastAsia="SimHei" w:hAnsi="SimHei" w:cs="SimHei"/>
          <w:sz w:val="21"/>
          <w:szCs w:val="21"/>
        </w:rPr>
      </w:pPr>
      <w:r>
        <w:rPr>
          <w:rFonts w:ascii="SimHei" w:eastAsia="SimHei" w:hAnsi="SimHei" w:cs="SimHei"/>
          <w:b/>
          <w:bCs/>
          <w:spacing w:val="-4"/>
          <w:sz w:val="21"/>
          <w:szCs w:val="21"/>
        </w:rPr>
        <w:t>8.2.3</w:t>
      </w:r>
      <w:r>
        <w:rPr>
          <w:rFonts w:ascii="SimHei" w:eastAsia="SimHei" w:hAnsi="SimHei" w:cs="SimHei"/>
          <w:spacing w:val="99"/>
          <w:sz w:val="21"/>
          <w:szCs w:val="21"/>
        </w:rPr>
        <w:t xml:space="preserve"> </w:t>
      </w:r>
      <w:r>
        <w:rPr>
          <w:rFonts w:ascii="SimHei" w:eastAsia="SimHei" w:hAnsi="SimHei" w:cs="SimHei"/>
          <w:b/>
          <w:bCs/>
          <w:spacing w:val="-4"/>
          <w:sz w:val="21"/>
          <w:szCs w:val="21"/>
        </w:rPr>
        <w:t>划定生态修复重点区域</w:t>
      </w:r>
    </w:p>
    <w:p>
      <w:pPr>
        <w:spacing w:line="222" w:lineRule="auto"/>
        <w:rPr>
          <w:rFonts w:ascii="SimHei" w:eastAsia="SimHei" w:hAnsi="SimHei" w:cs="SimHei"/>
          <w:sz w:val="21"/>
          <w:szCs w:val="21"/>
        </w:rPr>
        <w:sectPr>
          <w:headerReference w:type="default" r:id="rId41"/>
          <w:footerReference w:type="default" r:id="rId42"/>
          <w:type w:val="nextPage"/>
          <w:pgSz w:w="11910" w:h="16840"/>
          <w:pgMar w:top="400" w:right="1085" w:bottom="1305" w:left="1400" w:header="0" w:footer="1156" w:gutter="0"/>
          <w:pgNumType w:start="12"/>
          <w:cols w:space="708"/>
          <w:titlePg w:val="0"/>
        </w:sectPr>
      </w:pPr>
    </w:p>
    <w:p>
      <w:pPr>
        <w:pStyle w:val="BodyText"/>
        <w:spacing w:before="296" w:line="236" w:lineRule="auto"/>
        <w:ind w:left="8" w:firstLine="421"/>
        <w:jc w:val="both"/>
      </w:pPr>
      <w:r>
        <w:rPr>
          <w:spacing w:val="-2"/>
        </w:rPr>
        <w:t>落实上级国土空间生态修复规划确定的生态修复重点区域，以</w:t>
      </w:r>
      <w:r>
        <w:rPr>
          <w:spacing w:val="-3"/>
        </w:rPr>
        <w:t>同级国土空间总体规划为基础，基于</w:t>
      </w:r>
      <w:r>
        <w:t xml:space="preserve"> </w:t>
      </w:r>
      <w:r>
        <w:rPr>
          <w:spacing w:val="-3"/>
        </w:rPr>
        <w:t>重点生态功能区布局、生态修复总体布局和修复分区，</w:t>
      </w:r>
      <w:r>
        <w:rPr>
          <w:spacing w:val="-53"/>
        </w:rPr>
        <w:t xml:space="preserve"> </w:t>
      </w:r>
      <w:r>
        <w:rPr>
          <w:spacing w:val="-3"/>
        </w:rPr>
        <w:t>依</w:t>
      </w:r>
      <w:r>
        <w:rPr>
          <w:spacing w:val="-4"/>
        </w:rPr>
        <w:t>据主要生态胁迫问题分析诊断结果，识别生态</w:t>
      </w:r>
      <w:r>
        <w:t xml:space="preserve"> </w:t>
      </w:r>
      <w:r>
        <w:rPr>
          <w:spacing w:val="-3"/>
        </w:rPr>
        <w:t>安全有重大影响的关键地区（如重要山脉、河流、湖泊、湿地、河</w:t>
      </w:r>
      <w:r>
        <w:rPr>
          <w:spacing w:val="-4"/>
        </w:rPr>
        <w:t>口、海域等）</w:t>
      </w:r>
      <w:r>
        <w:rPr>
          <w:spacing w:val="-57"/>
        </w:rPr>
        <w:t xml:space="preserve"> </w:t>
      </w:r>
      <w:r>
        <w:rPr>
          <w:spacing w:val="-4"/>
        </w:rPr>
        <w:t>、跨行政边界的生态问</w:t>
      </w:r>
      <w:r>
        <w:t xml:space="preserve"> </w:t>
      </w:r>
      <w:r>
        <w:rPr>
          <w:spacing w:val="-2"/>
        </w:rPr>
        <w:t>题突出区、重要生态廊道、关键生态节点以及生态系统服务高值区、生态</w:t>
      </w:r>
      <w:r>
        <w:rPr>
          <w:spacing w:val="-3"/>
        </w:rPr>
        <w:t>脆弱区等区域，结合国家、区</w:t>
      </w:r>
      <w:r>
        <w:t xml:space="preserve"> </w:t>
      </w:r>
      <w:r>
        <w:t>域发展战略，并统筹各相关部门生态修复任务区域，确定生态修复重点</w:t>
      </w:r>
      <w:r>
        <w:rPr>
          <w:spacing w:val="-1"/>
        </w:rPr>
        <w:t>区域。</w:t>
      </w:r>
    </w:p>
    <w:p>
      <w:pPr>
        <w:pStyle w:val="BodyText"/>
        <w:spacing w:before="22" w:line="220" w:lineRule="auto"/>
        <w:ind w:left="428"/>
      </w:pPr>
      <w:r>
        <w:rPr>
          <w:spacing w:val="-1"/>
        </w:rPr>
        <w:t>注：重点区域作为规划实施的优先区，为安排生态修复项目提供依据。</w:t>
      </w:r>
    </w:p>
    <w:p>
      <w:pPr>
        <w:spacing w:before="140" w:line="220" w:lineRule="auto"/>
        <w:rPr>
          <w:rFonts w:ascii="SimHei" w:eastAsia="SimHei" w:hAnsi="SimHei" w:cs="SimHei"/>
          <w:sz w:val="21"/>
          <w:szCs w:val="21"/>
        </w:rPr>
      </w:pPr>
      <w:r>
        <w:rPr>
          <w:rFonts w:ascii="SimHei" w:eastAsia="SimHei" w:hAnsi="SimHei" w:cs="SimHei"/>
          <w:sz w:val="21"/>
          <w:szCs w:val="21"/>
        </w:rPr>
        <w:drawing>
          <wp:inline distT="0" distB="0" distL="0" distR="0">
            <wp:extent cx="196595" cy="9905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43"/>
                    <a:stretch>
                      <a:fillRect/>
                    </a:stretch>
                  </pic:blipFill>
                  <pic:spPr>
                    <a:xfrm>
                      <a:off x="0" y="0"/>
                      <a:ext cx="196595" cy="99059"/>
                    </a:xfrm>
                    <a:prstGeom prst="rect">
                      <a:avLst/>
                    </a:prstGeom>
                  </pic:spPr>
                </pic:pic>
              </a:graphicData>
            </a:graphic>
          </wp:inline>
        </w:drawing>
      </w:r>
      <w:r>
        <w:rPr>
          <w:rFonts w:ascii="SimHei" w:eastAsia="SimHei" w:hAnsi="SimHei" w:cs="SimHei"/>
          <w:spacing w:val="7"/>
          <w:sz w:val="21"/>
          <w:szCs w:val="21"/>
        </w:rPr>
        <w:t xml:space="preserve">  </w:t>
      </w:r>
      <w:r>
        <w:rPr>
          <w:rFonts w:ascii="SimHei" w:eastAsia="SimHei" w:hAnsi="SimHei" w:cs="SimHei"/>
          <w:spacing w:val="-1"/>
          <w:sz w:val="21"/>
          <w:szCs w:val="21"/>
        </w:rPr>
        <w:t>规划实施安排</w:t>
      </w:r>
    </w:p>
    <w:p>
      <w:pPr>
        <w:spacing w:before="143" w:line="219" w:lineRule="auto"/>
        <w:ind w:left="8"/>
        <w:rPr>
          <w:rFonts w:ascii="SimHei" w:eastAsia="SimHei" w:hAnsi="SimHei" w:cs="SimHei"/>
          <w:sz w:val="21"/>
          <w:szCs w:val="21"/>
        </w:rPr>
      </w:pPr>
      <w:r>
        <w:rPr>
          <w:rFonts w:ascii="SimHei" w:eastAsia="SimHei" w:hAnsi="SimHei" w:cs="SimHei"/>
          <w:spacing w:val="-1"/>
          <w:sz w:val="21"/>
          <w:szCs w:val="21"/>
        </w:rPr>
        <w:t>8.3.1</w:t>
      </w:r>
      <w:r>
        <w:rPr>
          <w:rFonts w:ascii="SimHei" w:eastAsia="SimHei" w:hAnsi="SimHei" w:cs="SimHei"/>
          <w:spacing w:val="-1"/>
          <w:sz w:val="21"/>
          <w:szCs w:val="21"/>
        </w:rPr>
        <w:t xml:space="preserve">  </w:t>
      </w:r>
      <w:r>
        <w:rPr>
          <w:rFonts w:ascii="SimHei" w:eastAsia="SimHei" w:hAnsi="SimHei" w:cs="SimHei"/>
          <w:spacing w:val="-1"/>
          <w:sz w:val="21"/>
          <w:szCs w:val="21"/>
        </w:rPr>
        <w:t>分区分类实施生态修复</w:t>
      </w:r>
    </w:p>
    <w:p>
      <w:pPr>
        <w:pStyle w:val="BodyText"/>
        <w:spacing w:before="141" w:line="236" w:lineRule="auto"/>
        <w:ind w:left="7" w:firstLine="420"/>
        <w:jc w:val="both"/>
      </w:pPr>
      <w:r>
        <w:rPr>
          <w:spacing w:val="-2"/>
        </w:rPr>
        <w:t>根据生态修复需求轻重缓急程度以及生态修复分区和重点区域，</w:t>
      </w:r>
      <w:r>
        <w:rPr>
          <w:spacing w:val="-3"/>
        </w:rPr>
        <w:t>宜分区分类分时段统筹安排生态修</w:t>
      </w:r>
      <w:r>
        <w:t xml:space="preserve"> </w:t>
      </w:r>
      <w:r>
        <w:rPr>
          <w:spacing w:val="-2"/>
        </w:rPr>
        <w:t>复任务，明确生态修复的主攻方向和主要策略。科学开展生态系统恢复力评</w:t>
      </w:r>
      <w:r>
        <w:rPr>
          <w:spacing w:val="-3"/>
        </w:rPr>
        <w:t>价，选择参照生态系统，依</w:t>
      </w:r>
      <w:r>
        <w:t xml:space="preserve"> </w:t>
      </w:r>
      <w:r>
        <w:rPr>
          <w:spacing w:val="-2"/>
        </w:rPr>
        <w:t>据实际情况，宜采取保育保护、自然恢复、辅助再生、生态重建、综合整</w:t>
      </w:r>
      <w:r>
        <w:rPr>
          <w:spacing w:val="-3"/>
        </w:rPr>
        <w:t>治等一种或多种策略。在空间</w:t>
      </w:r>
      <w:r>
        <w:t xml:space="preserve"> </w:t>
      </w:r>
      <w:r>
        <w:rPr>
          <w:spacing w:val="-4"/>
        </w:rPr>
        <w:t>规划、用途管制、开发利用、实施监管等过程中落实</w:t>
      </w:r>
      <w:r>
        <w:rPr>
          <w:spacing w:val="-5"/>
        </w:rPr>
        <w:t>生态保护责任是至关重要的， 宜加强政策调控，变</w:t>
      </w:r>
      <w:r>
        <w:t xml:space="preserve"> </w:t>
      </w:r>
      <w:r>
        <w:rPr>
          <w:spacing w:val="-1"/>
        </w:rPr>
        <w:t>被动修复为主动保护，变末端治理为前端防护。</w:t>
      </w:r>
    </w:p>
    <w:p>
      <w:pPr>
        <w:spacing w:before="143" w:line="219" w:lineRule="auto"/>
        <w:ind w:left="6"/>
        <w:rPr>
          <w:rFonts w:ascii="SimHei" w:eastAsia="SimHei" w:hAnsi="SimHei" w:cs="SimHei"/>
          <w:sz w:val="21"/>
          <w:szCs w:val="21"/>
        </w:rPr>
      </w:pPr>
      <w:hyperlink r:id="rId44" w:history="1">
        <w:r>
          <w:rPr>
            <w:rFonts w:ascii="SimHei" w:eastAsia="SimHei" w:hAnsi="SimHei" w:cs="SimHei"/>
            <w:sz w:val="21"/>
            <w:szCs w:val="21"/>
          </w:rPr>
          <w:t>8.3.1.1</w:t>
        </w:r>
      </w:hyperlink>
      <w:r>
        <w:rPr>
          <w:rFonts w:ascii="SimHei" w:eastAsia="SimHei" w:hAnsi="SimHei" w:cs="SimHei"/>
          <w:sz w:val="21"/>
          <w:szCs w:val="21"/>
        </w:rPr>
        <w:t xml:space="preserve">  </w:t>
      </w:r>
      <w:r>
        <w:rPr>
          <w:rFonts w:ascii="SimHei" w:eastAsia="SimHei" w:hAnsi="SimHei" w:cs="SimHei"/>
          <w:sz w:val="21"/>
          <w:szCs w:val="21"/>
        </w:rPr>
        <w:t>重要生态廊道和生物多样性网络构建</w:t>
      </w:r>
    </w:p>
    <w:p>
      <w:pPr>
        <w:pStyle w:val="BodyText"/>
        <w:spacing w:before="143" w:line="229" w:lineRule="auto"/>
        <w:ind w:left="26" w:firstLine="401"/>
      </w:pPr>
      <w:r>
        <w:rPr>
          <w:spacing w:val="-2"/>
        </w:rPr>
        <w:t>在区域生态安全格局框架下，落实和细化上级国土空间生态修复规</w:t>
      </w:r>
      <w:r>
        <w:rPr>
          <w:spacing w:val="-3"/>
        </w:rPr>
        <w:t>划和同级国土空间总体规划明确</w:t>
      </w:r>
      <w:r>
        <w:t xml:space="preserve"> </w:t>
      </w:r>
      <w:r>
        <w:rPr>
          <w:spacing w:val="-4"/>
        </w:rPr>
        <w:t>的生态源地、生态廊道，</w:t>
      </w:r>
      <w:r>
        <w:rPr>
          <w:spacing w:val="-13"/>
        </w:rPr>
        <w:t xml:space="preserve"> </w:t>
      </w:r>
      <w:r>
        <w:rPr>
          <w:spacing w:val="-4"/>
        </w:rPr>
        <w:t>构建生物多样性网络与生态廊道体系：</w:t>
      </w:r>
    </w:p>
    <w:p>
      <w:pPr>
        <w:pStyle w:val="BodyText"/>
        <w:spacing w:before="23" w:line="233" w:lineRule="auto"/>
        <w:ind w:left="860" w:right="7" w:hanging="426"/>
      </w:pPr>
      <w:r>
        <w:rPr>
          <w:spacing w:val="2"/>
        </w:rPr>
        <w:t>a)  生态源地以本地具有较高自然和历史文化价值的各类自然保护区、风景名胜区、重要湖泊湿</w:t>
      </w:r>
      <w:r>
        <w:rPr>
          <w:spacing w:val="9"/>
        </w:rPr>
        <w:t xml:space="preserve"> </w:t>
      </w:r>
      <w:r>
        <w:rPr>
          <w:spacing w:val="2"/>
        </w:rPr>
        <w:t>地、自然公园、重要生态功能区域、以及水产种质资源保护区和作物种质资源保护区等为核</w:t>
      </w:r>
      <w:r>
        <w:rPr>
          <w:spacing w:val="9"/>
        </w:rPr>
        <w:t xml:space="preserve"> </w:t>
      </w:r>
      <w:r>
        <w:t>心构建，宜优先保护关键生态系统、珍稀濒危物种及其栖息地、重要生态功能区</w:t>
      </w:r>
      <w:r>
        <w:rPr>
          <w:spacing w:val="-1"/>
        </w:rPr>
        <w:t>域等。</w:t>
      </w:r>
    </w:p>
    <w:p>
      <w:pPr>
        <w:pStyle w:val="BodyText"/>
        <w:spacing w:before="18" w:line="237" w:lineRule="auto"/>
        <w:ind w:left="859" w:right="5" w:hanging="429"/>
      </w:pPr>
      <w:r>
        <w:rPr>
          <w:spacing w:val="2"/>
        </w:rPr>
        <w:t>b)  重要生态廊道以重要山脉、河流水系、重要动物迁徙路线、重要交通水利等基础设施为脉络</w:t>
      </w:r>
      <w:r>
        <w:rPr>
          <w:spacing w:val="11"/>
        </w:rPr>
        <w:t xml:space="preserve"> </w:t>
      </w:r>
      <w:r>
        <w:rPr>
          <w:spacing w:val="2"/>
        </w:rPr>
        <w:t>构建，围绕生态保护修复目标形成生物多样性保护型生态廊道（生物廊道、森林廊道、山脉</w:t>
      </w:r>
      <w:r>
        <w:rPr>
          <w:spacing w:val="1"/>
        </w:rPr>
        <w:t xml:space="preserve"> </w:t>
      </w:r>
      <w:r>
        <w:rPr>
          <w:spacing w:val="-1"/>
        </w:rPr>
        <w:t>廊道等）</w:t>
      </w:r>
      <w:r>
        <w:rPr>
          <w:spacing w:val="-39"/>
        </w:rPr>
        <w:t xml:space="preserve"> </w:t>
      </w:r>
      <w:r>
        <w:rPr>
          <w:spacing w:val="-1"/>
        </w:rPr>
        <w:t>、水资源保护型廊道（河流廊道、湿地廊道、海岸带廊道等）</w:t>
      </w:r>
      <w:r>
        <w:rPr>
          <w:spacing w:val="-41"/>
        </w:rPr>
        <w:t xml:space="preserve"> </w:t>
      </w:r>
      <w:r>
        <w:rPr>
          <w:spacing w:val="-1"/>
        </w:rPr>
        <w:t>、景观建设型生态廊</w:t>
      </w:r>
      <w:r>
        <w:t xml:space="preserve"> </w:t>
      </w:r>
      <w:r>
        <w:rPr>
          <w:spacing w:val="2"/>
        </w:rPr>
        <w:t>道（景观廊道、交通廊道、建筑廊道、空中廊道、城市绿地等）共同组成的多功能生态廊道</w:t>
      </w:r>
      <w:r>
        <w:rPr>
          <w:spacing w:val="13"/>
        </w:rPr>
        <w:t xml:space="preserve"> </w:t>
      </w:r>
      <w:r>
        <w:rPr>
          <w:spacing w:val="2"/>
        </w:rPr>
        <w:t>体系，提升重要生境之间的连通性，保障江河湖海的生态流量，满足水生生物繁殖洄游、水</w:t>
      </w:r>
      <w:r>
        <w:rPr>
          <w:spacing w:val="10"/>
        </w:rPr>
        <w:t xml:space="preserve"> </w:t>
      </w:r>
      <w:r>
        <w:rPr>
          <w:spacing w:val="2"/>
        </w:rPr>
        <w:t>鸟和候鸟迁飞停留、陆生野生动物栖息迁移、改善人居生态环境等功能，延续历史文化脉络</w:t>
      </w:r>
      <w:r>
        <w:rPr>
          <w:spacing w:val="10"/>
        </w:rPr>
        <w:t xml:space="preserve"> </w:t>
      </w:r>
      <w:r>
        <w:rPr>
          <w:spacing w:val="-1"/>
        </w:rPr>
        <w:t>与地域景观风貌。</w:t>
      </w:r>
    </w:p>
    <w:p>
      <w:pPr>
        <w:pStyle w:val="BodyText"/>
        <w:spacing w:before="25" w:line="229" w:lineRule="auto"/>
        <w:ind w:left="859" w:right="8" w:hanging="422"/>
      </w:pPr>
      <w:r>
        <w:rPr>
          <w:spacing w:val="2"/>
        </w:rPr>
        <w:t>c)  在三类空间相邻区域，发挥生态廊道的过渡或隔离作用，因地制宜建设边缘地带过渡带或生</w:t>
      </w:r>
      <w:r>
        <w:rPr>
          <w:spacing w:val="4"/>
        </w:rPr>
        <w:t xml:space="preserve"> </w:t>
      </w:r>
      <w:r>
        <w:rPr>
          <w:spacing w:val="-7"/>
        </w:rPr>
        <w:t>态隔离带，</w:t>
      </w:r>
      <w:r>
        <w:rPr>
          <w:spacing w:val="-13"/>
        </w:rPr>
        <w:t xml:space="preserve"> </w:t>
      </w:r>
      <w:r>
        <w:rPr>
          <w:spacing w:val="-7"/>
        </w:rPr>
        <w:t>开展生态品质提升治理。</w:t>
      </w:r>
    </w:p>
    <w:p>
      <w:pPr>
        <w:spacing w:before="142" w:line="220" w:lineRule="auto"/>
        <w:ind w:left="6"/>
        <w:rPr>
          <w:rFonts w:ascii="SimHei" w:eastAsia="SimHei" w:hAnsi="SimHei" w:cs="SimHei"/>
          <w:sz w:val="21"/>
          <w:szCs w:val="21"/>
        </w:rPr>
      </w:pPr>
      <w:hyperlink r:id="rId45" w:history="1">
        <w:r>
          <w:rPr>
            <w:rFonts w:ascii="SimHei" w:eastAsia="SimHei" w:hAnsi="SimHei" w:cs="SimHei"/>
            <w:spacing w:val="-1"/>
            <w:sz w:val="21"/>
            <w:szCs w:val="21"/>
          </w:rPr>
          <w:t>8.3.1.2</w:t>
        </w:r>
      </w:hyperlink>
      <w:r>
        <w:rPr>
          <w:rFonts w:ascii="SimHei" w:eastAsia="SimHei" w:hAnsi="SimHei" w:cs="SimHei"/>
          <w:spacing w:val="-1"/>
          <w:sz w:val="21"/>
          <w:szCs w:val="21"/>
        </w:rPr>
        <w:t xml:space="preserve">  </w:t>
      </w:r>
      <w:r>
        <w:rPr>
          <w:rFonts w:ascii="SimHei" w:eastAsia="SimHei" w:hAnsi="SimHei" w:cs="SimHei"/>
          <w:spacing w:val="-1"/>
          <w:sz w:val="21"/>
          <w:szCs w:val="21"/>
        </w:rPr>
        <w:t>生态空间生态修复</w:t>
      </w:r>
    </w:p>
    <w:p>
      <w:pPr>
        <w:pStyle w:val="BodyText"/>
        <w:spacing w:before="141" w:line="221" w:lineRule="auto"/>
        <w:ind w:left="432"/>
      </w:pPr>
      <w:r>
        <w:rPr>
          <w:spacing w:val="-1"/>
        </w:rPr>
        <w:t>宜从下列方面开展生态空间生态修复：</w:t>
      </w:r>
    </w:p>
    <w:p>
      <w:pPr>
        <w:pStyle w:val="BodyText"/>
        <w:spacing w:before="22" w:line="221" w:lineRule="auto"/>
        <w:ind w:left="434"/>
      </w:pPr>
      <w:r>
        <w:t>a)  保护修复重要河流湖泊湿地、冰川雪山；</w:t>
      </w:r>
    </w:p>
    <w:p>
      <w:pPr>
        <w:pStyle w:val="BodyText"/>
        <w:spacing w:before="19" w:line="231" w:lineRule="auto"/>
        <w:ind w:left="437" w:right="1619" w:hanging="7"/>
      </w:pPr>
      <w:r>
        <w:rPr>
          <w:spacing w:val="-6"/>
        </w:rPr>
        <w:t>b)  森林草原休养生息， 开展森林草原生态修复，</w:t>
      </w:r>
      <w:r>
        <w:rPr>
          <w:spacing w:val="-23"/>
        </w:rPr>
        <w:t xml:space="preserve"> </w:t>
      </w:r>
      <w:r>
        <w:rPr>
          <w:spacing w:val="-6"/>
        </w:rPr>
        <w:t>增强林草生态系统碳汇能力；</w:t>
      </w:r>
      <w:r>
        <w:t xml:space="preserve"> </w:t>
      </w:r>
      <w:r>
        <w:rPr>
          <w:spacing w:val="-5"/>
        </w:rPr>
        <w:t>c)</w:t>
      </w:r>
      <w:r>
        <w:rPr>
          <w:spacing w:val="8"/>
        </w:rPr>
        <w:t xml:space="preserve">  </w:t>
      </w:r>
      <w:r>
        <w:rPr>
          <w:spacing w:val="-5"/>
        </w:rPr>
        <w:t>矿山生态修复；</w:t>
      </w:r>
    </w:p>
    <w:p>
      <w:pPr>
        <w:pStyle w:val="BodyText"/>
        <w:spacing w:before="20" w:line="221" w:lineRule="auto"/>
        <w:ind w:left="437"/>
      </w:pPr>
      <w:r>
        <w:rPr>
          <w:spacing w:val="-1"/>
        </w:rPr>
        <w:t>d)  荒漠化、石漠化、土地沙化、水土流失综合治理；</w:t>
      </w:r>
    </w:p>
    <w:p>
      <w:pPr>
        <w:pStyle w:val="BodyText"/>
        <w:spacing w:before="24" w:line="229" w:lineRule="auto"/>
        <w:ind w:left="860" w:right="31" w:hanging="422"/>
      </w:pPr>
      <w:r>
        <w:rPr>
          <w:spacing w:val="-3"/>
        </w:rPr>
        <w:t>e)  在批准的规划造林空间内合理安排国土绿化行动，在国家批准的规模和范围内</w:t>
      </w:r>
      <w:r>
        <w:rPr>
          <w:spacing w:val="-4"/>
        </w:rPr>
        <w:t>实施退耕（牧、</w:t>
      </w:r>
      <w:r>
        <w:t xml:space="preserve"> </w:t>
      </w:r>
      <w:r>
        <w:rPr>
          <w:spacing w:val="-10"/>
        </w:rPr>
        <w:t>垸、养）还林（草、湿、海</w:t>
      </w:r>
      <w:r>
        <w:rPr>
          <w:spacing w:val="33"/>
        </w:rPr>
        <w:t>）；</w:t>
      </w:r>
    </w:p>
    <w:p>
      <w:pPr>
        <w:pStyle w:val="BodyText"/>
        <w:spacing w:before="19" w:line="231" w:lineRule="auto"/>
        <w:ind w:left="863" w:right="18" w:hanging="427"/>
      </w:pPr>
      <w:r>
        <w:rPr>
          <w:spacing w:val="-5"/>
        </w:rPr>
        <w:t>f)  保护修复自然岸线， 加强海岸侵蚀防治， 保护修复红树林等湿地， 防治外来物种入侵，修复</w:t>
      </w:r>
      <w:r>
        <w:rPr>
          <w:spacing w:val="3"/>
        </w:rPr>
        <w:t xml:space="preserve"> </w:t>
      </w:r>
      <w:r>
        <w:rPr>
          <w:spacing w:val="-4"/>
        </w:rPr>
        <w:t>受损海岛，</w:t>
      </w:r>
      <w:r>
        <w:rPr>
          <w:spacing w:val="-19"/>
        </w:rPr>
        <w:t xml:space="preserve"> </w:t>
      </w:r>
      <w:r>
        <w:rPr>
          <w:spacing w:val="-4"/>
        </w:rPr>
        <w:t>完善沿海防护林体系，提升海洋固碳能力。</w:t>
      </w:r>
    </w:p>
    <w:p>
      <w:pPr>
        <w:spacing w:before="141" w:line="220" w:lineRule="auto"/>
        <w:ind w:left="6"/>
        <w:rPr>
          <w:rFonts w:ascii="SimHei" w:eastAsia="SimHei" w:hAnsi="SimHei" w:cs="SimHei"/>
          <w:sz w:val="21"/>
          <w:szCs w:val="21"/>
        </w:rPr>
      </w:pPr>
      <w:hyperlink r:id="rId46" w:history="1">
        <w:r>
          <w:rPr>
            <w:rFonts w:ascii="SimHei" w:eastAsia="SimHei" w:hAnsi="SimHei" w:cs="SimHei"/>
            <w:spacing w:val="-1"/>
            <w:sz w:val="21"/>
            <w:szCs w:val="21"/>
          </w:rPr>
          <w:t>8.3.1.3</w:t>
        </w:r>
      </w:hyperlink>
      <w:r>
        <w:rPr>
          <w:rFonts w:ascii="SimHei" w:eastAsia="SimHei" w:hAnsi="SimHei" w:cs="SimHei"/>
          <w:spacing w:val="-1"/>
          <w:sz w:val="21"/>
          <w:szCs w:val="21"/>
        </w:rPr>
        <w:t xml:space="preserve">  </w:t>
      </w:r>
      <w:r>
        <w:rPr>
          <w:rFonts w:ascii="SimHei" w:eastAsia="SimHei" w:hAnsi="SimHei" w:cs="SimHei"/>
          <w:spacing w:val="-1"/>
          <w:sz w:val="21"/>
          <w:szCs w:val="21"/>
        </w:rPr>
        <w:t>农业空间生态修复</w:t>
      </w:r>
    </w:p>
    <w:p>
      <w:pPr>
        <w:pStyle w:val="BodyText"/>
        <w:spacing w:before="143" w:line="221" w:lineRule="auto"/>
        <w:ind w:left="432"/>
        <w:sectPr>
          <w:headerReference w:type="default" r:id="rId47"/>
          <w:footerReference w:type="default" r:id="rId48"/>
          <w:pgSz w:w="11907" w:h="16839"/>
          <w:pgMar w:top="1659" w:right="1128" w:bottom="1309" w:left="1418" w:header="1448" w:footer="1133" w:gutter="0"/>
          <w:pgNumType w:start="13"/>
          <w:cols w:space="708"/>
        </w:sectPr>
      </w:pPr>
      <w:r>
        <w:rPr>
          <w:spacing w:val="-1"/>
        </w:rPr>
        <w:t>宜从下列方面开展农业空间生态修复：</w:t>
      </w:r>
    </w:p>
    <w:p>
      <w:pPr>
        <w:pStyle w:val="BodyText"/>
        <w:spacing w:before="19" w:line="234" w:lineRule="auto"/>
        <w:ind w:left="848" w:hanging="419"/>
      </w:pPr>
      <w:r>
        <w:rPr>
          <w:spacing w:val="-2"/>
        </w:rPr>
        <w:t>a)  退化农用地生态修复，科学开展耕地质量提升和农田基础设施生态</w:t>
      </w:r>
      <w:r>
        <w:rPr>
          <w:spacing w:val="-3"/>
        </w:rPr>
        <w:t>化建设，构建农用地周边缓</w:t>
      </w:r>
      <w:r>
        <w:t xml:space="preserve"> </w:t>
      </w:r>
      <w:r>
        <w:rPr>
          <w:spacing w:val="-2"/>
        </w:rPr>
        <w:t>冲带、生态廊道， 改善农田及周边林地、坑塘湿地、草</w:t>
      </w:r>
      <w:r>
        <w:rPr>
          <w:spacing w:val="-3"/>
        </w:rPr>
        <w:t>地、河溪等自然/半自然生境，维护提</w:t>
      </w:r>
      <w:r>
        <w:t xml:space="preserve"> </w:t>
      </w:r>
      <w:r>
        <w:rPr>
          <w:spacing w:val="-4"/>
        </w:rPr>
        <w:t>升农用地生态功能；</w:t>
      </w:r>
    </w:p>
    <w:p>
      <w:pPr>
        <w:pStyle w:val="BodyText"/>
        <w:spacing w:before="21" w:line="229" w:lineRule="auto"/>
        <w:ind w:left="847" w:hanging="422"/>
      </w:pPr>
      <w:r>
        <w:rPr>
          <w:spacing w:val="-3"/>
        </w:rPr>
        <w:t>b)  遵循宜耕则耕、宜园则园、宜林则林、宜草</w:t>
      </w:r>
      <w:r>
        <w:rPr>
          <w:spacing w:val="-4"/>
        </w:rPr>
        <w:t>则草原则，</w:t>
      </w:r>
      <w:r>
        <w:rPr>
          <w:spacing w:val="-45"/>
        </w:rPr>
        <w:t xml:space="preserve"> </w:t>
      </w:r>
      <w:r>
        <w:rPr>
          <w:spacing w:val="-4"/>
        </w:rPr>
        <w:t>在符合生态退耕规定范围内的耕地上实</w:t>
      </w:r>
      <w:r>
        <w:t xml:space="preserve"> </w:t>
      </w:r>
      <w:r>
        <w:rPr>
          <w:spacing w:val="-1"/>
        </w:rPr>
        <w:t>施退耕，合理开展耕地休耕轮作；</w:t>
      </w:r>
    </w:p>
    <w:p>
      <w:pPr>
        <w:spacing w:line="229" w:lineRule="auto"/>
        <w:sectPr>
          <w:headerReference w:type="default" r:id="rId49"/>
          <w:footerReference w:type="default" r:id="rId50"/>
          <w:type w:val="nextPage"/>
          <w:pgSz w:w="11907" w:h="16839"/>
          <w:pgMar w:top="1659" w:right="1128" w:bottom="1309" w:left="1418" w:header="1448" w:footer="1133" w:gutter="0"/>
          <w:pgNumType w:start="14"/>
          <w:cols w:space="708"/>
          <w:titlePg w:val="0"/>
        </w:sectPr>
      </w:pPr>
    </w:p>
    <w:p>
      <w:pPr>
        <w:pStyle w:val="BodyText"/>
        <w:spacing w:before="297" w:line="220" w:lineRule="auto"/>
        <w:ind w:left="432"/>
      </w:pPr>
      <w:r>
        <w:rPr>
          <w:spacing w:val="-3"/>
        </w:rPr>
        <w:t>c)  修复农田及村庄周边损毁矿山；</w:t>
      </w:r>
    </w:p>
    <w:p>
      <w:pPr>
        <w:pStyle w:val="BodyText"/>
        <w:spacing w:before="23" w:line="219" w:lineRule="auto"/>
        <w:ind w:left="432"/>
      </w:pPr>
      <w:r>
        <w:rPr>
          <w:spacing w:val="-3"/>
        </w:rPr>
        <w:t>d)  挖掘特色自然资源，</w:t>
      </w:r>
      <w:r>
        <w:rPr>
          <w:spacing w:val="-16"/>
        </w:rPr>
        <w:t xml:space="preserve"> </w:t>
      </w:r>
      <w:r>
        <w:rPr>
          <w:spacing w:val="-3"/>
        </w:rPr>
        <w:t>提供特色农产品，提升农业空间生态价值；</w:t>
      </w:r>
    </w:p>
    <w:p>
      <w:pPr>
        <w:pStyle w:val="BodyText"/>
        <w:spacing w:before="22" w:line="230" w:lineRule="auto"/>
        <w:ind w:left="849" w:right="84" w:hanging="416"/>
      </w:pPr>
      <w:r>
        <w:rPr>
          <w:spacing w:val="-2"/>
        </w:rPr>
        <w:t>e)  保护乡村自然景观，传承乡村自然</w:t>
      </w:r>
      <w:r>
        <w:rPr>
          <w:spacing w:val="-3"/>
        </w:rPr>
        <w:t>和文化景观特色，注重农业设施建设与农业景观的协调，形</w:t>
      </w:r>
      <w:r>
        <w:t xml:space="preserve"> </w:t>
      </w:r>
      <w:r>
        <w:rPr>
          <w:spacing w:val="-4"/>
        </w:rPr>
        <w:t>成具有地域特色的田园生态景观（农耕大地景观</w:t>
      </w:r>
      <w:r>
        <w:rPr>
          <w:spacing w:val="9"/>
        </w:rPr>
        <w:t>）</w:t>
      </w:r>
      <w:r>
        <w:rPr>
          <w:spacing w:val="-47"/>
        </w:rPr>
        <w:t xml:space="preserve"> </w:t>
      </w:r>
      <w:r>
        <w:rPr>
          <w:spacing w:val="9"/>
        </w:rPr>
        <w:t>；</w:t>
      </w:r>
    </w:p>
    <w:p>
      <w:pPr>
        <w:pStyle w:val="BodyText"/>
        <w:spacing w:before="20" w:line="233" w:lineRule="auto"/>
        <w:ind w:left="851" w:right="74" w:hanging="419"/>
      </w:pPr>
      <w:r>
        <w:rPr>
          <w:spacing w:val="-2"/>
        </w:rPr>
        <w:t>f)  开展农村土地综合整治，整体推进农用地整理、建设用</w:t>
      </w:r>
      <w:r>
        <w:rPr>
          <w:spacing w:val="-3"/>
        </w:rPr>
        <w:t>地整理、乡村生态保护修复和乡村文化</w:t>
      </w:r>
      <w:r>
        <w:t xml:space="preserve"> </w:t>
      </w:r>
      <w:r>
        <w:rPr>
          <w:spacing w:val="-2"/>
        </w:rPr>
        <w:t>景观保护修复，保障粮食安全，提升乡村建</w:t>
      </w:r>
      <w:r>
        <w:rPr>
          <w:spacing w:val="-3"/>
        </w:rPr>
        <w:t>设用地集约节约水平和乡村发展活力，提升农业空</w:t>
      </w:r>
      <w:r>
        <w:t xml:space="preserve"> </w:t>
      </w:r>
      <w:r>
        <w:rPr>
          <w:spacing w:val="-1"/>
        </w:rPr>
        <w:t>间生态品质，建设宜居宜业和美乡村。</w:t>
      </w:r>
    </w:p>
    <w:p>
      <w:pPr>
        <w:spacing w:before="144" w:line="220" w:lineRule="auto"/>
        <w:ind w:left="6"/>
        <w:rPr>
          <w:rFonts w:ascii="SimHei" w:eastAsia="SimHei" w:hAnsi="SimHei" w:cs="SimHei"/>
          <w:sz w:val="21"/>
          <w:szCs w:val="21"/>
        </w:rPr>
      </w:pPr>
      <w:hyperlink r:id="rId51" w:history="1">
        <w:r>
          <w:rPr>
            <w:rFonts w:ascii="SimHei" w:eastAsia="SimHei" w:hAnsi="SimHei" w:cs="SimHei"/>
            <w:spacing w:val="-1"/>
            <w:sz w:val="21"/>
            <w:szCs w:val="21"/>
          </w:rPr>
          <w:t>8.3.1.4</w:t>
        </w:r>
      </w:hyperlink>
      <w:r>
        <w:rPr>
          <w:rFonts w:ascii="SimHei" w:eastAsia="SimHei" w:hAnsi="SimHei" w:cs="SimHei"/>
          <w:spacing w:val="-1"/>
          <w:sz w:val="21"/>
          <w:szCs w:val="21"/>
        </w:rPr>
        <w:t xml:space="preserve">  </w:t>
      </w:r>
      <w:r>
        <w:rPr>
          <w:rFonts w:ascii="SimHei" w:eastAsia="SimHei" w:hAnsi="SimHei" w:cs="SimHei"/>
          <w:spacing w:val="-1"/>
          <w:sz w:val="21"/>
          <w:szCs w:val="21"/>
        </w:rPr>
        <w:t>城镇空间生态修复</w:t>
      </w:r>
    </w:p>
    <w:p>
      <w:pPr>
        <w:pStyle w:val="BodyText"/>
        <w:spacing w:before="140" w:line="221" w:lineRule="auto"/>
        <w:ind w:left="432"/>
      </w:pPr>
      <w:r>
        <w:rPr>
          <w:spacing w:val="-1"/>
        </w:rPr>
        <w:t>宜从下列方面开展城镇空间生态修复：</w:t>
      </w:r>
    </w:p>
    <w:p>
      <w:pPr>
        <w:pStyle w:val="BodyText"/>
        <w:spacing w:before="24" w:line="229" w:lineRule="auto"/>
        <w:ind w:left="425" w:right="1074" w:firstLine="4"/>
      </w:pPr>
      <w:r>
        <w:rPr>
          <w:spacing w:val="-4"/>
        </w:rPr>
        <w:t>a)  基于区域自然地理格局， 统筹城镇内外河湖水系山体，完善蓝绿交织的生态网络；</w:t>
      </w:r>
      <w:r>
        <w:rPr>
          <w:spacing w:val="8"/>
        </w:rPr>
        <w:t xml:space="preserve"> </w:t>
      </w:r>
      <w:r>
        <w:t>b)  减少城市内涝及热岛效应，提升城市韧性；</w:t>
      </w:r>
    </w:p>
    <w:p>
      <w:pPr>
        <w:pStyle w:val="BodyText"/>
        <w:spacing w:before="22" w:line="221" w:lineRule="auto"/>
        <w:ind w:left="432"/>
      </w:pPr>
      <w:r>
        <w:rPr>
          <w:spacing w:val="-1"/>
        </w:rPr>
        <w:t>c)  重塑城市健康自然的河岸、湖岸、海岸等；</w:t>
      </w:r>
    </w:p>
    <w:p>
      <w:pPr>
        <w:pStyle w:val="BodyText"/>
        <w:spacing w:before="20" w:line="221" w:lineRule="auto"/>
        <w:ind w:left="432"/>
      </w:pPr>
      <w:r>
        <w:rPr>
          <w:spacing w:val="-1"/>
        </w:rPr>
        <w:t>d)  修复受损山体和植被群落，推进损毁矿山和工业废弃地修复利用；</w:t>
      </w:r>
    </w:p>
    <w:p>
      <w:pPr>
        <w:pStyle w:val="BodyText"/>
        <w:spacing w:before="25" w:line="229" w:lineRule="auto"/>
        <w:ind w:left="849" w:right="74" w:hanging="416"/>
      </w:pPr>
      <w:r>
        <w:rPr>
          <w:spacing w:val="-5"/>
        </w:rPr>
        <w:t>e)  完善城市绿道系统，</w:t>
      </w:r>
      <w:r>
        <w:rPr>
          <w:spacing w:val="-42"/>
        </w:rPr>
        <w:t xml:space="preserve"> </w:t>
      </w:r>
      <w:r>
        <w:rPr>
          <w:spacing w:val="-5"/>
        </w:rPr>
        <w:t>促进水利、市政工程生态化，</w:t>
      </w:r>
      <w:r>
        <w:rPr>
          <w:spacing w:val="-42"/>
        </w:rPr>
        <w:t xml:space="preserve"> </w:t>
      </w:r>
      <w:r>
        <w:rPr>
          <w:spacing w:val="-5"/>
        </w:rPr>
        <w:t>开展重大交通、电力、通讯</w:t>
      </w:r>
      <w:r>
        <w:rPr>
          <w:spacing w:val="-6"/>
        </w:rPr>
        <w:t>等基础设施周边</w:t>
      </w:r>
      <w:r>
        <w:t xml:space="preserve"> </w:t>
      </w:r>
      <w:r>
        <w:rPr>
          <w:spacing w:val="-1"/>
        </w:rPr>
        <w:t>生态修复和生态廊道建设；</w:t>
      </w:r>
    </w:p>
    <w:p>
      <w:pPr>
        <w:pStyle w:val="BodyText"/>
        <w:spacing w:before="20" w:line="233" w:lineRule="auto"/>
        <w:ind w:left="847" w:right="74" w:hanging="415"/>
      </w:pPr>
      <w:r>
        <w:rPr>
          <w:spacing w:val="-2"/>
        </w:rPr>
        <w:t>f)  推动生态修复与城市设计相结合，注意受损生态空间的修复与</w:t>
      </w:r>
      <w:r>
        <w:rPr>
          <w:spacing w:val="-3"/>
        </w:rPr>
        <w:t>地域景观、城市风貌的融合，加</w:t>
      </w:r>
      <w:r>
        <w:t xml:space="preserve"> </w:t>
      </w:r>
      <w:r>
        <w:rPr>
          <w:spacing w:val="-2"/>
        </w:rPr>
        <w:t>强对生态绿地系统的特色景观引导，激活城市绿色开</w:t>
      </w:r>
      <w:r>
        <w:rPr>
          <w:spacing w:val="-3"/>
        </w:rPr>
        <w:t>敞空间和人文资源，修复提升城市景观风</w:t>
      </w:r>
      <w:r>
        <w:t xml:space="preserve"> </w:t>
      </w:r>
      <w:r>
        <w:rPr>
          <w:spacing w:val="-8"/>
        </w:rPr>
        <w:t>貌，</w:t>
      </w:r>
      <w:r>
        <w:rPr>
          <w:spacing w:val="-7"/>
        </w:rPr>
        <w:t xml:space="preserve"> </w:t>
      </w:r>
      <w:r>
        <w:rPr>
          <w:spacing w:val="-8"/>
        </w:rPr>
        <w:t>提升绿色空间活力，</w:t>
      </w:r>
      <w:r>
        <w:rPr>
          <w:spacing w:val="-22"/>
        </w:rPr>
        <w:t xml:space="preserve"> </w:t>
      </w:r>
      <w:r>
        <w:rPr>
          <w:spacing w:val="-8"/>
        </w:rPr>
        <w:t>提升生态品质和文化内涵。</w:t>
      </w:r>
    </w:p>
    <w:p>
      <w:pPr>
        <w:spacing w:before="143" w:line="391" w:lineRule="exact"/>
        <w:ind w:left="8"/>
        <w:rPr>
          <w:rFonts w:ascii="SimHei" w:eastAsia="SimHei" w:hAnsi="SimHei" w:cs="SimHei"/>
          <w:sz w:val="21"/>
          <w:szCs w:val="21"/>
        </w:rPr>
      </w:pPr>
      <w:r>
        <w:rPr>
          <w:rFonts w:ascii="SimHei" w:eastAsia="SimHei" w:hAnsi="SimHei" w:cs="SimHei"/>
          <w:spacing w:val="-1"/>
          <w:position w:val="13"/>
          <w:sz w:val="21"/>
          <w:szCs w:val="21"/>
        </w:rPr>
        <w:t>8.3.2</w:t>
      </w:r>
      <w:r>
        <w:rPr>
          <w:rFonts w:ascii="SimHei" w:eastAsia="SimHei" w:hAnsi="SimHei" w:cs="SimHei"/>
          <w:spacing w:val="-1"/>
          <w:position w:val="13"/>
          <w:sz w:val="21"/>
          <w:szCs w:val="21"/>
        </w:rPr>
        <w:t xml:space="preserve">  </w:t>
      </w:r>
      <w:r>
        <w:rPr>
          <w:rFonts w:ascii="SimHei" w:eastAsia="SimHei" w:hAnsi="SimHei" w:cs="SimHei"/>
          <w:spacing w:val="-1"/>
          <w:position w:val="13"/>
          <w:sz w:val="21"/>
          <w:szCs w:val="21"/>
        </w:rPr>
        <w:t>合理部署重点项目</w:t>
      </w:r>
    </w:p>
    <w:p>
      <w:pPr>
        <w:spacing w:before="1" w:line="219" w:lineRule="auto"/>
        <w:ind w:left="6"/>
        <w:rPr>
          <w:rFonts w:ascii="SimHei" w:eastAsia="SimHei" w:hAnsi="SimHei" w:cs="SimHei"/>
          <w:sz w:val="21"/>
          <w:szCs w:val="21"/>
        </w:rPr>
      </w:pPr>
      <w:hyperlink r:id="rId52" w:history="1">
        <w:r>
          <w:rPr>
            <w:rFonts w:ascii="SimHei" w:eastAsia="SimHei" w:hAnsi="SimHei" w:cs="SimHei"/>
            <w:spacing w:val="-1"/>
            <w:sz w:val="21"/>
            <w:szCs w:val="21"/>
          </w:rPr>
          <w:t>8.3.2.1</w:t>
        </w:r>
      </w:hyperlink>
      <w:r>
        <w:rPr>
          <w:rFonts w:ascii="SimHei" w:eastAsia="SimHei" w:hAnsi="SimHei" w:cs="SimHei"/>
          <w:spacing w:val="-1"/>
          <w:sz w:val="21"/>
          <w:szCs w:val="21"/>
        </w:rPr>
        <w:t xml:space="preserve">  </w:t>
      </w:r>
      <w:r>
        <w:rPr>
          <w:rFonts w:ascii="SimHei" w:eastAsia="SimHei" w:hAnsi="SimHei" w:cs="SimHei"/>
          <w:spacing w:val="-1"/>
          <w:sz w:val="21"/>
          <w:szCs w:val="21"/>
        </w:rPr>
        <w:t>项目安排原则</w:t>
      </w:r>
    </w:p>
    <w:p>
      <w:pPr>
        <w:pStyle w:val="BodyText"/>
        <w:spacing w:before="143" w:line="221" w:lineRule="auto"/>
        <w:ind w:left="432"/>
      </w:pPr>
      <w:r>
        <w:rPr>
          <w:spacing w:val="-1"/>
        </w:rPr>
        <w:t>项目安排宜遵循以下原则：</w:t>
      </w:r>
    </w:p>
    <w:p>
      <w:pPr>
        <w:pStyle w:val="BodyText"/>
        <w:spacing w:before="21" w:line="227" w:lineRule="auto"/>
        <w:ind w:left="420" w:right="1496" w:firstLine="7"/>
      </w:pPr>
      <w:r>
        <w:rPr>
          <w:rFonts w:ascii="Times New Roman" w:eastAsia="Times New Roman" w:hAnsi="Times New Roman" w:cs="Times New Roman"/>
          <w:spacing w:val="-4"/>
        </w:rPr>
        <w:t xml:space="preserve">a)     </w:t>
      </w:r>
      <w:r>
        <w:rPr>
          <w:spacing w:val="-4"/>
        </w:rPr>
        <w:t>落实国家、省（区、市） 在区域内布局的生态保护修复重大工程、重点工程；</w:t>
      </w:r>
      <w:r>
        <w:rPr>
          <w:spacing w:val="5"/>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14"/>
        </w:rPr>
        <w:t xml:space="preserve">    </w:t>
      </w:r>
      <w:r>
        <w:rPr>
          <w:spacing w:val="-1"/>
        </w:rPr>
        <w:t>优先安排在生态修复重点区域内；</w:t>
      </w:r>
    </w:p>
    <w:p>
      <w:pPr>
        <w:pStyle w:val="BodyText"/>
        <w:spacing w:before="27" w:line="231" w:lineRule="auto"/>
        <w:ind w:left="847" w:right="74" w:hanging="420"/>
      </w:pPr>
      <w:r>
        <w:rPr>
          <w:rFonts w:ascii="Times New Roman" w:eastAsia="Times New Roman" w:hAnsi="Times New Roman" w:cs="Times New Roman"/>
          <w:spacing w:val="-2"/>
        </w:rPr>
        <w:t xml:space="preserve">c)     </w:t>
      </w:r>
      <w:r>
        <w:rPr>
          <w:spacing w:val="-2"/>
        </w:rPr>
        <w:t>结合地方实际需求，优先安排区域生态功能重要性高、生态破坏严重、生</w:t>
      </w:r>
      <w:r>
        <w:rPr>
          <w:spacing w:val="-3"/>
        </w:rPr>
        <w:t>态系统退化和受损程</w:t>
      </w:r>
      <w:r>
        <w:t xml:space="preserve"> </w:t>
      </w:r>
      <w:r>
        <w:rPr>
          <w:spacing w:val="-2"/>
        </w:rPr>
        <w:t>度大以及对群众生产生活威胁大的区域；</w:t>
      </w:r>
    </w:p>
    <w:p>
      <w:pPr>
        <w:pStyle w:val="BodyText"/>
        <w:spacing w:before="21" w:line="230" w:lineRule="auto"/>
        <w:ind w:left="848" w:right="83" w:hanging="421"/>
      </w:pPr>
      <w:r>
        <w:rPr>
          <w:rFonts w:ascii="Times New Roman" w:eastAsia="Times New Roman" w:hAnsi="Times New Roman" w:cs="Times New Roman"/>
          <w:spacing w:val="-1"/>
        </w:rPr>
        <w:t xml:space="preserve">d)    </w:t>
      </w:r>
      <w:r>
        <w:rPr>
          <w:spacing w:val="-1"/>
        </w:rPr>
        <w:t>项目部署坚持山水林田湖草沙一体</w:t>
      </w:r>
      <w:r>
        <w:rPr>
          <w:spacing w:val="-2"/>
        </w:rPr>
        <w:t>化保护和系统治理，坚持自然恢复为主、人工修复为辅，严</w:t>
      </w:r>
      <w:r>
        <w:t xml:space="preserve"> </w:t>
      </w:r>
      <w:r>
        <w:rPr>
          <w:spacing w:val="-1"/>
        </w:rPr>
        <w:t>格落实科学修复要求；</w:t>
      </w:r>
    </w:p>
    <w:p>
      <w:pPr>
        <w:pStyle w:val="BodyText"/>
        <w:spacing w:before="21" w:line="394" w:lineRule="exact"/>
        <w:ind w:left="428"/>
      </w:pPr>
      <w:r>
        <w:rPr>
          <w:rFonts w:ascii="Times New Roman" w:eastAsia="Times New Roman" w:hAnsi="Times New Roman" w:cs="Times New Roman"/>
          <w:spacing w:val="-1"/>
          <w:position w:val="14"/>
        </w:rPr>
        <w:t xml:space="preserve">e)     </w:t>
      </w:r>
      <w:r>
        <w:rPr>
          <w:spacing w:val="-1"/>
          <w:position w:val="14"/>
        </w:rPr>
        <w:t>具备较好的群众基础及实施条件。</w:t>
      </w:r>
    </w:p>
    <w:p>
      <w:pPr>
        <w:spacing w:before="1" w:line="219" w:lineRule="auto"/>
        <w:ind w:left="6"/>
        <w:rPr>
          <w:rFonts w:ascii="SimHei" w:eastAsia="SimHei" w:hAnsi="SimHei" w:cs="SimHei"/>
          <w:sz w:val="21"/>
          <w:szCs w:val="21"/>
        </w:rPr>
      </w:pPr>
      <w:hyperlink r:id="rId53" w:history="1">
        <w:r>
          <w:rPr>
            <w:rFonts w:ascii="SimHei" w:eastAsia="SimHei" w:hAnsi="SimHei" w:cs="SimHei"/>
            <w:spacing w:val="-1"/>
            <w:sz w:val="21"/>
            <w:szCs w:val="21"/>
          </w:rPr>
          <w:t>8.3.2.2</w:t>
        </w:r>
      </w:hyperlink>
      <w:r>
        <w:rPr>
          <w:rFonts w:ascii="SimHei" w:eastAsia="SimHei" w:hAnsi="SimHei" w:cs="SimHei"/>
          <w:spacing w:val="-1"/>
          <w:sz w:val="21"/>
          <w:szCs w:val="21"/>
        </w:rPr>
        <w:t xml:space="preserve">  </w:t>
      </w:r>
      <w:r>
        <w:rPr>
          <w:rFonts w:ascii="SimHei" w:eastAsia="SimHei" w:hAnsi="SimHei" w:cs="SimHei"/>
          <w:spacing w:val="-1"/>
          <w:sz w:val="21"/>
          <w:szCs w:val="21"/>
        </w:rPr>
        <w:t>项目安排</w:t>
      </w:r>
    </w:p>
    <w:p>
      <w:pPr>
        <w:pStyle w:val="BodyText"/>
        <w:spacing w:before="142" w:line="233" w:lineRule="auto"/>
        <w:ind w:left="7" w:right="74" w:firstLine="420"/>
      </w:pPr>
      <w:r>
        <w:rPr>
          <w:spacing w:val="-2"/>
        </w:rPr>
        <w:t>在市域国土空间生态修复总体布局、修复分区的基础上，以重点区</w:t>
      </w:r>
      <w:r>
        <w:rPr>
          <w:spacing w:val="-3"/>
        </w:rPr>
        <w:t>域为指引，衔接国土空间详细规</w:t>
      </w:r>
      <w:r>
        <w:t xml:space="preserve"> </w:t>
      </w:r>
      <w:r>
        <w:rPr>
          <w:spacing w:val="-2"/>
        </w:rPr>
        <w:t>划安排，根据生态问题的紧迫性、严重性和生态系统的退化程度、恢复能力</w:t>
      </w:r>
      <w:r>
        <w:rPr>
          <w:spacing w:val="-3"/>
        </w:rPr>
        <w:t>，科学布置市级生态修复重</w:t>
      </w:r>
      <w:r>
        <w:t xml:space="preserve"> </w:t>
      </w:r>
      <w:r>
        <w:rPr>
          <w:spacing w:val="-2"/>
        </w:rPr>
        <w:t>点项目，合理安排项目时序。</w:t>
      </w:r>
    </w:p>
    <w:p>
      <w:pPr>
        <w:pStyle w:val="BodyText"/>
        <w:spacing w:before="23" w:line="229" w:lineRule="auto"/>
        <w:ind w:left="13" w:firstLine="415"/>
      </w:pPr>
      <w:r>
        <w:rPr>
          <w:spacing w:val="-5"/>
        </w:rPr>
        <w:t>重点项目部署不按单一生态要素分别部署，</w:t>
      </w:r>
      <w:r>
        <w:rPr>
          <w:spacing w:val="-17"/>
        </w:rPr>
        <w:t xml:space="preserve"> </w:t>
      </w:r>
      <w:r>
        <w:rPr>
          <w:spacing w:val="-5"/>
        </w:rPr>
        <w:t>可包含一种或多种修复类型； 宜明确项目的主要目标、</w:t>
      </w:r>
      <w:r>
        <w:t xml:space="preserve"> </w:t>
      </w:r>
      <w:r>
        <w:t>范围、建设内容、时序安排、投资需求、资金来源</w:t>
      </w:r>
      <w:r>
        <w:rPr>
          <w:spacing w:val="-1"/>
        </w:rPr>
        <w:t>、责任部门等内容。</w:t>
      </w:r>
    </w:p>
    <w:p>
      <w:pPr>
        <w:pStyle w:val="BodyText"/>
        <w:spacing w:before="24" w:line="229" w:lineRule="auto"/>
        <w:ind w:left="12" w:firstLine="415"/>
      </w:pPr>
      <w:r>
        <w:rPr>
          <w:spacing w:val="-5"/>
        </w:rPr>
        <w:t>在重点项目下可根据实际进一步设置子项目，对项目内容进一步细</w:t>
      </w:r>
      <w:r>
        <w:rPr>
          <w:spacing w:val="-6"/>
        </w:rPr>
        <w:t>化落实，子项目宜明确项目概况、</w:t>
      </w:r>
      <w:r>
        <w:t xml:space="preserve"> </w:t>
      </w:r>
      <w:r>
        <w:t>项目目标、范围边界、任务措施、实施期限、投资需求、资金来源、责任部门、组织模式</w:t>
      </w:r>
      <w:r>
        <w:rPr>
          <w:spacing w:val="-1"/>
        </w:rPr>
        <w:t>等内容。</w:t>
      </w:r>
    </w:p>
    <w:p>
      <w:pPr>
        <w:pStyle w:val="BodyText"/>
        <w:spacing w:before="20" w:line="220" w:lineRule="auto"/>
        <w:ind w:left="429"/>
        <w:sectPr>
          <w:headerReference w:type="default" r:id="rId54"/>
          <w:footerReference w:type="default" r:id="rId55"/>
          <w:pgSz w:w="11907" w:h="16839"/>
          <w:pgMar w:top="1659" w:right="1053" w:bottom="1310" w:left="1418" w:header="1448" w:footer="1133" w:gutter="0"/>
          <w:pgNumType w:start="15"/>
          <w:cols w:space="708"/>
        </w:sectPr>
      </w:pPr>
      <w:r>
        <w:rPr>
          <w:spacing w:val="-1"/>
        </w:rPr>
        <w:t>县级生态修复规划项目部署考虑参见附录</w:t>
      </w:r>
      <w:r>
        <w:rPr>
          <w:rFonts w:ascii="Times New Roman" w:eastAsia="Times New Roman" w:hAnsi="Times New Roman" w:cs="Times New Roman"/>
          <w:spacing w:val="-1"/>
        </w:rPr>
        <w:t>E</w:t>
      </w:r>
      <w:r>
        <w:rPr>
          <w:spacing w:val="-1"/>
        </w:rPr>
        <w:t>。</w:t>
      </w:r>
    </w:p>
    <w:p>
      <w:pPr>
        <w:spacing w:before="144" w:line="220" w:lineRule="auto"/>
        <w:rPr>
          <w:rFonts w:ascii="SimHei" w:eastAsia="SimHei" w:hAnsi="SimHei" w:cs="SimHei"/>
          <w:sz w:val="21"/>
          <w:szCs w:val="21"/>
        </w:rPr>
      </w:pPr>
      <w:r>
        <w:rPr>
          <w:rFonts w:ascii="SimHei" w:eastAsia="SimHei" w:hAnsi="SimHei" w:cs="SimHei"/>
          <w:sz w:val="21"/>
          <w:szCs w:val="21"/>
        </w:rPr>
        <w:drawing>
          <wp:inline distT="0" distB="0" distL="0" distR="0">
            <wp:extent cx="202691" cy="9906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56"/>
                    <a:stretch>
                      <a:fillRect/>
                    </a:stretch>
                  </pic:blipFill>
                  <pic:spPr>
                    <a:xfrm>
                      <a:off x="0" y="0"/>
                      <a:ext cx="202691" cy="99060"/>
                    </a:xfrm>
                    <a:prstGeom prst="rect">
                      <a:avLst/>
                    </a:prstGeom>
                  </pic:spPr>
                </pic:pic>
              </a:graphicData>
            </a:graphic>
          </wp:inline>
        </w:drawing>
      </w:r>
      <w:r>
        <w:rPr>
          <w:rFonts w:ascii="SimHei" w:eastAsia="SimHei" w:hAnsi="SimHei" w:cs="SimHei"/>
          <w:spacing w:val="7"/>
          <w:sz w:val="21"/>
          <w:szCs w:val="21"/>
        </w:rPr>
        <w:t xml:space="preserve">  </w:t>
      </w:r>
      <w:r>
        <w:rPr>
          <w:rFonts w:ascii="SimHei" w:eastAsia="SimHei" w:hAnsi="SimHei" w:cs="SimHei"/>
          <w:spacing w:val="-4"/>
          <w:sz w:val="21"/>
          <w:szCs w:val="21"/>
        </w:rPr>
        <w:t>资金测算</w:t>
      </w:r>
    </w:p>
    <w:p>
      <w:pPr>
        <w:pStyle w:val="BodyText"/>
        <w:spacing w:before="140" w:line="233" w:lineRule="auto"/>
        <w:ind w:left="7" w:right="74" w:firstLine="429"/>
        <w:jc w:val="both"/>
      </w:pPr>
      <w:r>
        <w:rPr>
          <w:spacing w:val="-2"/>
        </w:rPr>
        <w:t>资金测算宜包括测算依据、投资测算、资金</w:t>
      </w:r>
      <w:r>
        <w:rPr>
          <w:spacing w:val="-3"/>
        </w:rPr>
        <w:t>来源分析等内容。参照相关行业定额、测算依据及相关</w:t>
      </w:r>
      <w:r>
        <w:t xml:space="preserve"> </w:t>
      </w:r>
      <w:r>
        <w:rPr>
          <w:spacing w:val="-4"/>
        </w:rPr>
        <w:t>标准， 采用案例比较法、成本效益法、单位面积</w:t>
      </w:r>
      <w:r>
        <w:rPr>
          <w:spacing w:val="-5"/>
        </w:rPr>
        <w:t>标准法等方法，按照项目类型、规模、修复内容、修复</w:t>
      </w:r>
      <w:r>
        <w:t xml:space="preserve"> </w:t>
      </w:r>
      <w:r>
        <w:rPr>
          <w:spacing w:val="-6"/>
        </w:rPr>
        <w:t>模式等，分类估算资金需求， 分析资金来源。</w:t>
      </w:r>
    </w:p>
    <w:p>
      <w:pPr>
        <w:spacing w:before="145" w:line="219" w:lineRule="auto"/>
        <w:rPr>
          <w:rFonts w:ascii="SimHei" w:eastAsia="SimHei" w:hAnsi="SimHei" w:cs="SimHei"/>
          <w:sz w:val="21"/>
          <w:szCs w:val="21"/>
        </w:rPr>
      </w:pPr>
      <w:r>
        <w:rPr>
          <w:rFonts w:ascii="SimHei" w:eastAsia="SimHei" w:hAnsi="SimHei" w:cs="SimHei"/>
          <w:sz w:val="21"/>
          <w:szCs w:val="21"/>
        </w:rPr>
        <w:drawing>
          <wp:inline distT="0" distB="0" distL="0" distR="0">
            <wp:extent cx="198119" cy="100583"/>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57"/>
                    <a:stretch>
                      <a:fillRect/>
                    </a:stretch>
                  </pic:blipFill>
                  <pic:spPr>
                    <a:xfrm>
                      <a:off x="0" y="0"/>
                      <a:ext cx="198119" cy="100583"/>
                    </a:xfrm>
                    <a:prstGeom prst="rect">
                      <a:avLst/>
                    </a:prstGeom>
                  </pic:spPr>
                </pic:pic>
              </a:graphicData>
            </a:graphic>
          </wp:inline>
        </w:drawing>
      </w:r>
      <w:r>
        <w:rPr>
          <w:rFonts w:ascii="SimHei" w:eastAsia="SimHei" w:hAnsi="SimHei" w:cs="SimHei"/>
          <w:spacing w:val="5"/>
          <w:sz w:val="21"/>
          <w:szCs w:val="21"/>
        </w:rPr>
        <w:t xml:space="preserve">  </w:t>
      </w:r>
      <w:r>
        <w:rPr>
          <w:rFonts w:ascii="SimHei" w:eastAsia="SimHei" w:hAnsi="SimHei" w:cs="SimHei"/>
          <w:spacing w:val="-1"/>
          <w:sz w:val="21"/>
          <w:szCs w:val="21"/>
        </w:rPr>
        <w:t>效益分析</w:t>
      </w:r>
    </w:p>
    <w:p>
      <w:pPr>
        <w:pStyle w:val="BodyText"/>
        <w:spacing w:before="141" w:line="231" w:lineRule="auto"/>
        <w:ind w:left="11" w:right="74" w:firstLine="422"/>
      </w:pPr>
      <w:r>
        <w:rPr>
          <w:spacing w:val="-2"/>
        </w:rPr>
        <w:t>综合考虑规划期内生态修复活动的实施范围、预期目</w:t>
      </w:r>
      <w:r>
        <w:rPr>
          <w:spacing w:val="-3"/>
        </w:rPr>
        <w:t>标、项目内容、技术要求、资金需求和实施路</w:t>
      </w:r>
      <w:r>
        <w:t xml:space="preserve"> </w:t>
      </w:r>
      <w:r>
        <w:rPr>
          <w:spacing w:val="-2"/>
        </w:rPr>
        <w:t>径，合理分析规划实施效益，包括：</w:t>
      </w:r>
    </w:p>
    <w:p>
      <w:pPr>
        <w:spacing w:line="231" w:lineRule="auto"/>
        <w:sectPr>
          <w:headerReference w:type="default" r:id="rId58"/>
          <w:footerReference w:type="default" r:id="rId59"/>
          <w:type w:val="nextPage"/>
          <w:pgSz w:w="11907" w:h="16839"/>
          <w:pgMar w:top="1659" w:right="1053" w:bottom="1310" w:left="1418" w:header="1448" w:footer="1133" w:gutter="0"/>
          <w:pgNumType w:start="16"/>
          <w:cols w:space="708"/>
          <w:titlePg w:val="0"/>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1" w:line="188" w:lineRule="auto"/>
        <w:ind w:left="7679"/>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XX/T</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XXXXX—XXXX</w:t>
      </w:r>
    </w:p>
    <w:p>
      <w:pPr>
        <w:pStyle w:val="BodyText"/>
        <w:spacing w:before="251" w:line="233" w:lineRule="auto"/>
        <w:ind w:left="819" w:right="215" w:hanging="420"/>
      </w:pPr>
      <w:r>
        <w:rPr>
          <w:spacing w:val="-2"/>
        </w:rPr>
        <w:t>a)  从生态环境指标优化、生态功能提升、生物多样性提高、生态系统优化等方面分析规划实施带</w:t>
      </w:r>
      <w:r>
        <w:t xml:space="preserve"> </w:t>
      </w:r>
      <w:r>
        <w:rPr>
          <w:spacing w:val="-5"/>
        </w:rPr>
        <w:t>动的生态效益。</w:t>
      </w:r>
    </w:p>
    <w:p>
      <w:pPr>
        <w:pStyle w:val="BodyText"/>
        <w:spacing w:before="25" w:line="212" w:lineRule="auto"/>
        <w:ind w:left="399"/>
      </w:pPr>
      <w:r>
        <w:rPr>
          <w:rFonts w:ascii="Times New Roman" w:eastAsia="Times New Roman" w:hAnsi="Times New Roman" w:cs="Times New Roman"/>
          <w:spacing w:val="1"/>
        </w:rPr>
        <w:t xml:space="preserve">b)    </w:t>
      </w:r>
      <w:r>
        <w:rPr>
          <w:spacing w:val="1"/>
        </w:rPr>
        <w:t>从农民收入增加、人民群众幸</w:t>
      </w:r>
      <w:r>
        <w:t>福感提升、乡村振兴等方面分析规划实施带动的社会效益。</w:t>
      </w:r>
    </w:p>
    <w:p>
      <w:pPr>
        <w:pStyle w:val="BodyText"/>
        <w:spacing w:before="61" w:line="230" w:lineRule="auto"/>
        <w:ind w:left="849" w:right="217" w:hanging="450"/>
      </w:pPr>
      <w:r>
        <w:rPr>
          <w:spacing w:val="-2"/>
        </w:rPr>
        <w:t>c)  从生态产品供给增加、生态产业发展、碳汇交易等方面分析规划实施带动的直接或间接</w:t>
      </w:r>
      <w:r>
        <w:rPr>
          <w:spacing w:val="-3"/>
        </w:rPr>
        <w:t>经济效</w:t>
      </w:r>
      <w:r>
        <w:t xml:space="preserve"> </w:t>
      </w:r>
      <w:r>
        <w:rPr>
          <w:spacing w:val="-11"/>
        </w:rPr>
        <w:t>益。</w:t>
      </w:r>
    </w:p>
    <w:p>
      <w:pPr>
        <w:spacing w:before="113" w:line="222" w:lineRule="auto"/>
        <w:ind w:left="3"/>
        <w:outlineLvl w:val="0"/>
        <w:rPr>
          <w:rFonts w:ascii="SimHei" w:eastAsia="SimHei" w:hAnsi="SimHei" w:cs="SimHei"/>
          <w:sz w:val="21"/>
          <w:szCs w:val="21"/>
        </w:rPr>
      </w:pPr>
      <w:r>
        <w:rPr>
          <w:rFonts w:ascii="SimHei" w:eastAsia="SimHei" w:hAnsi="SimHei" w:cs="SimHei"/>
          <w:b/>
          <w:bCs/>
          <w:spacing w:val="-4"/>
          <w:sz w:val="21"/>
          <w:szCs w:val="21"/>
        </w:rPr>
        <w:t>8.6</w:t>
      </w:r>
      <w:r>
        <w:rPr>
          <w:rFonts w:ascii="SimHei" w:eastAsia="SimHei" w:hAnsi="SimHei" w:cs="SimHei"/>
          <w:spacing w:val="86"/>
          <w:sz w:val="21"/>
          <w:szCs w:val="21"/>
        </w:rPr>
        <w:t xml:space="preserve"> </w:t>
      </w:r>
      <w:r>
        <w:rPr>
          <w:rFonts w:ascii="SimHei" w:eastAsia="SimHei" w:hAnsi="SimHei" w:cs="SimHei"/>
          <w:b/>
          <w:bCs/>
          <w:spacing w:val="-4"/>
          <w:sz w:val="21"/>
          <w:szCs w:val="21"/>
        </w:rPr>
        <w:t>规划传导</w:t>
      </w:r>
    </w:p>
    <w:p>
      <w:pPr>
        <w:pStyle w:val="BodyText"/>
        <w:spacing w:before="160" w:line="233" w:lineRule="auto"/>
        <w:ind w:firstLine="399"/>
      </w:pPr>
      <w:r>
        <w:rPr>
          <w:spacing w:val="-2"/>
        </w:rPr>
        <w:t>充分衔接上级国土空间生态修复规划和同级国土空间总体规划，加强与同级国土空间规划‘一张图’</w:t>
      </w:r>
      <w:r>
        <w:rPr>
          <w:spacing w:val="3"/>
        </w:rPr>
        <w:t xml:space="preserve"> </w:t>
      </w:r>
      <w:r>
        <w:rPr>
          <w:spacing w:val="2"/>
        </w:rPr>
        <w:t>的核对。以国土空间生态修复分区和重点区域为指引，统筹县域(镇域)</w:t>
      </w:r>
      <w:r>
        <w:rPr>
          <w:spacing w:val="1"/>
        </w:rPr>
        <w:t>国土空间生态修复需求，通过</w:t>
      </w:r>
      <w:r>
        <w:t xml:space="preserve">   </w:t>
      </w:r>
      <w:r>
        <w:rPr>
          <w:spacing w:val="2"/>
        </w:rPr>
        <w:t>分区传导、指标分解、项目清单指引、近期时序安排、政策要求等方式，对</w:t>
      </w:r>
      <w:r>
        <w:rPr>
          <w:spacing w:val="1"/>
        </w:rPr>
        <w:t>县(镇)国土空间生态修复</w:t>
      </w:r>
      <w:r>
        <w:t xml:space="preserve">   </w:t>
      </w:r>
      <w:r>
        <w:rPr>
          <w:spacing w:val="-4"/>
        </w:rPr>
        <w:t>任务提出指导和安排。</w:t>
      </w:r>
    </w:p>
    <w:p>
      <w:pPr>
        <w:spacing w:before="127" w:line="222" w:lineRule="auto"/>
        <w:ind w:left="3"/>
        <w:outlineLvl w:val="0"/>
        <w:rPr>
          <w:rFonts w:ascii="SimHei" w:eastAsia="SimHei" w:hAnsi="SimHei" w:cs="SimHei"/>
          <w:sz w:val="21"/>
          <w:szCs w:val="21"/>
        </w:rPr>
      </w:pPr>
      <w:r>
        <w:rPr>
          <w:rFonts w:ascii="SimHei" w:eastAsia="SimHei" w:hAnsi="SimHei" w:cs="SimHei"/>
          <w:b/>
          <w:bCs/>
          <w:spacing w:val="-5"/>
          <w:sz w:val="21"/>
          <w:szCs w:val="21"/>
        </w:rPr>
        <w:t>8.7</w:t>
      </w:r>
      <w:r>
        <w:rPr>
          <w:rFonts w:ascii="SimHei" w:eastAsia="SimHei" w:hAnsi="SimHei" w:cs="SimHei"/>
          <w:spacing w:val="98"/>
          <w:sz w:val="21"/>
          <w:szCs w:val="21"/>
        </w:rPr>
        <w:t xml:space="preserve"> </w:t>
      </w:r>
      <w:r>
        <w:rPr>
          <w:rFonts w:ascii="SimHei" w:eastAsia="SimHei" w:hAnsi="SimHei" w:cs="SimHei"/>
          <w:b/>
          <w:bCs/>
          <w:spacing w:val="-5"/>
          <w:sz w:val="21"/>
          <w:szCs w:val="21"/>
        </w:rPr>
        <w:t>实施保障</w:t>
      </w:r>
    </w:p>
    <w:p>
      <w:pPr>
        <w:spacing w:before="167" w:line="222" w:lineRule="auto"/>
        <w:ind w:left="3"/>
        <w:outlineLvl w:val="0"/>
        <w:rPr>
          <w:rFonts w:ascii="SimHei" w:eastAsia="SimHei" w:hAnsi="SimHei" w:cs="SimHei"/>
          <w:sz w:val="21"/>
          <w:szCs w:val="21"/>
        </w:rPr>
      </w:pPr>
      <w:r>
        <w:rPr>
          <w:rFonts w:ascii="SimHei" w:eastAsia="SimHei" w:hAnsi="SimHei" w:cs="SimHei"/>
          <w:b/>
          <w:bCs/>
          <w:spacing w:val="-2"/>
          <w:sz w:val="21"/>
          <w:szCs w:val="21"/>
        </w:rPr>
        <w:t>8.7.1</w:t>
      </w:r>
      <w:r>
        <w:rPr>
          <w:rFonts w:ascii="SimHei" w:eastAsia="SimHei" w:hAnsi="SimHei" w:cs="SimHei"/>
          <w:spacing w:val="90"/>
          <w:sz w:val="21"/>
          <w:szCs w:val="21"/>
        </w:rPr>
        <w:t xml:space="preserve"> </w:t>
      </w:r>
      <w:r>
        <w:rPr>
          <w:rFonts w:ascii="SimHei" w:eastAsia="SimHei" w:hAnsi="SimHei" w:cs="SimHei"/>
          <w:b/>
          <w:bCs/>
          <w:spacing w:val="-2"/>
          <w:sz w:val="21"/>
          <w:szCs w:val="21"/>
        </w:rPr>
        <w:t>政策制度</w:t>
      </w:r>
    </w:p>
    <w:p>
      <w:pPr>
        <w:pStyle w:val="BodyText"/>
        <w:spacing w:before="121" w:line="237" w:lineRule="auto"/>
        <w:ind w:right="141" w:firstLine="399"/>
        <w:jc w:val="both"/>
      </w:pPr>
      <w:r>
        <w:rPr>
          <w:spacing w:val="-3"/>
        </w:rPr>
        <w:t>加强组织协调、政策衔接、法治建设、制度建设、资金保障的机制创新等。制定支持社</w:t>
      </w:r>
      <w:r>
        <w:rPr>
          <w:spacing w:val="-4"/>
        </w:rPr>
        <w:t>会资本参与</w:t>
      </w:r>
      <w:r>
        <w:t xml:space="preserve">  </w:t>
      </w:r>
      <w:r>
        <w:rPr>
          <w:spacing w:val="-1"/>
        </w:rPr>
        <w:t>生态修复的相关政策，建立健全资金管理制度保障体系；提炼生态产品价值实现路径和配套政策措施，</w:t>
      </w:r>
      <w:r>
        <w:rPr>
          <w:spacing w:val="9"/>
        </w:rPr>
        <w:t xml:space="preserve"> </w:t>
      </w:r>
      <w:r>
        <w:rPr>
          <w:spacing w:val="-3"/>
        </w:rPr>
        <w:t>实现全社会生态共治共建共享。</w:t>
      </w:r>
    </w:p>
    <w:p>
      <w:pPr>
        <w:spacing w:before="129" w:line="222" w:lineRule="auto"/>
        <w:ind w:left="2"/>
        <w:outlineLvl w:val="0"/>
        <w:rPr>
          <w:rFonts w:ascii="SimHei" w:eastAsia="SimHei" w:hAnsi="SimHei" w:cs="SimHei"/>
          <w:sz w:val="21"/>
          <w:szCs w:val="21"/>
        </w:rPr>
      </w:pPr>
      <w:r>
        <w:rPr>
          <w:rFonts w:ascii="SimHei" w:eastAsia="SimHei" w:hAnsi="SimHei" w:cs="SimHei"/>
          <w:b/>
          <w:bCs/>
          <w:spacing w:val="-5"/>
          <w:sz w:val="21"/>
          <w:szCs w:val="21"/>
        </w:rPr>
        <w:t>8.7.2</w:t>
      </w:r>
      <w:r>
        <w:rPr>
          <w:rFonts w:ascii="SimHei" w:eastAsia="SimHei" w:hAnsi="SimHei" w:cs="SimHei"/>
          <w:spacing w:val="-5"/>
          <w:sz w:val="21"/>
          <w:szCs w:val="21"/>
        </w:rPr>
        <w:t xml:space="preserve">  </w:t>
      </w:r>
      <w:r>
        <w:rPr>
          <w:rFonts w:ascii="SimHei" w:eastAsia="SimHei" w:hAnsi="SimHei" w:cs="SimHei"/>
          <w:b/>
          <w:bCs/>
          <w:spacing w:val="-5"/>
          <w:sz w:val="21"/>
          <w:szCs w:val="21"/>
        </w:rPr>
        <w:t>科技支撑</w:t>
      </w:r>
    </w:p>
    <w:p>
      <w:pPr>
        <w:pStyle w:val="BodyText"/>
        <w:spacing w:before="169" w:line="219" w:lineRule="auto"/>
        <w:ind w:left="399"/>
      </w:pPr>
      <w:r>
        <w:rPr>
          <w:spacing w:val="-1"/>
        </w:rPr>
        <w:t>加强技术文件配套、相关专题研究、数据库建设等，宜强化生态修复信息技术支</w:t>
      </w:r>
      <w:r>
        <w:rPr>
          <w:spacing w:val="-2"/>
        </w:rPr>
        <w:t>撑。</w:t>
      </w:r>
    </w:p>
    <w:p>
      <w:pPr>
        <w:spacing w:before="128" w:line="222" w:lineRule="auto"/>
        <w:ind w:left="2"/>
        <w:outlineLvl w:val="0"/>
        <w:rPr>
          <w:rFonts w:ascii="SimHei" w:eastAsia="SimHei" w:hAnsi="SimHei" w:cs="SimHei"/>
          <w:sz w:val="21"/>
          <w:szCs w:val="21"/>
        </w:rPr>
      </w:pPr>
      <w:r>
        <w:rPr>
          <w:rFonts w:ascii="SimHei" w:eastAsia="SimHei" w:hAnsi="SimHei" w:cs="SimHei"/>
          <w:b/>
          <w:bCs/>
          <w:spacing w:val="-7"/>
          <w:sz w:val="21"/>
          <w:szCs w:val="21"/>
        </w:rPr>
        <w:t>8.7.3</w:t>
      </w:r>
      <w:r>
        <w:rPr>
          <w:rFonts w:ascii="SimHei" w:eastAsia="SimHei" w:hAnsi="SimHei" w:cs="SimHei"/>
          <w:spacing w:val="20"/>
          <w:sz w:val="21"/>
          <w:szCs w:val="21"/>
        </w:rPr>
        <w:t xml:space="preserve">  </w:t>
      </w:r>
      <w:r>
        <w:rPr>
          <w:rFonts w:ascii="SimHei" w:eastAsia="SimHei" w:hAnsi="SimHei" w:cs="SimHei"/>
          <w:b/>
          <w:bCs/>
          <w:spacing w:val="-7"/>
          <w:sz w:val="21"/>
          <w:szCs w:val="21"/>
        </w:rPr>
        <w:t>评估监管</w:t>
      </w:r>
    </w:p>
    <w:p>
      <w:pPr>
        <w:pStyle w:val="BodyText"/>
        <w:spacing w:before="120" w:line="218" w:lineRule="auto"/>
        <w:ind w:left="399"/>
      </w:pPr>
      <w:r>
        <w:rPr>
          <w:spacing w:val="-1"/>
        </w:rPr>
        <w:t>加强项目日常监管、后期管护和适应性管理，开展规划的实施监管、评估考</w:t>
      </w:r>
      <w:r>
        <w:rPr>
          <w:spacing w:val="-2"/>
        </w:rPr>
        <w:t>核等。</w:t>
      </w:r>
    </w:p>
    <w:p>
      <w:pPr>
        <w:spacing w:before="281" w:line="222" w:lineRule="auto"/>
        <w:ind w:left="3"/>
        <w:rPr>
          <w:rFonts w:ascii="SimHei" w:eastAsia="SimHei" w:hAnsi="SimHei" w:cs="SimHei"/>
          <w:sz w:val="21"/>
          <w:szCs w:val="21"/>
        </w:rPr>
      </w:pPr>
      <w:r>
        <w:rPr>
          <w:rFonts w:ascii="SimHei" w:eastAsia="SimHei" w:hAnsi="SimHei" w:cs="SimHei"/>
          <w:b/>
          <w:bCs/>
          <w:spacing w:val="1"/>
          <w:sz w:val="21"/>
          <w:szCs w:val="21"/>
        </w:rPr>
        <w:t>9</w:t>
      </w:r>
      <w:r>
        <w:rPr>
          <w:rFonts w:ascii="SimHei" w:eastAsia="SimHei" w:hAnsi="SimHei" w:cs="SimHei"/>
          <w:spacing w:val="74"/>
          <w:sz w:val="21"/>
          <w:szCs w:val="21"/>
        </w:rPr>
        <w:t xml:space="preserve"> </w:t>
      </w:r>
      <w:r>
        <w:rPr>
          <w:rFonts w:ascii="SimHei" w:eastAsia="SimHei" w:hAnsi="SimHei" w:cs="SimHei"/>
          <w:b/>
          <w:bCs/>
          <w:spacing w:val="1"/>
          <w:sz w:val="21"/>
          <w:szCs w:val="21"/>
        </w:rPr>
        <w:t>协调论证</w:t>
      </w:r>
    </w:p>
    <w:p>
      <w:pPr>
        <w:pStyle w:val="BodyText"/>
        <w:spacing w:before="272" w:line="226" w:lineRule="auto"/>
        <w:ind w:right="141" w:firstLine="399"/>
        <w:jc w:val="both"/>
      </w:pPr>
      <w:r>
        <w:rPr>
          <w:spacing w:val="-3"/>
        </w:rPr>
        <w:t>国土空间生态修复规划成果与同级国土空间规划和上级国土空间生态修复规划、生态环境保护治理</w:t>
      </w:r>
      <w:r>
        <w:rPr>
          <w:spacing w:val="7"/>
        </w:rPr>
        <w:t xml:space="preserve">  </w:t>
      </w:r>
      <w:r>
        <w:rPr>
          <w:spacing w:val="-5"/>
        </w:rPr>
        <w:t>相关规划等专项规划政策进行充分衔接，采取多种方式广泛征求相</w:t>
      </w:r>
      <w:r>
        <w:rPr>
          <w:spacing w:val="-6"/>
        </w:rPr>
        <w:t>关部门及社会公众意见，建立全流程、</w:t>
      </w:r>
      <w:r>
        <w:t xml:space="preserve"> </w:t>
      </w:r>
      <w:r>
        <w:rPr>
          <w:spacing w:val="-3"/>
        </w:rPr>
        <w:t>多渠道的公众参与和社会协同机制，组织有关部门、专家对规划成果进行论证，综合各方面意见后修改</w:t>
      </w:r>
      <w:r>
        <w:rPr>
          <w:spacing w:val="1"/>
        </w:rPr>
        <w:t xml:space="preserve">  </w:t>
      </w:r>
      <w:r>
        <w:rPr>
          <w:spacing w:val="-4"/>
        </w:rPr>
        <w:t>规划方案、完善规划成果。</w:t>
      </w:r>
    </w:p>
    <w:p>
      <w:pPr>
        <w:pStyle w:val="BodyText"/>
        <w:spacing w:before="60" w:line="225" w:lineRule="auto"/>
        <w:ind w:right="215" w:firstLine="399"/>
        <w:jc w:val="both"/>
        <w:rPr>
          <w:sz w:val="26"/>
          <w:szCs w:val="26"/>
        </w:rPr>
      </w:pPr>
      <w:r>
        <w:rPr>
          <w:spacing w:val="-2"/>
        </w:rPr>
        <w:t>规划成果协调论证情况要在规划编制说明中形</w:t>
      </w:r>
      <w:r>
        <w:rPr>
          <w:spacing w:val="-3"/>
        </w:rPr>
        <w:t>成专章，包括政府部门相关意见、专家论证意见、公</w:t>
      </w:r>
      <w:r>
        <w:t xml:space="preserve"> </w:t>
      </w:r>
      <w:r>
        <w:rPr>
          <w:spacing w:val="-2"/>
        </w:rPr>
        <w:t>众意见采纳情况等。对存在重大分歧和颠覆性意见的处</w:t>
      </w:r>
      <w:r>
        <w:rPr>
          <w:spacing w:val="-3"/>
        </w:rPr>
        <w:t>理建议，经充分论证后形成决策方案是十分必要</w:t>
      </w:r>
      <w:r>
        <w:t xml:space="preserve"> </w:t>
      </w:r>
      <w:r>
        <w:rPr>
          <w:spacing w:val="-18"/>
          <w:sz w:val="26"/>
          <w:szCs w:val="26"/>
        </w:rPr>
        <w:t>的。</w:t>
      </w:r>
    </w:p>
    <w:p>
      <w:pPr>
        <w:spacing w:before="209" w:line="222" w:lineRule="auto"/>
        <w:ind w:left="3"/>
        <w:rPr>
          <w:rFonts w:ascii="SimHei" w:eastAsia="SimHei" w:hAnsi="SimHei" w:cs="SimHei"/>
          <w:sz w:val="21"/>
          <w:szCs w:val="21"/>
        </w:rPr>
      </w:pPr>
      <w:r>
        <w:rPr>
          <w:rFonts w:ascii="SimHei" w:eastAsia="SimHei" w:hAnsi="SimHei" w:cs="SimHei"/>
          <w:b/>
          <w:bCs/>
          <w:spacing w:val="-7"/>
          <w:sz w:val="21"/>
          <w:szCs w:val="21"/>
        </w:rPr>
        <w:t>10</w:t>
      </w:r>
      <w:r>
        <w:rPr>
          <w:rFonts w:ascii="SimHei" w:eastAsia="SimHei" w:hAnsi="SimHei" w:cs="SimHei"/>
          <w:spacing w:val="87"/>
          <w:sz w:val="21"/>
          <w:szCs w:val="21"/>
        </w:rPr>
        <w:t xml:space="preserve"> </w:t>
      </w:r>
      <w:r>
        <w:rPr>
          <w:rFonts w:ascii="SimHei" w:eastAsia="SimHei" w:hAnsi="SimHei" w:cs="SimHei"/>
          <w:b/>
          <w:bCs/>
          <w:spacing w:val="-7"/>
          <w:sz w:val="21"/>
          <w:szCs w:val="21"/>
        </w:rPr>
        <w:t>规划报批</w:t>
      </w:r>
    </w:p>
    <w:p>
      <w:pPr>
        <w:pStyle w:val="BodyText"/>
        <w:spacing w:before="280" w:line="219" w:lineRule="auto"/>
        <w:ind w:right="236"/>
      </w:pPr>
      <w:r>
        <w:rPr>
          <w:spacing w:val="-7"/>
        </w:rPr>
        <w:t>10.1  批准的成果纳入国土空间规划“一张图”和国土空间生态保护修复信息管理系统，作为市县级国土</w:t>
      </w:r>
      <w:r>
        <w:rPr>
          <w:spacing w:val="1"/>
        </w:rPr>
        <w:t xml:space="preserve"> </w:t>
      </w:r>
      <w:r>
        <w:rPr>
          <w:spacing w:val="-3"/>
        </w:rPr>
        <w:t>空间生态修复工作的规划依据。</w:t>
      </w:r>
    </w:p>
    <w:p>
      <w:pPr>
        <w:pStyle w:val="BodyText"/>
        <w:spacing w:before="22" w:line="227" w:lineRule="auto"/>
        <w:ind w:right="141"/>
      </w:pPr>
      <w:r>
        <w:rPr>
          <w:spacing w:val="-1"/>
        </w:rPr>
        <w:t>10.2</w:t>
      </w:r>
      <w:r>
        <w:rPr>
          <w:spacing w:val="115"/>
        </w:rPr>
        <w:t xml:space="preserve"> </w:t>
      </w:r>
      <w:r>
        <w:rPr>
          <w:spacing w:val="-1"/>
        </w:rPr>
        <w:t>规划经批准后，按程序汇交规划成果，并在符合国家保密管理和地图管理等有关规定的基础上，</w:t>
      </w:r>
      <w:r>
        <w:t xml:space="preserve"> </w:t>
      </w:r>
      <w:r>
        <w:rPr>
          <w:spacing w:val="-4"/>
        </w:rPr>
        <w:t>按要求向社会公告。</w:t>
      </w:r>
    </w:p>
    <w:p>
      <w:pPr>
        <w:spacing w:line="227" w:lineRule="auto"/>
        <w:sectPr>
          <w:headerReference w:type="default" r:id="rId60"/>
          <w:footerReference w:type="default" r:id="rId61"/>
          <w:pgSz w:w="11910" w:h="16840"/>
          <w:pgMar w:top="400" w:right="953" w:bottom="1298" w:left="1400" w:header="0" w:footer="1159" w:gutter="0"/>
          <w:pgNumType w:start="17"/>
          <w:cols w:space="708"/>
        </w:sect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p>
      <w:pPr>
        <w:spacing w:before="41" w:line="188" w:lineRule="auto"/>
        <w:jc w:val="right"/>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XX/T</w:t>
      </w:r>
      <w:r>
        <w:rPr>
          <w:rFonts w:ascii="Times New Roman" w:eastAsia="Times New Roman" w:hAnsi="Times New Roman" w:cs="Times New Roman"/>
          <w:b/>
          <w:bCs/>
          <w:spacing w:val="3"/>
          <w:sz w:val="14"/>
          <w:szCs w:val="14"/>
        </w:rPr>
        <w:t xml:space="preserve">        </w:t>
      </w:r>
      <w:r>
        <w:rPr>
          <w:rFonts w:ascii="Times New Roman" w:eastAsia="Times New Roman" w:hAnsi="Times New Roman" w:cs="Times New Roman"/>
          <w:b/>
          <w:bCs/>
          <w:spacing w:val="-1"/>
          <w:sz w:val="14"/>
          <w:szCs w:val="14"/>
        </w:rPr>
        <w:t>XXXXX—XXXX</w:t>
      </w:r>
    </w:p>
    <w:p>
      <w:pPr>
        <w:spacing w:line="375" w:lineRule="auto"/>
        <w:rPr>
          <w:rFonts w:ascii="Arial"/>
          <w:sz w:val="21"/>
        </w:rPr>
      </w:pPr>
    </w:p>
    <w:p>
      <w:pPr>
        <w:pStyle w:val="BodyText"/>
        <w:spacing w:before="68" w:line="229" w:lineRule="auto"/>
        <w:ind w:left="4242"/>
      </w:pPr>
      <w:r>
        <w:rPr>
          <w:rFonts w:ascii="SimHei" w:eastAsia="SimHei" w:hAnsi="SimHei" w:cs="SimHei"/>
          <w:b/>
          <w:bCs/>
          <w:spacing w:val="-13"/>
        </w:rPr>
        <w:t>附</w:t>
      </w:r>
      <w:r>
        <w:rPr>
          <w:rFonts w:ascii="SimHei" w:eastAsia="SimHei" w:hAnsi="SimHei" w:cs="SimHei"/>
          <w:spacing w:val="5"/>
        </w:rPr>
        <w:t xml:space="preserve">  </w:t>
      </w:r>
      <w:r>
        <w:rPr>
          <w:rFonts w:ascii="SimHei" w:eastAsia="SimHei" w:hAnsi="SimHei" w:cs="SimHei"/>
          <w:b/>
          <w:bCs/>
          <w:spacing w:val="-13"/>
        </w:rPr>
        <w:t>录</w:t>
      </w:r>
      <w:r>
        <w:rPr>
          <w:rFonts w:ascii="SimHei" w:eastAsia="SimHei" w:hAnsi="SimHei" w:cs="SimHei"/>
          <w:spacing w:val="66"/>
        </w:rPr>
        <w:t xml:space="preserve"> </w:t>
      </w:r>
      <w:r>
        <w:rPr>
          <w:b/>
          <w:bCs/>
          <w:spacing w:val="-13"/>
        </w:rPr>
        <w:t>A</w:t>
      </w:r>
    </w:p>
    <w:p>
      <w:pPr>
        <w:spacing w:line="221" w:lineRule="auto"/>
        <w:ind w:left="4343"/>
        <w:rPr>
          <w:rFonts w:ascii="SimHei" w:eastAsia="SimHei" w:hAnsi="SimHei" w:cs="SimHei"/>
          <w:sz w:val="21"/>
          <w:szCs w:val="21"/>
        </w:rPr>
      </w:pPr>
      <w:r>
        <w:rPr>
          <w:rFonts w:ascii="SimHei" w:eastAsia="SimHei" w:hAnsi="SimHei" w:cs="SimHei"/>
          <w:b/>
          <w:bCs/>
          <w:color w:val="AE5700"/>
          <w:spacing w:val="-2"/>
          <w:sz w:val="21"/>
          <w:szCs w:val="21"/>
        </w:rPr>
        <w:t>(</w:t>
      </w:r>
      <w:r>
        <w:rPr>
          <w:rFonts w:ascii="SimHei" w:eastAsia="SimHei" w:hAnsi="SimHei" w:cs="SimHei"/>
          <w:b/>
          <w:bCs/>
          <w:spacing w:val="-2"/>
          <w:sz w:val="21"/>
          <w:szCs w:val="21"/>
        </w:rPr>
        <w:t>资料</w:t>
      </w:r>
      <w:r>
        <w:rPr>
          <w:rFonts w:ascii="SimHei" w:eastAsia="SimHei" w:hAnsi="SimHei" w:cs="SimHei"/>
          <w:b/>
          <w:bCs/>
          <w:color w:val="AE5700"/>
          <w:spacing w:val="-2"/>
          <w:sz w:val="21"/>
          <w:szCs w:val="21"/>
        </w:rPr>
        <w:t>性)</w:t>
      </w:r>
    </w:p>
    <w:p>
      <w:pPr>
        <w:spacing w:before="5" w:line="219" w:lineRule="auto"/>
        <w:ind w:left="2763"/>
        <w:rPr>
          <w:rFonts w:ascii="SimHei" w:eastAsia="SimHei" w:hAnsi="SimHei" w:cs="SimHei"/>
          <w:sz w:val="21"/>
          <w:szCs w:val="21"/>
        </w:rPr>
      </w:pPr>
      <w:r>
        <w:rPr>
          <w:rFonts w:ascii="SimHei" w:eastAsia="SimHei" w:hAnsi="SimHei" w:cs="SimHei"/>
          <w:b/>
          <w:bCs/>
          <w:spacing w:val="-3"/>
          <w:sz w:val="21"/>
          <w:szCs w:val="21"/>
        </w:rPr>
        <w:t>市县级国土空间生态修复规划编制技术路线</w:t>
      </w:r>
    </w:p>
    <w:p>
      <w:pPr>
        <w:spacing w:line="167" w:lineRule="exact"/>
      </w:pPr>
    </w:p>
    <w:tbl>
      <w:tblPr>
        <w:tblStyle w:val="TableNormal0"/>
        <w:tblW w:w="9349" w:type="dxa"/>
        <w:tblInd w:w="0" w:type="dxa"/>
        <w:tblLayout w:type="fixed"/>
      </w:tblPr>
      <w:tblGrid>
        <w:gridCol w:w="8840"/>
        <w:gridCol w:w="509"/>
      </w:tblGrid>
      <w:tr>
        <w:tblPrEx>
          <w:tblW w:w="9349" w:type="dxa"/>
          <w:tblInd w:w="0" w:type="dxa"/>
          <w:tblLayout w:type="fixed"/>
        </w:tblPrEx>
        <w:trPr>
          <w:trHeight w:val="10389"/>
        </w:trPr>
        <w:tc>
          <w:tcPr>
            <w:tcW w:w="8840" w:type="dxa"/>
            <w:vAlign w:val="top"/>
          </w:tcPr>
          <w:p>
            <w:pPr>
              <w:pStyle w:val="TableText"/>
              <w:spacing w:line="219" w:lineRule="auto"/>
              <w:ind w:left="80"/>
              <w:rPr>
                <w:sz w:val="21"/>
                <w:szCs w:val="21"/>
              </w:rPr>
            </w:pPr>
            <w:r>
              <w:rPr>
                <w:spacing w:val="-1"/>
                <w:sz w:val="21"/>
                <w:szCs w:val="21"/>
              </w:rPr>
              <w:t>市县级国土空间生态修复规划编制技术路线见图</w:t>
            </w:r>
            <w:r>
              <w:rPr>
                <w:rFonts w:ascii="Times New Roman" w:eastAsia="Times New Roman" w:hAnsi="Times New Roman" w:cs="Times New Roman"/>
                <w:spacing w:val="-1"/>
                <w:sz w:val="21"/>
                <w:szCs w:val="21"/>
              </w:rPr>
              <w:t>A.1</w:t>
            </w:r>
            <w:r>
              <w:rPr>
                <w:spacing w:val="-1"/>
                <w:sz w:val="21"/>
                <w:szCs w:val="21"/>
              </w:rPr>
              <w:t>。</w:t>
            </w:r>
          </w:p>
          <w:p>
            <w:pPr>
              <w:pStyle w:val="TableText"/>
              <w:spacing w:before="21" w:line="9771" w:lineRule="exact"/>
            </w:pPr>
            <w:r>
              <w:rPr>
                <w:position w:val="-195"/>
              </w:rPr>
              <w:pict>
                <v:group id="_x0000_i1025" style="width:435.55pt;height:488.55pt;mso-position-horizontal-relative:char;mso-position-vertical-relative:line" coordorigin="0,0" coordsize="8710,977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710;height:9770;position:absolute" filled="f" stroked="f">
                    <v:imagedata r:id="rId62" o:title=""/>
                  </v:shape>
                  <v:shapetype id="_x0000_t202" coordsize="21600,21600" o:spt="202" path="m,l,21600r21600,l21600,xe">
                    <v:stroke joinstyle="miter"/>
                    <v:path gradientshapeok="t" o:connecttype="rect"/>
                  </v:shapetype>
                  <v:shape id="_x0000_s1027" type="#_x0000_t202" style="width:7230;height:9289;left:669;position:absolute;top:341" filled="f" stroked="f">
                    <o:lock v:ext="edit" aspectratio="f"/>
                    <v:textbox inset="0,0,0,0">
                      <w:txbxContent>
                        <w:p>
                          <w:pPr>
                            <w:spacing w:before="20" w:line="220" w:lineRule="auto"/>
                            <w:ind w:left="3010"/>
                            <w:rPr>
                              <w:rFonts w:ascii="SimSun" w:eastAsia="SimSun" w:hAnsi="SimSun" w:cs="SimSun"/>
                              <w:sz w:val="25"/>
                              <w:szCs w:val="25"/>
                            </w:rPr>
                          </w:pPr>
                          <w:r>
                            <w:rPr>
                              <w:rFonts w:ascii="SimSun" w:eastAsia="SimSun" w:hAnsi="SimSun" w:cs="SimSun"/>
                              <w:spacing w:val="11"/>
                              <w:sz w:val="25"/>
                              <w:szCs w:val="25"/>
                            </w:rPr>
                            <w:t>准备工作</w:t>
                          </w:r>
                        </w:p>
                        <w:p>
                          <w:pPr>
                            <w:spacing w:line="322" w:lineRule="auto"/>
                            <w:rPr>
                              <w:rFonts w:ascii="Arial"/>
                              <w:sz w:val="21"/>
                            </w:rPr>
                          </w:pPr>
                        </w:p>
                        <w:p>
                          <w:pPr>
                            <w:spacing w:line="323" w:lineRule="auto"/>
                            <w:rPr>
                              <w:rFonts w:ascii="Arial"/>
                              <w:sz w:val="21"/>
                            </w:rPr>
                          </w:pPr>
                        </w:p>
                        <w:p>
                          <w:pPr>
                            <w:spacing w:before="81" w:line="221" w:lineRule="auto"/>
                            <w:ind w:left="1940"/>
                            <w:rPr>
                              <w:rFonts w:ascii="SimSun" w:eastAsia="SimSun" w:hAnsi="SimSun" w:cs="SimSun"/>
                              <w:sz w:val="25"/>
                              <w:szCs w:val="25"/>
                            </w:rPr>
                          </w:pPr>
                          <w:r>
                            <w:rPr>
                              <w:rFonts w:ascii="SimSun" w:eastAsia="SimSun" w:hAnsi="SimSun" w:cs="SimSun"/>
                              <w:spacing w:val="6"/>
                              <w:sz w:val="25"/>
                              <w:szCs w:val="25"/>
                            </w:rPr>
                            <w:t>组织准备</w:t>
                          </w:r>
                          <w:r>
                            <w:rPr>
                              <w:rFonts w:ascii="SimSun" w:eastAsia="SimSun" w:hAnsi="SimSun" w:cs="SimSun"/>
                              <w:spacing w:val="8"/>
                              <w:sz w:val="25"/>
                              <w:szCs w:val="25"/>
                            </w:rPr>
                            <w:t xml:space="preserve">         </w:t>
                          </w:r>
                          <w:r>
                            <w:rPr>
                              <w:rFonts w:ascii="SimSun" w:eastAsia="SimSun" w:hAnsi="SimSun" w:cs="SimSun"/>
                              <w:spacing w:val="6"/>
                              <w:sz w:val="25"/>
                              <w:szCs w:val="25"/>
                            </w:rPr>
                            <w:t>技术准备</w:t>
                          </w:r>
                        </w:p>
                        <w:p>
                          <w:pPr>
                            <w:spacing w:line="246" w:lineRule="auto"/>
                            <w:rPr>
                              <w:rFonts w:ascii="Arial"/>
                              <w:sz w:val="21"/>
                            </w:rPr>
                          </w:pPr>
                        </w:p>
                        <w:p>
                          <w:pPr>
                            <w:spacing w:before="85" w:line="173" w:lineRule="auto"/>
                            <w:ind w:left="2642"/>
                            <w:rPr>
                              <w:rFonts w:ascii="SimSun" w:eastAsia="SimSun" w:hAnsi="SimSun" w:cs="SimSun"/>
                              <w:sz w:val="22"/>
                              <w:szCs w:val="22"/>
                            </w:rPr>
                          </w:pPr>
                          <w:r>
                            <w:rPr>
                              <w:rFonts w:ascii="SimSun" w:eastAsia="SimSun" w:hAnsi="SimSun" w:cs="SimSun"/>
                              <w:i/>
                              <w:iCs/>
                              <w:spacing w:val="-23"/>
                              <w:sz w:val="26"/>
                              <w:szCs w:val="26"/>
                            </w:rPr>
                            <w:t>二.二.二</w:t>
                          </w:r>
                          <w:r>
                            <w:rPr>
                              <w:rFonts w:ascii="SimSun" w:eastAsia="SimSun" w:hAnsi="SimSun" w:cs="SimSun"/>
                              <w:spacing w:val="-23"/>
                              <w:sz w:val="26"/>
                              <w:szCs w:val="26"/>
                            </w:rPr>
                            <w:t xml:space="preserve"> </w:t>
                          </w:r>
                          <w:r>
                            <w:rPr>
                              <w:rFonts w:ascii="SimSun" w:eastAsia="SimSun" w:hAnsi="SimSun" w:cs="SimSun"/>
                              <w:i/>
                              <w:iCs/>
                              <w:spacing w:val="-23"/>
                              <w:sz w:val="22"/>
                              <w:szCs w:val="22"/>
                            </w:rPr>
                            <w:t>二.二.二.二</w:t>
                          </w:r>
                        </w:p>
                        <w:p>
                          <w:pPr>
                            <w:spacing w:line="332" w:lineRule="auto"/>
                            <w:rPr>
                              <w:rFonts w:ascii="Arial"/>
                              <w:sz w:val="21"/>
                            </w:rPr>
                          </w:pPr>
                        </w:p>
                        <w:p>
                          <w:pPr>
                            <w:spacing w:before="81" w:line="226" w:lineRule="auto"/>
                            <w:ind w:left="580"/>
                            <w:rPr>
                              <w:rFonts w:ascii="SimSun" w:eastAsia="SimSun" w:hAnsi="SimSun" w:cs="SimSun"/>
                              <w:sz w:val="25"/>
                              <w:szCs w:val="25"/>
                            </w:rPr>
                          </w:pPr>
                          <w:r>
                            <w:rPr>
                              <w:rFonts w:ascii="SimSun" w:eastAsia="SimSun" w:hAnsi="SimSun" w:cs="SimSun"/>
                              <w:spacing w:val="6"/>
                              <w:sz w:val="25"/>
                              <w:szCs w:val="25"/>
                            </w:rPr>
                            <w:t>基础分析</w:t>
                          </w:r>
                          <w:r>
                            <w:rPr>
                              <w:rFonts w:ascii="SimSun" w:eastAsia="SimSun" w:hAnsi="SimSun" w:cs="SimSun"/>
                              <w:spacing w:val="3"/>
                              <w:sz w:val="25"/>
                              <w:szCs w:val="25"/>
                            </w:rPr>
                            <w:t xml:space="preserve">         </w:t>
                          </w:r>
                          <w:r>
                            <w:rPr>
                              <w:rFonts w:ascii="SimSun" w:eastAsia="SimSun" w:hAnsi="SimSun" w:cs="SimSun"/>
                              <w:spacing w:val="6"/>
                              <w:sz w:val="25"/>
                              <w:szCs w:val="25"/>
                            </w:rPr>
                            <w:t>问题识别与诊断</w:t>
                          </w:r>
                        </w:p>
                        <w:p>
                          <w:pPr>
                            <w:spacing w:line="249" w:lineRule="auto"/>
                            <w:rPr>
                              <w:rFonts w:ascii="Arial"/>
                              <w:sz w:val="21"/>
                            </w:rPr>
                          </w:pPr>
                        </w:p>
                        <w:p>
                          <w:pPr>
                            <w:spacing w:line="250" w:lineRule="auto"/>
                            <w:rPr>
                              <w:rFonts w:ascii="Arial"/>
                              <w:sz w:val="21"/>
                            </w:rPr>
                          </w:pPr>
                        </w:p>
                        <w:p>
                          <w:pPr>
                            <w:spacing w:before="82" w:line="220" w:lineRule="auto"/>
                            <w:ind w:left="3010"/>
                            <w:rPr>
                              <w:rFonts w:ascii="SimSun" w:eastAsia="SimSun" w:hAnsi="SimSun" w:cs="SimSun"/>
                              <w:sz w:val="25"/>
                              <w:szCs w:val="25"/>
                            </w:rPr>
                          </w:pPr>
                          <w:r>
                            <w:rPr>
                              <w:rFonts w:ascii="SimSun" w:eastAsia="SimSun" w:hAnsi="SimSun" w:cs="SimSun"/>
                              <w:spacing w:val="9"/>
                              <w:sz w:val="25"/>
                              <w:szCs w:val="25"/>
                            </w:rPr>
                            <w:t>规划目标</w:t>
                          </w:r>
                        </w:p>
                        <w:p>
                          <w:pPr>
                            <w:spacing w:line="405" w:lineRule="auto"/>
                            <w:rPr>
                              <w:rFonts w:ascii="Arial"/>
                              <w:sz w:val="21"/>
                            </w:rPr>
                          </w:pPr>
                        </w:p>
                        <w:p>
                          <w:pPr>
                            <w:spacing w:before="82" w:line="227" w:lineRule="auto"/>
                            <w:ind w:left="20"/>
                            <w:rPr>
                              <w:rFonts w:ascii="SimSun" w:eastAsia="SimSun" w:hAnsi="SimSun" w:cs="SimSun"/>
                              <w:sz w:val="25"/>
                              <w:szCs w:val="25"/>
                            </w:rPr>
                          </w:pPr>
                          <w:r>
                            <w:rPr>
                              <w:rFonts w:ascii="SimSun" w:eastAsia="SimSun" w:hAnsi="SimSun" w:cs="SimSun"/>
                              <w:spacing w:val="9"/>
                              <w:sz w:val="25"/>
                              <w:szCs w:val="25"/>
                            </w:rPr>
                            <w:t>生态修复总体布局</w:t>
                          </w:r>
                          <w:r>
                            <w:rPr>
                              <w:rFonts w:ascii="SimSun" w:eastAsia="SimSun" w:hAnsi="SimSun" w:cs="SimSun"/>
                              <w:spacing w:val="21"/>
                              <w:sz w:val="25"/>
                              <w:szCs w:val="25"/>
                            </w:rPr>
                            <w:t xml:space="preserve">     </w:t>
                          </w:r>
                          <w:r>
                            <w:rPr>
                              <w:rFonts w:ascii="SimSun" w:eastAsia="SimSun" w:hAnsi="SimSun" w:cs="SimSun"/>
                              <w:spacing w:val="9"/>
                              <w:sz w:val="25"/>
                              <w:szCs w:val="25"/>
                            </w:rPr>
                            <w:t>生态修复分区</w:t>
                          </w:r>
                          <w:r>
                            <w:rPr>
                              <w:rFonts w:ascii="SimSun" w:eastAsia="SimSun" w:hAnsi="SimSun" w:cs="SimSun"/>
                              <w:spacing w:val="1"/>
                              <w:sz w:val="25"/>
                              <w:szCs w:val="25"/>
                            </w:rPr>
                            <w:t xml:space="preserve">      </w:t>
                          </w:r>
                          <w:r>
                            <w:rPr>
                              <w:rFonts w:ascii="SimSun" w:eastAsia="SimSun" w:hAnsi="SimSun" w:cs="SimSun"/>
                              <w:color w:val="FFFFFF"/>
                              <w:spacing w:val="9"/>
                              <w:sz w:val="25"/>
                              <w:szCs w:val="25"/>
                            </w:rPr>
                            <w:t>生态修复重点区域</w:t>
                          </w:r>
                        </w:p>
                        <w:p>
                          <w:pPr>
                            <w:spacing w:line="319" w:lineRule="auto"/>
                            <w:rPr>
                              <w:rFonts w:ascii="Arial"/>
                              <w:sz w:val="21"/>
                            </w:rPr>
                          </w:pPr>
                        </w:p>
                        <w:p>
                          <w:pPr>
                            <w:spacing w:line="320" w:lineRule="auto"/>
                            <w:rPr>
                              <w:rFonts w:ascii="Arial"/>
                              <w:sz w:val="21"/>
                            </w:rPr>
                          </w:pPr>
                        </w:p>
                        <w:p>
                          <w:pPr>
                            <w:spacing w:before="81" w:line="226" w:lineRule="auto"/>
                            <w:ind w:left="1220"/>
                            <w:rPr>
                              <w:rFonts w:ascii="SimSun" w:eastAsia="SimSun" w:hAnsi="SimSun" w:cs="SimSun"/>
                              <w:sz w:val="25"/>
                              <w:szCs w:val="25"/>
                            </w:rPr>
                          </w:pPr>
                          <w:r>
                            <w:rPr>
                              <w:rFonts w:ascii="SimSun" w:eastAsia="SimSun" w:hAnsi="SimSun" w:cs="SimSun"/>
                              <w:spacing w:val="5"/>
                              <w:sz w:val="25"/>
                              <w:szCs w:val="25"/>
                            </w:rPr>
                            <w:t>生态修复对策             项目安排</w:t>
                          </w:r>
                        </w:p>
                        <w:p>
                          <w:pPr>
                            <w:spacing w:before="204" w:line="219" w:lineRule="auto"/>
                            <w:ind w:left="4450"/>
                            <w:rPr>
                              <w:rFonts w:ascii="SimSun" w:eastAsia="SimSun" w:hAnsi="SimSun" w:cs="SimSun"/>
                              <w:sz w:val="25"/>
                              <w:szCs w:val="25"/>
                            </w:rPr>
                          </w:pPr>
                          <w:r>
                            <w:rPr>
                              <w:rFonts w:ascii="SimSun" w:eastAsia="SimSun" w:hAnsi="SimSun" w:cs="SimSun"/>
                              <w:spacing w:val="7"/>
                              <w:sz w:val="25"/>
                              <w:szCs w:val="25"/>
                            </w:rPr>
                            <w:t>资金测算</w:t>
                          </w:r>
                        </w:p>
                        <w:p>
                          <w:pPr>
                            <w:spacing w:line="283" w:lineRule="auto"/>
                            <w:rPr>
                              <w:rFonts w:ascii="Arial"/>
                              <w:sz w:val="21"/>
                            </w:rPr>
                          </w:pPr>
                        </w:p>
                        <w:p>
                          <w:pPr>
                            <w:spacing w:line="283" w:lineRule="auto"/>
                            <w:rPr>
                              <w:rFonts w:ascii="Arial"/>
                              <w:sz w:val="21"/>
                            </w:rPr>
                          </w:pPr>
                        </w:p>
                        <w:p>
                          <w:pPr>
                            <w:spacing w:before="81" w:line="218" w:lineRule="auto"/>
                            <w:ind w:left="2170"/>
                            <w:rPr>
                              <w:rFonts w:ascii="SimSun" w:eastAsia="SimSun" w:hAnsi="SimSun" w:cs="SimSun"/>
                              <w:sz w:val="25"/>
                              <w:szCs w:val="25"/>
                            </w:rPr>
                          </w:pPr>
                          <w:r>
                            <w:rPr>
                              <w:rFonts w:ascii="SimSun" w:eastAsia="SimSun" w:hAnsi="SimSun" w:cs="SimSun"/>
                              <w:spacing w:val="8"/>
                              <w:sz w:val="25"/>
                              <w:szCs w:val="25"/>
                            </w:rPr>
                            <w:t>效益分析与环境影响评价</w:t>
                          </w:r>
                        </w:p>
                        <w:p>
                          <w:pPr>
                            <w:spacing w:line="243" w:lineRule="auto"/>
                            <w:rPr>
                              <w:rFonts w:ascii="Arial"/>
                              <w:sz w:val="21"/>
                            </w:rPr>
                          </w:pPr>
                        </w:p>
                        <w:p>
                          <w:pPr>
                            <w:spacing w:before="82" w:line="621" w:lineRule="exact"/>
                            <w:ind w:left="2810"/>
                            <w:rPr>
                              <w:rFonts w:ascii="SimSun" w:eastAsia="SimSun" w:hAnsi="SimSun" w:cs="SimSun"/>
                              <w:sz w:val="25"/>
                              <w:szCs w:val="25"/>
                            </w:rPr>
                          </w:pPr>
                          <w:r>
                            <w:rPr>
                              <w:rFonts w:ascii="SimSun" w:eastAsia="SimSun" w:hAnsi="SimSun" w:cs="SimSun"/>
                              <w:spacing w:val="8"/>
                              <w:position w:val="28"/>
                              <w:sz w:val="25"/>
                              <w:szCs w:val="25"/>
                            </w:rPr>
                            <w:t>规划实施保障</w:t>
                          </w:r>
                        </w:p>
                        <w:p>
                          <w:pPr>
                            <w:spacing w:line="219" w:lineRule="auto"/>
                            <w:ind w:left="2989"/>
                            <w:rPr>
                              <w:rFonts w:ascii="SimSun" w:eastAsia="SimSun" w:hAnsi="SimSun" w:cs="SimSun"/>
                              <w:sz w:val="25"/>
                              <w:szCs w:val="25"/>
                            </w:rPr>
                          </w:pPr>
                          <w:r>
                            <w:rPr>
                              <w:rFonts w:ascii="SimSun" w:eastAsia="SimSun" w:hAnsi="SimSun" w:cs="SimSun"/>
                              <w:spacing w:val="10"/>
                              <w:sz w:val="25"/>
                              <w:szCs w:val="25"/>
                            </w:rPr>
                            <w:t>成果编制</w:t>
                          </w:r>
                        </w:p>
                        <w:p>
                          <w:pPr>
                            <w:spacing w:before="93" w:line="120" w:lineRule="exact"/>
                            <w:ind w:firstLine="2780"/>
                          </w:pPr>
                          <w:r>
                            <w:rPr>
                              <w:position w:val="-2"/>
                            </w:rPr>
                            <w:drawing>
                              <wp:inline distT="0" distB="0" distL="0" distR="0">
                                <wp:extent cx="1117638" cy="76137"/>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63"/>
                                        <a:stretch>
                                          <a:fillRect/>
                                        </a:stretch>
                                      </pic:blipFill>
                                      <pic:spPr>
                                        <a:xfrm>
                                          <a:off x="0" y="0"/>
                                          <a:ext cx="1117638" cy="76137"/>
                                        </a:xfrm>
                                        <a:prstGeom prst="rect">
                                          <a:avLst/>
                                        </a:prstGeom>
                                      </pic:spPr>
                                    </pic:pic>
                                  </a:graphicData>
                                </a:graphic>
                              </wp:inline>
                            </w:drawing>
                          </w:r>
                        </w:p>
                        <w:p>
                          <w:pPr>
                            <w:spacing w:before="151" w:line="609" w:lineRule="exact"/>
                            <w:ind w:left="3000"/>
                            <w:rPr>
                              <w:rFonts w:ascii="SimSun" w:eastAsia="SimSun" w:hAnsi="SimSun" w:cs="SimSun"/>
                              <w:sz w:val="25"/>
                              <w:szCs w:val="25"/>
                            </w:rPr>
                          </w:pPr>
                          <w:r>
                            <w:rPr>
                              <w:rFonts w:ascii="SimSun" w:eastAsia="SimSun" w:hAnsi="SimSun" w:cs="SimSun"/>
                              <w:spacing w:val="5"/>
                              <w:position w:val="27"/>
                              <w:sz w:val="25"/>
                              <w:szCs w:val="25"/>
                            </w:rPr>
                            <w:t>协调论证</w:t>
                          </w:r>
                        </w:p>
                        <w:p>
                          <w:pPr>
                            <w:spacing w:line="219" w:lineRule="auto"/>
                            <w:ind w:left="3010"/>
                            <w:rPr>
                              <w:rFonts w:ascii="SimSun" w:eastAsia="SimSun" w:hAnsi="SimSun" w:cs="SimSun"/>
                              <w:sz w:val="25"/>
                              <w:szCs w:val="25"/>
                            </w:rPr>
                          </w:pPr>
                          <w:r>
                            <w:rPr>
                              <w:rFonts w:ascii="SimSun" w:eastAsia="SimSun" w:hAnsi="SimSun" w:cs="SimSun"/>
                              <w:spacing w:val="2"/>
                              <w:sz w:val="25"/>
                              <w:szCs w:val="25"/>
                            </w:rPr>
                            <w:t>审查报批</w:t>
                          </w:r>
                        </w:p>
                      </w:txbxContent>
                    </v:textbox>
                  </v:shape>
                  <v:shape id="_x0000_s1028" type="#_x0000_t202" style="width:1069;height:290;left:6340;position:absolute;top:2660" filled="f" stroked="f">
                    <o:lock v:ext="edit" aspectratio="f"/>
                    <v:textbox inset="0,0,0,0">
                      <w:txbxContent>
                        <w:p>
                          <w:pPr>
                            <w:spacing w:before="20" w:line="219" w:lineRule="auto"/>
                            <w:ind w:left="20"/>
                            <w:rPr>
                              <w:rFonts w:ascii="SimSun" w:eastAsia="SimSun" w:hAnsi="SimSun" w:cs="SimSun"/>
                              <w:sz w:val="25"/>
                              <w:szCs w:val="25"/>
                            </w:rPr>
                          </w:pPr>
                          <w:r>
                            <w:rPr>
                              <w:rFonts w:ascii="SimSun" w:eastAsia="SimSun" w:hAnsi="SimSun" w:cs="SimSun"/>
                              <w:spacing w:val="7"/>
                              <w:sz w:val="25"/>
                              <w:szCs w:val="25"/>
                            </w:rPr>
                            <w:t>趋势研判</w:t>
                          </w:r>
                        </w:p>
                      </w:txbxContent>
                    </v:textbox>
                  </v:shape>
                  <w10:wrap type="none"/>
                </v:group>
              </w:pict>
            </w:r>
          </w:p>
          <w:p>
            <w:pPr>
              <w:spacing w:before="134" w:line="179" w:lineRule="auto"/>
              <w:ind w:left="2359"/>
              <w:rPr>
                <w:rFonts w:ascii="SimHei" w:eastAsia="SimHei" w:hAnsi="SimHei" w:cs="SimHei"/>
                <w:sz w:val="21"/>
                <w:szCs w:val="21"/>
              </w:rPr>
            </w:pPr>
            <w:r>
              <w:rPr>
                <w:rFonts w:ascii="SimHei" w:eastAsia="SimHei" w:hAnsi="SimHei" w:cs="SimHei"/>
                <w:spacing w:val="-2"/>
                <w:sz w:val="21"/>
                <w:szCs w:val="21"/>
              </w:rPr>
              <w:t>图</w:t>
            </w:r>
            <w:r>
              <w:rPr>
                <w:rFonts w:ascii="Arial" w:eastAsia="Arial" w:hAnsi="Arial" w:cs="Arial"/>
                <w:spacing w:val="-2"/>
                <w:sz w:val="21"/>
                <w:szCs w:val="21"/>
              </w:rPr>
              <w:t>A.1</w:t>
            </w:r>
            <w:r>
              <w:rPr>
                <w:rFonts w:ascii="Arial" w:eastAsia="Arial" w:hAnsi="Arial" w:cs="Arial"/>
                <w:spacing w:val="63"/>
                <w:sz w:val="21"/>
                <w:szCs w:val="21"/>
              </w:rPr>
              <w:t xml:space="preserve"> </w:t>
            </w:r>
            <w:r>
              <w:rPr>
                <w:rFonts w:ascii="SimHei" w:eastAsia="SimHei" w:hAnsi="SimHei" w:cs="SimHei"/>
                <w:spacing w:val="-2"/>
                <w:sz w:val="21"/>
                <w:szCs w:val="21"/>
              </w:rPr>
              <w:t>市县级国土空间生态修复规划编制技术路线图</w:t>
            </w:r>
          </w:p>
        </w:tc>
        <w:tc>
          <w:tcPr>
            <w:tcW w:w="509" w:type="dxa"/>
            <w:textDirection w:val="tbRlV"/>
            <w:vAlign w:val="top"/>
          </w:tcPr>
          <w:p>
            <w:pPr>
              <w:pStyle w:val="TableText"/>
              <w:spacing w:before="1" w:line="172" w:lineRule="auto"/>
              <w:ind w:left="8551"/>
              <w:rPr>
                <w:sz w:val="30"/>
                <w:szCs w:val="30"/>
              </w:rPr>
            </w:pPr>
            <w:r>
              <w:pict>
                <v:shape id="_x0000_s1029" type="#_x0000_t202" style="width:20pt;height:72.85pt;margin-top:30.75pt;margin-left:-19pt;position:absolute;z-index:251660288" filled="f" stroked="f">
                  <o:lock v:ext="edit" aspectratio="f"/>
                  <v:textbox style="layout-flow:vertical-ideographic" inset="0,0,0,0">
                    <w:txbxContent>
                      <w:p>
                        <w:pPr>
                          <w:pStyle w:val="TableText"/>
                          <w:spacing w:before="20" w:line="359" w:lineRule="exact"/>
                          <w:ind w:left="20"/>
                          <w:rPr>
                            <w:sz w:val="30"/>
                            <w:szCs w:val="30"/>
                          </w:rPr>
                        </w:pPr>
                        <w:r>
                          <w:rPr>
                            <w:spacing w:val="33"/>
                            <w:position w:val="8"/>
                            <w:sz w:val="30"/>
                            <w:szCs w:val="30"/>
                          </w:rPr>
                          <w:t>准</w:t>
                        </w:r>
                        <w:r>
                          <w:rPr>
                            <w:spacing w:val="-80"/>
                            <w:position w:val="8"/>
                            <w:sz w:val="30"/>
                            <w:szCs w:val="30"/>
                          </w:rPr>
                          <w:t xml:space="preserve"> </w:t>
                        </w:r>
                        <w:r>
                          <w:rPr>
                            <w:spacing w:val="33"/>
                            <w:position w:val="8"/>
                            <w:sz w:val="30"/>
                            <w:szCs w:val="30"/>
                          </w:rPr>
                          <w:t>备工作</w:t>
                        </w:r>
                        <w:r>
                          <w:rPr>
                            <w:position w:val="-11"/>
                            <w:sz w:val="30"/>
                            <w:szCs w:val="30"/>
                          </w:rPr>
                          <w:drawing>
                            <wp:inline distT="0" distB="0" distL="0" distR="0">
                              <wp:extent cx="228548" cy="8223"/>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64"/>
                                      <a:stretch>
                                        <a:fillRect/>
                                      </a:stretch>
                                    </pic:blipFill>
                                    <pic:spPr>
                                      <a:xfrm>
                                        <a:off x="0" y="0"/>
                                        <a:ext cx="228548" cy="8223"/>
                                      </a:xfrm>
                                      <a:prstGeom prst="rect">
                                        <a:avLst/>
                                      </a:prstGeom>
                                    </pic:spPr>
                                  </pic:pic>
                                </a:graphicData>
                              </a:graphic>
                            </wp:inline>
                          </w:drawing>
                        </w:r>
                      </w:p>
                    </w:txbxContent>
                  </v:textbox>
                </v:shape>
              </w:pict>
            </w:r>
            <w:r>
              <w:pict>
                <v:shape id="_x0000_s1030" type="#_x0000_t202" style="width:20pt;height:72.85pt;margin-top:272.75pt;margin-left:-19pt;position:absolute;z-index:251658240" filled="f" stroked="f">
                  <o:lock v:ext="edit" aspectratio="f"/>
                  <v:textbox style="layout-flow:vertical-ideographic" inset="0,0,0,0">
                    <w:txbxContent>
                      <w:p>
                        <w:pPr>
                          <w:pStyle w:val="TableText"/>
                          <w:spacing w:before="20" w:line="359" w:lineRule="exact"/>
                          <w:ind w:left="20"/>
                          <w:rPr>
                            <w:sz w:val="30"/>
                            <w:szCs w:val="30"/>
                          </w:rPr>
                        </w:pPr>
                        <w:r>
                          <w:rPr>
                            <w:spacing w:val="33"/>
                            <w:position w:val="8"/>
                            <w:sz w:val="30"/>
                            <w:szCs w:val="30"/>
                          </w:rPr>
                          <w:t>规</w:t>
                        </w:r>
                        <w:r>
                          <w:rPr>
                            <w:spacing w:val="-80"/>
                            <w:position w:val="8"/>
                            <w:sz w:val="30"/>
                            <w:szCs w:val="30"/>
                          </w:rPr>
                          <w:t xml:space="preserve"> </w:t>
                        </w:r>
                        <w:r>
                          <w:rPr>
                            <w:spacing w:val="33"/>
                            <w:position w:val="8"/>
                            <w:sz w:val="30"/>
                            <w:szCs w:val="30"/>
                          </w:rPr>
                          <w:t>划编制</w:t>
                        </w:r>
                        <w:r>
                          <w:rPr>
                            <w:position w:val="-11"/>
                            <w:sz w:val="30"/>
                            <w:szCs w:val="30"/>
                          </w:rPr>
                          <w:drawing>
                            <wp:inline distT="0" distB="0" distL="0" distR="0">
                              <wp:extent cx="228548" cy="8328"/>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65"/>
                                      <a:stretch>
                                        <a:fillRect/>
                                      </a:stretch>
                                    </pic:blipFill>
                                    <pic:spPr>
                                      <a:xfrm>
                                        <a:off x="0" y="0"/>
                                        <a:ext cx="228548" cy="8328"/>
                                      </a:xfrm>
                                      <a:prstGeom prst="rect">
                                        <a:avLst/>
                                      </a:prstGeom>
                                    </pic:spPr>
                                  </pic:pic>
                                </a:graphicData>
                              </a:graphic>
                            </wp:inline>
                          </w:drawing>
                        </w:r>
                      </w:p>
                    </w:txbxContent>
                  </v:textbox>
                </v:shape>
              </w:pict>
            </w:r>
            <w:r>
              <w:pict>
                <v:shape id="_x0000_s1031" type="#_x0000_t202" style="width:20.55pt;height:74.5pt;margin-top:116.58pt;margin-left:-20pt;position:absolute;z-index:251659264" filled="f" stroked="f">
                  <o:lock v:ext="edit" aspectratio="f"/>
                  <v:textbox style="layout-flow:vertical-ideographic" inset="0,0,0,0">
                    <w:txbxContent>
                      <w:p>
                        <w:pPr>
                          <w:pStyle w:val="TableText"/>
                          <w:spacing w:before="20" w:line="370" w:lineRule="exact"/>
                          <w:ind w:left="20"/>
                          <w:rPr>
                            <w:sz w:val="30"/>
                            <w:szCs w:val="30"/>
                          </w:rPr>
                        </w:pPr>
                        <w:r>
                          <w:rPr>
                            <w:position w:val="-12"/>
                            <w:sz w:val="30"/>
                            <w:szCs w:val="30"/>
                          </w:rPr>
                          <w:drawing>
                            <wp:inline distT="0" distB="0" distL="0" distR="0">
                              <wp:extent cx="234977" cy="6309"/>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66"/>
                                      <a:stretch>
                                        <a:fillRect/>
                                      </a:stretch>
                                    </pic:blipFill>
                                    <pic:spPr>
                                      <a:xfrm>
                                        <a:off x="0" y="0"/>
                                        <a:ext cx="234977" cy="6309"/>
                                      </a:xfrm>
                                      <a:prstGeom prst="rect">
                                        <a:avLst/>
                                      </a:prstGeom>
                                    </pic:spPr>
                                  </pic:pic>
                                </a:graphicData>
                              </a:graphic>
                            </wp:inline>
                          </w:drawing>
                        </w:r>
                        <w:r>
                          <w:rPr>
                            <w:position w:val="9"/>
                            <w:sz w:val="30"/>
                            <w:szCs w:val="30"/>
                          </w:rPr>
                          <w:t>分</w:t>
                        </w:r>
                        <w:r>
                          <w:rPr>
                            <w:spacing w:val="-79"/>
                            <w:position w:val="9"/>
                            <w:sz w:val="30"/>
                            <w:szCs w:val="30"/>
                          </w:rPr>
                          <w:t xml:space="preserve"> </w:t>
                        </w:r>
                        <w:r>
                          <w:rPr>
                            <w:position w:val="9"/>
                            <w:sz w:val="30"/>
                            <w:szCs w:val="30"/>
                          </w:rPr>
                          <w:t>析</w:t>
                        </w:r>
                        <w:r>
                          <w:rPr>
                            <w:spacing w:val="-79"/>
                            <w:position w:val="9"/>
                            <w:sz w:val="30"/>
                            <w:szCs w:val="30"/>
                          </w:rPr>
                          <w:t xml:space="preserve"> </w:t>
                        </w:r>
                        <w:r>
                          <w:rPr>
                            <w:position w:val="9"/>
                            <w:sz w:val="30"/>
                            <w:szCs w:val="30"/>
                          </w:rPr>
                          <w:t>评</w:t>
                        </w:r>
                        <w:r>
                          <w:rPr>
                            <w:spacing w:val="-80"/>
                            <w:position w:val="9"/>
                            <w:sz w:val="30"/>
                            <w:szCs w:val="30"/>
                          </w:rPr>
                          <w:t xml:space="preserve"> </w:t>
                        </w:r>
                        <w:r>
                          <w:rPr>
                            <w:position w:val="9"/>
                            <w:sz w:val="30"/>
                            <w:szCs w:val="30"/>
                          </w:rPr>
                          <w:t>价</w:t>
                        </w:r>
                        <w:r>
                          <w:rPr>
                            <w:spacing w:val="-133"/>
                            <w:position w:val="9"/>
                            <w:sz w:val="30"/>
                            <w:szCs w:val="30"/>
                          </w:rPr>
                          <w:t xml:space="preserve"> </w:t>
                        </w:r>
                        <w:r>
                          <w:rPr>
                            <w:position w:val="-12"/>
                            <w:sz w:val="30"/>
                            <w:szCs w:val="30"/>
                          </w:rPr>
                          <w:drawing>
                            <wp:inline distT="0" distB="0" distL="0" distR="0">
                              <wp:extent cx="234977" cy="6309"/>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66"/>
                                      <a:stretch>
                                        <a:fillRect/>
                                      </a:stretch>
                                    </pic:blipFill>
                                    <pic:spPr>
                                      <a:xfrm>
                                        <a:off x="0" y="0"/>
                                        <a:ext cx="234977" cy="6309"/>
                                      </a:xfrm>
                                      <a:prstGeom prst="rect">
                                        <a:avLst/>
                                      </a:prstGeom>
                                    </pic:spPr>
                                  </pic:pic>
                                </a:graphicData>
                              </a:graphic>
                            </wp:inline>
                          </w:drawing>
                        </w:r>
                      </w:p>
                    </w:txbxContent>
                  </v:textbox>
                </v:shape>
              </w:pict>
            </w:r>
            <w:r>
              <w:rPr>
                <w:position w:val="-18"/>
                <w:sz w:val="30"/>
                <w:szCs w:val="30"/>
              </w:rPr>
              <w:drawing>
                <wp:inline distT="0" distB="0" distL="0" distR="0">
                  <wp:extent cx="234405" cy="630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67"/>
                          <a:stretch>
                            <a:fillRect/>
                          </a:stretch>
                        </pic:blipFill>
                        <pic:spPr>
                          <a:xfrm>
                            <a:off x="0" y="0"/>
                            <a:ext cx="234405" cy="6309"/>
                          </a:xfrm>
                          <a:prstGeom prst="rect">
                            <a:avLst/>
                          </a:prstGeom>
                        </pic:spPr>
                      </pic:pic>
                    </a:graphicData>
                  </a:graphic>
                </wp:inline>
              </w:drawing>
            </w:r>
            <w:r>
              <w:rPr>
                <w:spacing w:val="49"/>
                <w:sz w:val="30"/>
                <w:szCs w:val="30"/>
              </w:rPr>
              <w:t>论证报批</w:t>
            </w:r>
            <w:r>
              <w:rPr>
                <w:spacing w:val="-87"/>
                <w:sz w:val="30"/>
                <w:szCs w:val="30"/>
              </w:rPr>
              <w:t xml:space="preserve"> </w:t>
            </w:r>
            <w:r>
              <w:rPr>
                <w:position w:val="-16"/>
                <w:sz w:val="30"/>
                <w:szCs w:val="30"/>
              </w:rPr>
              <w:drawing>
                <wp:inline distT="0" distB="0" distL="0" distR="0">
                  <wp:extent cx="227991" cy="641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68"/>
                          <a:stretch>
                            <a:fillRect/>
                          </a:stretch>
                        </pic:blipFill>
                        <pic:spPr>
                          <a:xfrm>
                            <a:off x="0" y="0"/>
                            <a:ext cx="227991" cy="6416"/>
                          </a:xfrm>
                          <a:prstGeom prst="rect">
                            <a:avLst/>
                          </a:prstGeom>
                        </pic:spPr>
                      </pic:pic>
                    </a:graphicData>
                  </a:graphic>
                </wp:inline>
              </w:drawing>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9" w:history="1">
        <w:r>
          <w:rPr>
            <w:rFonts w:ascii="SimSun" w:eastAsia="SimSun" w:hAnsi="SimSun" w:cs="SimSun"/>
            <w:b/>
            <w:bCs/>
            <w:noProof w:val="0"/>
            <w:snapToGrid/>
            <w:color w:val="0000EE"/>
            <w:kern w:val="0"/>
            <w:sz w:val="30"/>
            <w:szCs w:val="30"/>
            <w:u w:val="single" w:color="0000EE"/>
          </w:rPr>
          <w:t>https://d.book118.com/196105211021010051</w:t>
        </w:r>
      </w:hyperlink>
    </w:p>
    <w:p/>
    <w:sectPr>
      <w:headerReference w:type="default" r:id="rId70"/>
      <w:footerReference w:type="default" r:id="rId71"/>
      <w:pgSz w:w="11910" w:h="16840"/>
      <w:pgMar w:top="400" w:right="1149" w:bottom="1288" w:left="1349" w:header="0" w:footer="1149" w:gutter="0"/>
      <w:pgNumType w:start="1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9055"/>
      <w:rPr>
        <w:sz w:val="18"/>
        <w:szCs w:val="18"/>
      </w:rPr>
    </w:pPr>
    <w:r>
      <w:rPr>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30"/>
      <w:rPr>
        <w:sz w:val="14"/>
        <w:szCs w:val="14"/>
      </w:rPr>
    </w:pPr>
    <w:r>
      <w:rPr>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30"/>
      <w:rPr>
        <w:sz w:val="14"/>
        <w:szCs w:val="14"/>
      </w:rPr>
    </w:pPr>
    <w:r>
      <w:rPr>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6"/>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6"/>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6"/>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6"/>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9"/>
      <w:rPr>
        <w:sz w:val="15"/>
        <w:szCs w:val="15"/>
      </w:rPr>
    </w:pPr>
    <w:r>
      <w:rPr>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9"/>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49"/>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5"/>
      <w:rPr>
        <w:sz w:val="18"/>
        <w:szCs w:val="18"/>
      </w:rPr>
    </w:pPr>
    <w:r>
      <w:rPr>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45"/>
      <w:rPr>
        <w:sz w:val="18"/>
        <w:szCs w:val="18"/>
      </w:rPr>
    </w:pPr>
    <w:r>
      <w:rPr>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9029"/>
      <w:rPr>
        <w:sz w:val="14"/>
        <w:szCs w:val="14"/>
      </w:rPr>
    </w:pPr>
    <w:r>
      <w:rPr>
        <w:sz w:val="14"/>
        <w:szCs w:val="14"/>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10"/>
      <w:rPr>
        <w:sz w:val="14"/>
        <w:szCs w:val="14"/>
      </w:rPr>
    </w:pPr>
    <w:r>
      <w:rPr>
        <w:spacing w:val="4"/>
        <w:sz w:val="14"/>
        <w:szCs w:val="14"/>
      </w:rPr>
      <w:t>1</w:t>
    </w:r>
    <w:r>
      <w:rPr>
        <w:color w:val="FCB718"/>
        <w:spacing w:val="4"/>
        <w:sz w:val="14"/>
        <w:szCs w:val="14"/>
      </w:rPr>
      <w:t>0</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5"/>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5"/>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0"/>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0"/>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5"/>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5"/>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1"/>
      <w:jc w:val="right"/>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8"/>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8"/>
      <w:rPr>
        <w:rFonts w:ascii="SimHei" w:eastAsia="SimHei" w:hAnsi="SimHei" w:cs="SimHei"/>
      </w:rPr>
    </w:pPr>
    <w:r>
      <w:rPr>
        <w:rFonts w:ascii="SimHei" w:eastAsia="SimHei" w:hAnsi="SimHei" w:cs="SimHei"/>
        <w:spacing w:val="-1"/>
      </w:rPr>
      <w:t>XX/T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25"/>
      <w:szCs w:val="2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2.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6.xml" /><Relationship Id="rId21" Type="http://schemas.openxmlformats.org/officeDocument/2006/relationships/image" Target="media/image6.png" /><Relationship Id="rId22" Type="http://schemas.openxmlformats.org/officeDocument/2006/relationships/image" Target="media/image7.png" /><Relationship Id="rId23" Type="http://schemas.openxmlformats.org/officeDocument/2006/relationships/image" Target="media/image8.png" /><Relationship Id="rId24" Type="http://schemas.openxmlformats.org/officeDocument/2006/relationships/image" Target="media/image9.png" /><Relationship Id="rId25" Type="http://schemas.openxmlformats.org/officeDocument/2006/relationships/hyperlink" Target="5.2.2.1" TargetMode="External" /><Relationship Id="rId26" Type="http://schemas.openxmlformats.org/officeDocument/2006/relationships/hyperlink" Target="5.2.2.2" TargetMode="External" /><Relationship Id="rId27" Type="http://schemas.openxmlformats.org/officeDocument/2006/relationships/hyperlink" Target="5.2.2.3" TargetMode="Externa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yperlink" Target="5.2.2.4" TargetMode="Externa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image" Target="media/image10.png" /><Relationship Id="rId34" Type="http://schemas.openxmlformats.org/officeDocument/2006/relationships/image" Target="media/image11.png"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2.png" /><Relationship Id="rId44" Type="http://schemas.openxmlformats.org/officeDocument/2006/relationships/hyperlink" Target="8.3.1.1" TargetMode="External" /><Relationship Id="rId45" Type="http://schemas.openxmlformats.org/officeDocument/2006/relationships/hyperlink" Target="8.3.1.2" TargetMode="External" /><Relationship Id="rId46" Type="http://schemas.openxmlformats.org/officeDocument/2006/relationships/hyperlink" Target="8.3.1.3" TargetMode="External" /><Relationship Id="rId47" Type="http://schemas.openxmlformats.org/officeDocument/2006/relationships/header" Target="header13.xml" /><Relationship Id="rId48" Type="http://schemas.openxmlformats.org/officeDocument/2006/relationships/footer" Target="footer13.xml" /><Relationship Id="rId49" Type="http://schemas.openxmlformats.org/officeDocument/2006/relationships/header" Target="header14.xml" /><Relationship Id="rId5" Type="http://schemas.openxmlformats.org/officeDocument/2006/relationships/image" Target="media/image2.png" /><Relationship Id="rId50" Type="http://schemas.openxmlformats.org/officeDocument/2006/relationships/footer" Target="footer14.xml" /><Relationship Id="rId51" Type="http://schemas.openxmlformats.org/officeDocument/2006/relationships/hyperlink" Target="8.3.1.4" TargetMode="External" /><Relationship Id="rId52" Type="http://schemas.openxmlformats.org/officeDocument/2006/relationships/hyperlink" Target="8.3.2.1" TargetMode="External" /><Relationship Id="rId53" Type="http://schemas.openxmlformats.org/officeDocument/2006/relationships/hyperlink" Target="8.3.2.2" TargetMode="External" /><Relationship Id="rId54" Type="http://schemas.openxmlformats.org/officeDocument/2006/relationships/header" Target="header15.xml" /><Relationship Id="rId55" Type="http://schemas.openxmlformats.org/officeDocument/2006/relationships/footer" Target="footer15.xml" /><Relationship Id="rId56" Type="http://schemas.openxmlformats.org/officeDocument/2006/relationships/image" Target="media/image13.png" /><Relationship Id="rId57" Type="http://schemas.openxmlformats.org/officeDocument/2006/relationships/image" Target="media/image14.png" /><Relationship Id="rId58" Type="http://schemas.openxmlformats.org/officeDocument/2006/relationships/header" Target="header16.xml" /><Relationship Id="rId59" Type="http://schemas.openxmlformats.org/officeDocument/2006/relationships/footer" Target="footer16.xml" /><Relationship Id="rId6" Type="http://schemas.openxmlformats.org/officeDocument/2006/relationships/image" Target="media/image3.png" /><Relationship Id="rId60" Type="http://schemas.openxmlformats.org/officeDocument/2006/relationships/header" Target="header17.xml" /><Relationship Id="rId61" Type="http://schemas.openxmlformats.org/officeDocument/2006/relationships/footer" Target="footer17.xml" /><Relationship Id="rId62" Type="http://schemas.openxmlformats.org/officeDocument/2006/relationships/image" Target="media/image15.jpeg" /><Relationship Id="rId63" Type="http://schemas.openxmlformats.org/officeDocument/2006/relationships/image" Target="media/image16.png" /><Relationship Id="rId64" Type="http://schemas.openxmlformats.org/officeDocument/2006/relationships/image" Target="media/image17.png" /><Relationship Id="rId65" Type="http://schemas.openxmlformats.org/officeDocument/2006/relationships/image" Target="media/image18.png" /><Relationship Id="rId66" Type="http://schemas.openxmlformats.org/officeDocument/2006/relationships/image" Target="media/image19.jpeg" /><Relationship Id="rId67" Type="http://schemas.openxmlformats.org/officeDocument/2006/relationships/image" Target="media/image20.png" /><Relationship Id="rId68" Type="http://schemas.openxmlformats.org/officeDocument/2006/relationships/image" Target="media/image21.jpeg" /><Relationship Id="rId69" Type="http://schemas.openxmlformats.org/officeDocument/2006/relationships/hyperlink" Target="https://d.book118.com/196105211021010051" TargetMode="External" /><Relationship Id="rId7" Type="http://schemas.openxmlformats.org/officeDocument/2006/relationships/header" Target="header1.xml" /><Relationship Id="rId70" Type="http://schemas.openxmlformats.org/officeDocument/2006/relationships/header" Target="header18.xml" /><Relationship Id="rId71" Type="http://schemas.openxmlformats.org/officeDocument/2006/relationships/footer" Target="footer18.xml" /><Relationship Id="rId72" Type="http://schemas.openxmlformats.org/officeDocument/2006/relationships/theme" Target="theme/theme1.xml" /><Relationship Id="rId73" Type="http://schemas.openxmlformats.org/officeDocument/2006/relationships/styles" Target="styles.xml" /><Relationship Id="rId8" Type="http://schemas.openxmlformats.org/officeDocument/2006/relationships/footer" Target="footer1.xml" /><Relationship Id="rId9"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2024-02-20T22:27:19Z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2024-02-20T22:27:23Z</vt:filetime>
  </property>
  <property fmtid="{D5CDD505-2E9C-101B-9397-08002B2CF9AE}" pid="3" name="CRO">
    <vt:lpwstr>wqlLaW5nc29mdCBQREYgdG8gV1BTIDkw</vt:lpwstr>
  </property>
  <property fmtid="{D5CDD505-2E9C-101B-9397-08002B2CF9AE}" pid="4" name="UsrData">
    <vt:lpwstr>65d4b6c49d6e4a001f46d303wl</vt:lpwstr>
  </property>
</Properties>
</file>