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证券登记、结算机构服务项目规划设计蓝图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40" w:history="1">
        <w:r>
          <w:rPr>
            <w:rFonts w:ascii="仿宋" w:eastAsia="仿宋" w:hAnsi="仿宋" w:cs="仿宋" w:hint="eastAsia"/>
            <w:lang w:eastAsia="zh-CN"/>
          </w:rPr>
          <w:t>概论</w:t>
        </w:r>
        <w:r>
          <w:tab/>
        </w:r>
        <w:r>
          <w:fldChar w:fldCharType="begin"/>
        </w:r>
        <w:r>
          <w:instrText xml:space="preserve"> PAGEREF _Toc26840 \h </w:instrText>
        </w:r>
        <w:r>
          <w:fldChar w:fldCharType="separate"/>
        </w:r>
        <w:r>
          <w:t>3</w:t>
        </w:r>
        <w:r>
          <w:fldChar w:fldCharType="end"/>
        </w:r>
      </w:hyperlink>
    </w:p>
    <w:p>
      <w:pPr>
        <w:pStyle w:val="TOC1"/>
        <w:tabs>
          <w:tab w:val="right" w:leader="dot" w:pos="8306"/>
        </w:tabs>
      </w:pPr>
      <w:hyperlink w:anchor="_Toc26866" w:history="1">
        <w:r>
          <w:rPr>
            <w:rFonts w:ascii="仿宋" w:eastAsia="仿宋" w:hAnsi="仿宋" w:cs="仿宋" w:hint="eastAsia"/>
            <w:lang w:eastAsia="zh-CN"/>
          </w:rPr>
          <w:t>一、证券登记、结算机构服务项目可持续发展</w:t>
        </w:r>
        <w:r>
          <w:tab/>
        </w:r>
        <w:r>
          <w:fldChar w:fldCharType="begin"/>
        </w:r>
        <w:r>
          <w:instrText xml:space="preserve"> PAGEREF _Toc26866 \h </w:instrText>
        </w:r>
        <w:r>
          <w:fldChar w:fldCharType="separate"/>
        </w:r>
        <w:r>
          <w:t>3</w:t>
        </w:r>
        <w:r>
          <w:fldChar w:fldCharType="end"/>
        </w:r>
      </w:hyperlink>
    </w:p>
    <w:p>
      <w:pPr>
        <w:pStyle w:val="TOC2"/>
        <w:tabs>
          <w:tab w:val="right" w:leader="dot" w:pos="8306"/>
        </w:tabs>
      </w:pPr>
      <w:hyperlink w:anchor="_Toc12200" w:history="1">
        <w:r>
          <w:rPr>
            <w:rFonts w:ascii="仿宋" w:eastAsia="仿宋" w:hAnsi="仿宋" w:cs="仿宋" w:hint="eastAsia"/>
            <w:lang w:eastAsia="zh-CN"/>
          </w:rPr>
          <w:t>(一)、可持续战略与实践</w:t>
        </w:r>
        <w:r>
          <w:tab/>
        </w:r>
        <w:r>
          <w:fldChar w:fldCharType="begin"/>
        </w:r>
        <w:r>
          <w:instrText xml:space="preserve"> PAGEREF _Toc12200 \h </w:instrText>
        </w:r>
        <w:r>
          <w:fldChar w:fldCharType="separate"/>
        </w:r>
        <w:r>
          <w:t>3</w:t>
        </w:r>
        <w:r>
          <w:fldChar w:fldCharType="end"/>
        </w:r>
      </w:hyperlink>
    </w:p>
    <w:p>
      <w:pPr>
        <w:pStyle w:val="TOC2"/>
        <w:tabs>
          <w:tab w:val="right" w:leader="dot" w:pos="8306"/>
        </w:tabs>
      </w:pPr>
      <w:hyperlink w:anchor="_Toc6439" w:history="1">
        <w:r>
          <w:rPr>
            <w:rFonts w:ascii="仿宋" w:eastAsia="仿宋" w:hAnsi="仿宋" w:cs="仿宋" w:hint="eastAsia"/>
            <w:lang w:eastAsia="zh-CN"/>
          </w:rPr>
          <w:t>(二)、环保与社会责任</w:t>
        </w:r>
        <w:r>
          <w:tab/>
        </w:r>
        <w:r>
          <w:fldChar w:fldCharType="begin"/>
        </w:r>
        <w:r>
          <w:instrText xml:space="preserve"> PAGEREF _Toc6439 \h </w:instrText>
        </w:r>
        <w:r>
          <w:fldChar w:fldCharType="separate"/>
        </w:r>
        <w:r>
          <w:t>4</w:t>
        </w:r>
        <w:r>
          <w:fldChar w:fldCharType="end"/>
        </w:r>
      </w:hyperlink>
    </w:p>
    <w:p>
      <w:pPr>
        <w:pStyle w:val="TOC1"/>
        <w:tabs>
          <w:tab w:val="right" w:leader="dot" w:pos="8306"/>
        </w:tabs>
      </w:pPr>
      <w:hyperlink w:anchor="_Toc11191" w:history="1">
        <w:r>
          <w:rPr>
            <w:rFonts w:ascii="仿宋" w:eastAsia="仿宋" w:hAnsi="仿宋" w:cs="仿宋" w:hint="eastAsia"/>
            <w:lang w:eastAsia="zh-CN"/>
          </w:rPr>
          <w:t>二、证券登记、结算机构服务项目危机管理</w:t>
        </w:r>
        <w:r>
          <w:tab/>
        </w:r>
        <w:r>
          <w:fldChar w:fldCharType="begin"/>
        </w:r>
        <w:r>
          <w:instrText xml:space="preserve"> PAGEREF _Toc11191 \h </w:instrText>
        </w:r>
        <w:r>
          <w:fldChar w:fldCharType="separate"/>
        </w:r>
        <w:r>
          <w:t>5</w:t>
        </w:r>
        <w:r>
          <w:fldChar w:fldCharType="end"/>
        </w:r>
      </w:hyperlink>
    </w:p>
    <w:p>
      <w:pPr>
        <w:pStyle w:val="TOC2"/>
        <w:tabs>
          <w:tab w:val="right" w:leader="dot" w:pos="8306"/>
        </w:tabs>
      </w:pPr>
      <w:hyperlink w:anchor="_Toc12051" w:history="1">
        <w:r>
          <w:rPr>
            <w:rFonts w:ascii="仿宋" w:eastAsia="仿宋" w:hAnsi="仿宋" w:cs="仿宋" w:hint="eastAsia"/>
            <w:lang w:eastAsia="zh-CN"/>
          </w:rPr>
          <w:t>(一)、危机预警与识别</w:t>
        </w:r>
        <w:r>
          <w:tab/>
        </w:r>
        <w:r>
          <w:fldChar w:fldCharType="begin"/>
        </w:r>
        <w:r>
          <w:instrText xml:space="preserve"> PAGEREF _Toc12051 \h </w:instrText>
        </w:r>
        <w:r>
          <w:fldChar w:fldCharType="separate"/>
        </w:r>
        <w:r>
          <w:t>5</w:t>
        </w:r>
        <w:r>
          <w:fldChar w:fldCharType="end"/>
        </w:r>
      </w:hyperlink>
    </w:p>
    <w:p>
      <w:pPr>
        <w:pStyle w:val="TOC2"/>
        <w:tabs>
          <w:tab w:val="right" w:leader="dot" w:pos="8306"/>
        </w:tabs>
      </w:pPr>
      <w:hyperlink w:anchor="_Toc15181" w:history="1">
        <w:r>
          <w:rPr>
            <w:rFonts w:ascii="仿宋" w:eastAsia="仿宋" w:hAnsi="仿宋" w:cs="仿宋" w:hint="eastAsia"/>
            <w:lang w:eastAsia="zh-CN"/>
          </w:rPr>
          <w:t>(二)、危机应对与恢复</w:t>
        </w:r>
        <w:r>
          <w:tab/>
        </w:r>
        <w:r>
          <w:fldChar w:fldCharType="begin"/>
        </w:r>
        <w:r>
          <w:instrText xml:space="preserve"> PAGEREF _Toc15181 \h </w:instrText>
        </w:r>
        <w:r>
          <w:fldChar w:fldCharType="separate"/>
        </w:r>
        <w:r>
          <w:t>6</w:t>
        </w:r>
        <w:r>
          <w:fldChar w:fldCharType="end"/>
        </w:r>
      </w:hyperlink>
    </w:p>
    <w:p>
      <w:pPr>
        <w:pStyle w:val="TOC1"/>
        <w:tabs>
          <w:tab w:val="right" w:leader="dot" w:pos="8306"/>
        </w:tabs>
      </w:pPr>
      <w:hyperlink w:anchor="_Toc15713" w:history="1">
        <w:r>
          <w:rPr>
            <w:rFonts w:ascii="仿宋" w:eastAsia="仿宋" w:hAnsi="仿宋" w:cs="仿宋" w:hint="eastAsia"/>
            <w:lang w:eastAsia="zh-CN"/>
          </w:rPr>
          <w:t>三、证券登记、结算机构服务项目文档管理</w:t>
        </w:r>
        <w:r>
          <w:tab/>
        </w:r>
        <w:r>
          <w:fldChar w:fldCharType="begin"/>
        </w:r>
        <w:r>
          <w:instrText xml:space="preserve"> PAGEREF _Toc15713 \h </w:instrText>
        </w:r>
        <w:r>
          <w:fldChar w:fldCharType="separate"/>
        </w:r>
        <w:r>
          <w:t>7</w:t>
        </w:r>
        <w:r>
          <w:fldChar w:fldCharType="end"/>
        </w:r>
      </w:hyperlink>
    </w:p>
    <w:p>
      <w:pPr>
        <w:pStyle w:val="TOC2"/>
        <w:tabs>
          <w:tab w:val="right" w:leader="dot" w:pos="8306"/>
        </w:tabs>
      </w:pPr>
      <w:hyperlink w:anchor="_Toc17864" w:history="1">
        <w:r>
          <w:rPr>
            <w:rFonts w:ascii="仿宋" w:eastAsia="仿宋" w:hAnsi="仿宋" w:cs="仿宋" w:hint="eastAsia"/>
            <w:lang w:eastAsia="zh-CN"/>
          </w:rPr>
          <w:t>(一)、文档编制与审查</w:t>
        </w:r>
        <w:r>
          <w:tab/>
        </w:r>
        <w:r>
          <w:fldChar w:fldCharType="begin"/>
        </w:r>
        <w:r>
          <w:instrText xml:space="preserve"> PAGEREF _Toc17864 \h </w:instrText>
        </w:r>
        <w:r>
          <w:fldChar w:fldCharType="separate"/>
        </w:r>
        <w:r>
          <w:t>7</w:t>
        </w:r>
        <w:r>
          <w:fldChar w:fldCharType="end"/>
        </w:r>
      </w:hyperlink>
    </w:p>
    <w:p>
      <w:pPr>
        <w:pStyle w:val="TOC2"/>
        <w:tabs>
          <w:tab w:val="right" w:leader="dot" w:pos="8306"/>
        </w:tabs>
      </w:pPr>
      <w:hyperlink w:anchor="_Toc14296" w:history="1">
        <w:r>
          <w:rPr>
            <w:rFonts w:ascii="仿宋" w:eastAsia="仿宋" w:hAnsi="仿宋" w:cs="仿宋" w:hint="eastAsia"/>
            <w:lang w:eastAsia="zh-CN"/>
          </w:rPr>
          <w:t>(二)、文档发布与分发</w:t>
        </w:r>
        <w:r>
          <w:tab/>
        </w:r>
        <w:r>
          <w:fldChar w:fldCharType="begin"/>
        </w:r>
        <w:r>
          <w:instrText xml:space="preserve"> PAGEREF _Toc14296 \h </w:instrText>
        </w:r>
        <w:r>
          <w:fldChar w:fldCharType="separate"/>
        </w:r>
        <w:r>
          <w:t>9</w:t>
        </w:r>
        <w:r>
          <w:fldChar w:fldCharType="end"/>
        </w:r>
      </w:hyperlink>
    </w:p>
    <w:p>
      <w:pPr>
        <w:pStyle w:val="TOC2"/>
        <w:tabs>
          <w:tab w:val="right" w:leader="dot" w:pos="8306"/>
        </w:tabs>
      </w:pPr>
      <w:hyperlink w:anchor="_Toc23119" w:history="1">
        <w:r>
          <w:rPr>
            <w:rFonts w:ascii="仿宋" w:eastAsia="仿宋" w:hAnsi="仿宋" w:cs="仿宋" w:hint="eastAsia"/>
            <w:lang w:eastAsia="zh-CN"/>
          </w:rPr>
          <w:t>(三)、文档存档与归档</w:t>
        </w:r>
        <w:r>
          <w:tab/>
        </w:r>
        <w:r>
          <w:fldChar w:fldCharType="begin"/>
        </w:r>
        <w:r>
          <w:instrText xml:space="preserve"> PAGEREF _Toc23119 \h </w:instrText>
        </w:r>
        <w:r>
          <w:fldChar w:fldCharType="separate"/>
        </w:r>
        <w:r>
          <w:t>10</w:t>
        </w:r>
        <w:r>
          <w:fldChar w:fldCharType="end"/>
        </w:r>
      </w:hyperlink>
    </w:p>
    <w:p>
      <w:pPr>
        <w:pStyle w:val="TOC1"/>
        <w:tabs>
          <w:tab w:val="right" w:leader="dot" w:pos="8306"/>
        </w:tabs>
      </w:pPr>
      <w:hyperlink w:anchor="_Toc31148" w:history="1">
        <w:r>
          <w:rPr>
            <w:rFonts w:ascii="仿宋" w:eastAsia="仿宋" w:hAnsi="仿宋" w:cs="仿宋" w:hint="eastAsia"/>
            <w:lang w:eastAsia="zh-CN"/>
          </w:rPr>
          <w:t>四、证券登记、结算机构服务项目建设背景及必要性分析</w:t>
        </w:r>
        <w:r>
          <w:tab/>
        </w:r>
        <w:r>
          <w:fldChar w:fldCharType="begin"/>
        </w:r>
        <w:r>
          <w:instrText xml:space="preserve"> PAGEREF _Toc31148 \h </w:instrText>
        </w:r>
        <w:r>
          <w:fldChar w:fldCharType="separate"/>
        </w:r>
        <w:r>
          <w:t>11</w:t>
        </w:r>
        <w:r>
          <w:fldChar w:fldCharType="end"/>
        </w:r>
      </w:hyperlink>
    </w:p>
    <w:p>
      <w:pPr>
        <w:pStyle w:val="TOC2"/>
        <w:tabs>
          <w:tab w:val="right" w:leader="dot" w:pos="8306"/>
        </w:tabs>
      </w:pPr>
      <w:hyperlink w:anchor="_Toc30011" w:history="1">
        <w:r>
          <w:rPr>
            <w:rFonts w:ascii="仿宋" w:eastAsia="仿宋" w:hAnsi="仿宋" w:cs="仿宋" w:hint="eastAsia"/>
            <w:lang w:eastAsia="zh-CN"/>
          </w:rPr>
          <w:t>(一)、证券登记、结算机构服务项目背景分析</w:t>
        </w:r>
        <w:r>
          <w:tab/>
        </w:r>
        <w:r>
          <w:fldChar w:fldCharType="begin"/>
        </w:r>
        <w:r>
          <w:instrText xml:space="preserve"> PAGEREF _Toc30011 \h </w:instrText>
        </w:r>
        <w:r>
          <w:fldChar w:fldCharType="separate"/>
        </w:r>
        <w:r>
          <w:t>11</w:t>
        </w:r>
        <w:r>
          <w:fldChar w:fldCharType="end"/>
        </w:r>
      </w:hyperlink>
    </w:p>
    <w:p>
      <w:pPr>
        <w:pStyle w:val="TOC2"/>
        <w:tabs>
          <w:tab w:val="right" w:leader="dot" w:pos="8306"/>
        </w:tabs>
      </w:pPr>
      <w:hyperlink w:anchor="_Toc27592" w:history="1">
        <w:r>
          <w:rPr>
            <w:rFonts w:ascii="仿宋" w:eastAsia="仿宋" w:hAnsi="仿宋" w:cs="仿宋" w:hint="eastAsia"/>
            <w:lang w:eastAsia="zh-CN"/>
          </w:rPr>
          <w:t>(二)、证券登记、结算机构服务项目建设必要性分析</w:t>
        </w:r>
        <w:r>
          <w:tab/>
        </w:r>
        <w:r>
          <w:fldChar w:fldCharType="begin"/>
        </w:r>
        <w:r>
          <w:instrText xml:space="preserve"> PAGEREF _Toc27592 \h </w:instrText>
        </w:r>
        <w:r>
          <w:fldChar w:fldCharType="separate"/>
        </w:r>
        <w:r>
          <w:t>13</w:t>
        </w:r>
        <w:r>
          <w:fldChar w:fldCharType="end"/>
        </w:r>
      </w:hyperlink>
    </w:p>
    <w:p>
      <w:pPr>
        <w:pStyle w:val="TOC1"/>
        <w:tabs>
          <w:tab w:val="right" w:leader="dot" w:pos="8306"/>
        </w:tabs>
      </w:pPr>
      <w:hyperlink w:anchor="_Toc10726" w:history="1">
        <w:r>
          <w:rPr>
            <w:rFonts w:ascii="仿宋" w:eastAsia="仿宋" w:hAnsi="仿宋" w:cs="仿宋" w:hint="eastAsia"/>
            <w:lang w:eastAsia="zh-CN"/>
          </w:rPr>
          <w:t>五、证券登记、结算机构服务项目选址可行性分析</w:t>
        </w:r>
        <w:r>
          <w:tab/>
        </w:r>
        <w:r>
          <w:fldChar w:fldCharType="begin"/>
        </w:r>
        <w:r>
          <w:instrText xml:space="preserve"> PAGEREF _Toc10726 \h </w:instrText>
        </w:r>
        <w:r>
          <w:fldChar w:fldCharType="separate"/>
        </w:r>
        <w:r>
          <w:t>14</w:t>
        </w:r>
        <w:r>
          <w:fldChar w:fldCharType="end"/>
        </w:r>
      </w:hyperlink>
    </w:p>
    <w:p>
      <w:pPr>
        <w:pStyle w:val="TOC2"/>
        <w:tabs>
          <w:tab w:val="right" w:leader="dot" w:pos="8306"/>
        </w:tabs>
      </w:pPr>
      <w:hyperlink w:anchor="_Toc12778" w:history="1">
        <w:r>
          <w:rPr>
            <w:rFonts w:ascii="仿宋" w:eastAsia="仿宋" w:hAnsi="仿宋" w:cs="仿宋" w:hint="eastAsia"/>
            <w:lang w:eastAsia="zh-CN"/>
          </w:rPr>
          <w:t>(一)、证券登记、结算机构服务项目选址</w:t>
        </w:r>
        <w:r>
          <w:tab/>
        </w:r>
        <w:r>
          <w:fldChar w:fldCharType="begin"/>
        </w:r>
        <w:r>
          <w:instrText xml:space="preserve"> PAGEREF _Toc12778 \h </w:instrText>
        </w:r>
        <w:r>
          <w:fldChar w:fldCharType="separate"/>
        </w:r>
        <w:r>
          <w:t>14</w:t>
        </w:r>
        <w:r>
          <w:fldChar w:fldCharType="end"/>
        </w:r>
      </w:hyperlink>
    </w:p>
    <w:p>
      <w:pPr>
        <w:pStyle w:val="TOC2"/>
        <w:tabs>
          <w:tab w:val="right" w:leader="dot" w:pos="8306"/>
        </w:tabs>
      </w:pPr>
      <w:hyperlink w:anchor="_Toc7092" w:history="1">
        <w:r>
          <w:rPr>
            <w:rFonts w:ascii="仿宋" w:eastAsia="仿宋" w:hAnsi="仿宋" w:cs="仿宋" w:hint="eastAsia"/>
            <w:lang w:eastAsia="zh-CN"/>
          </w:rPr>
          <w:t>(二)、用地控制指标</w:t>
        </w:r>
        <w:r>
          <w:tab/>
        </w:r>
        <w:r>
          <w:fldChar w:fldCharType="begin"/>
        </w:r>
        <w:r>
          <w:instrText xml:space="preserve"> PAGEREF _Toc7092 \h </w:instrText>
        </w:r>
        <w:r>
          <w:fldChar w:fldCharType="separate"/>
        </w:r>
        <w:r>
          <w:t>14</w:t>
        </w:r>
        <w:r>
          <w:fldChar w:fldCharType="end"/>
        </w:r>
      </w:hyperlink>
    </w:p>
    <w:p>
      <w:pPr>
        <w:pStyle w:val="TOC2"/>
        <w:tabs>
          <w:tab w:val="right" w:leader="dot" w:pos="8306"/>
        </w:tabs>
      </w:pPr>
      <w:hyperlink w:anchor="_Toc15872" w:history="1">
        <w:r>
          <w:rPr>
            <w:rFonts w:ascii="仿宋" w:eastAsia="仿宋" w:hAnsi="仿宋" w:cs="仿宋" w:hint="eastAsia"/>
            <w:lang w:eastAsia="zh-CN"/>
          </w:rPr>
          <w:t>(三)、节约用地措施</w:t>
        </w:r>
        <w:r>
          <w:tab/>
        </w:r>
        <w:r>
          <w:fldChar w:fldCharType="begin"/>
        </w:r>
        <w:r>
          <w:instrText xml:space="preserve"> PAGEREF _Toc15872 \h </w:instrText>
        </w:r>
        <w:r>
          <w:fldChar w:fldCharType="separate"/>
        </w:r>
        <w:r>
          <w:t>16</w:t>
        </w:r>
        <w:r>
          <w:fldChar w:fldCharType="end"/>
        </w:r>
      </w:hyperlink>
    </w:p>
    <w:p>
      <w:pPr>
        <w:pStyle w:val="TOC2"/>
        <w:tabs>
          <w:tab w:val="right" w:leader="dot" w:pos="8306"/>
        </w:tabs>
      </w:pPr>
      <w:hyperlink w:anchor="_Toc18576" w:history="1">
        <w:r>
          <w:rPr>
            <w:rFonts w:ascii="仿宋" w:eastAsia="仿宋" w:hAnsi="仿宋" w:cs="仿宋" w:hint="eastAsia"/>
            <w:lang w:eastAsia="zh-CN"/>
          </w:rPr>
          <w:t>(四)、总图布置方案</w:t>
        </w:r>
        <w:r>
          <w:tab/>
        </w:r>
        <w:r>
          <w:fldChar w:fldCharType="begin"/>
        </w:r>
        <w:r>
          <w:instrText xml:space="preserve"> PAGEREF _Toc18576 \h </w:instrText>
        </w:r>
        <w:r>
          <w:fldChar w:fldCharType="separate"/>
        </w:r>
        <w:r>
          <w:t>18</w:t>
        </w:r>
        <w:r>
          <w:fldChar w:fldCharType="end"/>
        </w:r>
      </w:hyperlink>
    </w:p>
    <w:p>
      <w:pPr>
        <w:pStyle w:val="TOC2"/>
        <w:tabs>
          <w:tab w:val="right" w:leader="dot" w:pos="8306"/>
        </w:tabs>
      </w:pPr>
      <w:hyperlink w:anchor="_Toc25397" w:history="1">
        <w:r>
          <w:rPr>
            <w:rFonts w:ascii="仿宋" w:eastAsia="仿宋" w:hAnsi="仿宋" w:cs="仿宋" w:hint="eastAsia"/>
            <w:lang w:eastAsia="zh-CN"/>
          </w:rPr>
          <w:t>(五)、选址综合评价</w:t>
        </w:r>
        <w:r>
          <w:tab/>
        </w:r>
        <w:r>
          <w:fldChar w:fldCharType="begin"/>
        </w:r>
        <w:r>
          <w:instrText xml:space="preserve"> PAGEREF _Toc25397 \h </w:instrText>
        </w:r>
        <w:r>
          <w:fldChar w:fldCharType="separate"/>
        </w:r>
        <w:r>
          <w:t>19</w:t>
        </w:r>
        <w:r>
          <w:fldChar w:fldCharType="end"/>
        </w:r>
      </w:hyperlink>
    </w:p>
    <w:p>
      <w:pPr>
        <w:pStyle w:val="TOC1"/>
        <w:tabs>
          <w:tab w:val="right" w:leader="dot" w:pos="8306"/>
        </w:tabs>
      </w:pPr>
      <w:hyperlink w:anchor="_Toc30777" w:history="1">
        <w:r>
          <w:rPr>
            <w:rFonts w:ascii="仿宋" w:eastAsia="仿宋" w:hAnsi="仿宋" w:cs="仿宋" w:hint="eastAsia"/>
            <w:lang w:eastAsia="zh-CN"/>
          </w:rPr>
          <w:t>六、证券登记、结算机构服务项目概论</w:t>
        </w:r>
        <w:r>
          <w:tab/>
        </w:r>
        <w:r>
          <w:fldChar w:fldCharType="begin"/>
        </w:r>
        <w:r>
          <w:instrText xml:space="preserve"> PAGEREF _Toc30777 \h </w:instrText>
        </w:r>
        <w:r>
          <w:fldChar w:fldCharType="separate"/>
        </w:r>
        <w:r>
          <w:t>20</w:t>
        </w:r>
        <w:r>
          <w:fldChar w:fldCharType="end"/>
        </w:r>
      </w:hyperlink>
    </w:p>
    <w:p>
      <w:pPr>
        <w:pStyle w:val="TOC2"/>
        <w:tabs>
          <w:tab w:val="right" w:leader="dot" w:pos="8306"/>
        </w:tabs>
      </w:pPr>
      <w:hyperlink w:anchor="_Toc3716" w:history="1">
        <w:r>
          <w:rPr>
            <w:rFonts w:ascii="仿宋" w:eastAsia="仿宋" w:hAnsi="仿宋" w:cs="仿宋" w:hint="eastAsia"/>
            <w:lang w:eastAsia="zh-CN"/>
          </w:rPr>
          <w:t>(一)、证券登记、结算机构服务项目概况</w:t>
        </w:r>
        <w:r>
          <w:tab/>
        </w:r>
        <w:r>
          <w:fldChar w:fldCharType="begin"/>
        </w:r>
        <w:r>
          <w:instrText xml:space="preserve"> PAGEREF _Toc3716 \h </w:instrText>
        </w:r>
        <w:r>
          <w:fldChar w:fldCharType="separate"/>
        </w:r>
        <w:r>
          <w:t>20</w:t>
        </w:r>
        <w:r>
          <w:fldChar w:fldCharType="end"/>
        </w:r>
      </w:hyperlink>
    </w:p>
    <w:p>
      <w:pPr>
        <w:pStyle w:val="TOC2"/>
        <w:tabs>
          <w:tab w:val="right" w:leader="dot" w:pos="8306"/>
        </w:tabs>
      </w:pPr>
      <w:hyperlink w:anchor="_Toc32529" w:history="1">
        <w:r>
          <w:rPr>
            <w:rFonts w:ascii="仿宋" w:eastAsia="仿宋" w:hAnsi="仿宋" w:cs="仿宋" w:hint="eastAsia"/>
            <w:lang w:eastAsia="zh-CN"/>
          </w:rPr>
          <w:t>(二)、证券登记、结算机构服务项目目标</w:t>
        </w:r>
        <w:r>
          <w:tab/>
        </w:r>
        <w:r>
          <w:fldChar w:fldCharType="begin"/>
        </w:r>
        <w:r>
          <w:instrText xml:space="preserve"> PAGEREF _Toc32529 \h </w:instrText>
        </w:r>
        <w:r>
          <w:fldChar w:fldCharType="separate"/>
        </w:r>
        <w:r>
          <w:t>22</w:t>
        </w:r>
        <w:r>
          <w:fldChar w:fldCharType="end"/>
        </w:r>
      </w:hyperlink>
    </w:p>
    <w:p>
      <w:pPr>
        <w:pStyle w:val="TOC2"/>
        <w:tabs>
          <w:tab w:val="right" w:leader="dot" w:pos="8306"/>
        </w:tabs>
      </w:pPr>
      <w:hyperlink w:anchor="_Toc14544" w:history="1">
        <w:r>
          <w:rPr>
            <w:rFonts w:ascii="仿宋" w:eastAsia="仿宋" w:hAnsi="仿宋" w:cs="仿宋" w:hint="eastAsia"/>
            <w:lang w:eastAsia="zh-CN"/>
          </w:rPr>
          <w:t>(三)、证券登记、结算机构服务项目提出的理由</w:t>
        </w:r>
        <w:r>
          <w:tab/>
        </w:r>
        <w:r>
          <w:fldChar w:fldCharType="begin"/>
        </w:r>
        <w:r>
          <w:instrText xml:space="preserve"> PAGEREF _Toc14544 \h </w:instrText>
        </w:r>
        <w:r>
          <w:fldChar w:fldCharType="separate"/>
        </w:r>
        <w:r>
          <w:t>23</w:t>
        </w:r>
        <w:r>
          <w:fldChar w:fldCharType="end"/>
        </w:r>
      </w:hyperlink>
    </w:p>
    <w:p>
      <w:pPr>
        <w:pStyle w:val="TOC2"/>
        <w:tabs>
          <w:tab w:val="right" w:leader="dot" w:pos="8306"/>
        </w:tabs>
      </w:pPr>
      <w:hyperlink w:anchor="_Toc14414" w:history="1">
        <w:r>
          <w:rPr>
            <w:rFonts w:ascii="仿宋" w:eastAsia="仿宋" w:hAnsi="仿宋" w:cs="仿宋" w:hint="eastAsia"/>
            <w:lang w:eastAsia="zh-CN"/>
          </w:rPr>
          <w:t>(四)、证券登记、结算机构服务项目意义</w:t>
        </w:r>
        <w:r>
          <w:tab/>
        </w:r>
        <w:r>
          <w:fldChar w:fldCharType="begin"/>
        </w:r>
        <w:r>
          <w:instrText xml:space="preserve"> PAGEREF _Toc14414 \h </w:instrText>
        </w:r>
        <w:r>
          <w:fldChar w:fldCharType="separate"/>
        </w:r>
        <w:r>
          <w:t>25</w:t>
        </w:r>
        <w:r>
          <w:fldChar w:fldCharType="end"/>
        </w:r>
      </w:hyperlink>
    </w:p>
    <w:p>
      <w:pPr>
        <w:pStyle w:val="TOC2"/>
        <w:tabs>
          <w:tab w:val="right" w:leader="dot" w:pos="8306"/>
        </w:tabs>
      </w:pPr>
      <w:hyperlink w:anchor="_Toc1747" w:history="1">
        <w:r>
          <w:rPr>
            <w:rFonts w:ascii="仿宋" w:eastAsia="仿宋" w:hAnsi="仿宋" w:cs="仿宋" w:hint="eastAsia"/>
            <w:lang w:eastAsia="zh-CN"/>
          </w:rPr>
          <w:t>(五)、证券登记、结算机构服务项目背景</w:t>
        </w:r>
        <w:r>
          <w:tab/>
        </w:r>
        <w:r>
          <w:fldChar w:fldCharType="begin"/>
        </w:r>
        <w:r>
          <w:instrText xml:space="preserve"> PAGEREF _Toc1747 \h </w:instrText>
        </w:r>
        <w:r>
          <w:fldChar w:fldCharType="separate"/>
        </w:r>
        <w:r>
          <w:t>26</w:t>
        </w:r>
        <w:r>
          <w:fldChar w:fldCharType="end"/>
        </w:r>
      </w:hyperlink>
    </w:p>
    <w:p>
      <w:pPr>
        <w:pStyle w:val="TOC1"/>
        <w:tabs>
          <w:tab w:val="right" w:leader="dot" w:pos="8306"/>
        </w:tabs>
      </w:pPr>
      <w:hyperlink w:anchor="_Toc31416" w:history="1">
        <w:r>
          <w:rPr>
            <w:rFonts w:ascii="仿宋" w:eastAsia="仿宋" w:hAnsi="仿宋" w:cs="仿宋" w:hint="eastAsia"/>
            <w:lang w:eastAsia="zh-CN"/>
          </w:rPr>
          <w:t>七、证券登记、结算机构服务项目社会影响</w:t>
        </w:r>
        <w:r>
          <w:tab/>
        </w:r>
        <w:r>
          <w:fldChar w:fldCharType="begin"/>
        </w:r>
        <w:r>
          <w:instrText xml:space="preserve"> PAGEREF _Toc31416 \h </w:instrText>
        </w:r>
        <w:r>
          <w:fldChar w:fldCharType="separate"/>
        </w:r>
        <w:r>
          <w:t>27</w:t>
        </w:r>
        <w:r>
          <w:fldChar w:fldCharType="end"/>
        </w:r>
      </w:hyperlink>
    </w:p>
    <w:p>
      <w:pPr>
        <w:pStyle w:val="TOC2"/>
        <w:tabs>
          <w:tab w:val="right" w:leader="dot" w:pos="8306"/>
        </w:tabs>
      </w:pPr>
      <w:hyperlink w:anchor="_Toc27997" w:history="1">
        <w:r>
          <w:rPr>
            <w:rFonts w:ascii="仿宋" w:eastAsia="仿宋" w:hAnsi="仿宋" w:cs="仿宋" w:hint="eastAsia"/>
            <w:lang w:eastAsia="zh-CN"/>
          </w:rPr>
          <w:t>(一)、社会责任与义务</w:t>
        </w:r>
        <w:r>
          <w:tab/>
        </w:r>
        <w:r>
          <w:fldChar w:fldCharType="begin"/>
        </w:r>
        <w:r>
          <w:instrText xml:space="preserve"> PAGEREF _Toc27997 \h </w:instrText>
        </w:r>
        <w:r>
          <w:fldChar w:fldCharType="separate"/>
        </w:r>
        <w:r>
          <w:t>27</w:t>
        </w:r>
        <w:r>
          <w:fldChar w:fldCharType="end"/>
        </w:r>
      </w:hyperlink>
    </w:p>
    <w:p>
      <w:pPr>
        <w:pStyle w:val="TOC2"/>
        <w:tabs>
          <w:tab w:val="right" w:leader="dot" w:pos="8306"/>
        </w:tabs>
      </w:pPr>
      <w:hyperlink w:anchor="_Toc9310" w:history="1">
        <w:r>
          <w:rPr>
            <w:rFonts w:ascii="仿宋" w:eastAsia="仿宋" w:hAnsi="仿宋" w:cs="仿宋" w:hint="eastAsia"/>
            <w:lang w:eastAsia="zh-CN"/>
          </w:rPr>
          <w:t>(二)、社会参与与沟通</w:t>
        </w:r>
        <w:r>
          <w:tab/>
        </w:r>
        <w:r>
          <w:fldChar w:fldCharType="begin"/>
        </w:r>
        <w:r>
          <w:instrText xml:space="preserve"> PAGEREF _Toc9310 \h </w:instrText>
        </w:r>
        <w:r>
          <w:fldChar w:fldCharType="separate"/>
        </w:r>
        <w:r>
          <w:t>28</w:t>
        </w:r>
        <w:r>
          <w:fldChar w:fldCharType="end"/>
        </w:r>
      </w:hyperlink>
    </w:p>
    <w:p>
      <w:pPr>
        <w:pStyle w:val="TOC1"/>
        <w:tabs>
          <w:tab w:val="right" w:leader="dot" w:pos="8306"/>
        </w:tabs>
      </w:pPr>
      <w:hyperlink w:anchor="_Toc9406" w:history="1">
        <w:r>
          <w:rPr>
            <w:rFonts w:ascii="仿宋" w:eastAsia="仿宋" w:hAnsi="仿宋" w:cs="仿宋" w:hint="eastAsia"/>
            <w:lang w:eastAsia="zh-CN"/>
          </w:rPr>
          <w:t>八、证券登记、结算机构服务项目人力资源培养与发展</w:t>
        </w:r>
        <w:r>
          <w:tab/>
        </w:r>
        <w:r>
          <w:fldChar w:fldCharType="begin"/>
        </w:r>
        <w:r>
          <w:instrText xml:space="preserve"> PAGEREF _Toc9406 \h </w:instrText>
        </w:r>
        <w:r>
          <w:fldChar w:fldCharType="separate"/>
        </w:r>
        <w:r>
          <w:t>29</w:t>
        </w:r>
        <w:r>
          <w:fldChar w:fldCharType="end"/>
        </w:r>
      </w:hyperlink>
    </w:p>
    <w:p>
      <w:pPr>
        <w:pStyle w:val="TOC2"/>
        <w:tabs>
          <w:tab w:val="right" w:leader="dot" w:pos="8306"/>
        </w:tabs>
      </w:pPr>
      <w:hyperlink w:anchor="_Toc31973" w:history="1">
        <w:r>
          <w:rPr>
            <w:rFonts w:ascii="仿宋" w:eastAsia="仿宋" w:hAnsi="仿宋" w:cs="仿宋" w:hint="eastAsia"/>
            <w:lang w:eastAsia="zh-CN"/>
          </w:rPr>
          <w:t>(一)、人才需求与规划</w:t>
        </w:r>
        <w:r>
          <w:tab/>
        </w:r>
        <w:r>
          <w:fldChar w:fldCharType="begin"/>
        </w:r>
        <w:r>
          <w:instrText xml:space="preserve"> PAGEREF _Toc31973 \h </w:instrText>
        </w:r>
        <w:r>
          <w:fldChar w:fldCharType="separate"/>
        </w:r>
        <w:r>
          <w:t>29</w:t>
        </w:r>
        <w:r>
          <w:fldChar w:fldCharType="end"/>
        </w:r>
      </w:hyperlink>
    </w:p>
    <w:p>
      <w:pPr>
        <w:pStyle w:val="TOC2"/>
        <w:tabs>
          <w:tab w:val="right" w:leader="dot" w:pos="8306"/>
        </w:tabs>
      </w:pPr>
      <w:hyperlink w:anchor="_Toc19536" w:history="1">
        <w:r>
          <w:rPr>
            <w:rFonts w:ascii="仿宋" w:eastAsia="仿宋" w:hAnsi="仿宋" w:cs="仿宋" w:hint="eastAsia"/>
            <w:lang w:eastAsia="zh-CN"/>
          </w:rPr>
          <w:t>(二)、培训与发展计划</w:t>
        </w:r>
        <w:r>
          <w:tab/>
        </w:r>
        <w:r>
          <w:fldChar w:fldCharType="begin"/>
        </w:r>
        <w:r>
          <w:instrText xml:space="preserve"> PAGEREF _Toc19536 \h </w:instrText>
        </w:r>
        <w:r>
          <w:fldChar w:fldCharType="separate"/>
        </w:r>
        <w:r>
          <w:t>29</w:t>
        </w:r>
        <w:r>
          <w:fldChar w:fldCharType="end"/>
        </w:r>
      </w:hyperlink>
    </w:p>
    <w:p>
      <w:pPr>
        <w:pStyle w:val="TOC1"/>
        <w:tabs>
          <w:tab w:val="right" w:leader="dot" w:pos="8306"/>
        </w:tabs>
      </w:pPr>
      <w:hyperlink w:anchor="_Toc27485" w:history="1">
        <w:r>
          <w:rPr>
            <w:rFonts w:ascii="仿宋" w:eastAsia="仿宋" w:hAnsi="仿宋" w:cs="仿宋" w:hint="eastAsia"/>
            <w:lang w:eastAsia="zh-CN"/>
          </w:rPr>
          <w:t>九、证券登记、结算机构服务项目经营效益</w:t>
        </w:r>
        <w:r>
          <w:tab/>
        </w:r>
        <w:r>
          <w:fldChar w:fldCharType="begin"/>
        </w:r>
        <w:r>
          <w:instrText xml:space="preserve"> PAGEREF _Toc27485 \h </w:instrText>
        </w:r>
        <w:r>
          <w:fldChar w:fldCharType="separate"/>
        </w:r>
        <w:r>
          <w:t>30</w:t>
        </w:r>
        <w:r>
          <w:fldChar w:fldCharType="end"/>
        </w:r>
      </w:hyperlink>
    </w:p>
    <w:p>
      <w:pPr>
        <w:pStyle w:val="TOC2"/>
        <w:tabs>
          <w:tab w:val="right" w:leader="dot" w:pos="8306"/>
        </w:tabs>
      </w:pPr>
      <w:hyperlink w:anchor="_Toc26489" w:history="1">
        <w:r>
          <w:rPr>
            <w:rFonts w:ascii="仿宋" w:eastAsia="仿宋" w:hAnsi="仿宋" w:cs="仿宋" w:hint="eastAsia"/>
            <w:lang w:eastAsia="zh-CN"/>
          </w:rPr>
          <w:t>(一)、经济评价财务测算</w:t>
        </w:r>
        <w:r>
          <w:tab/>
        </w:r>
        <w:r>
          <w:fldChar w:fldCharType="begin"/>
        </w:r>
        <w:r>
          <w:instrText xml:space="preserve"> PAGEREF _Toc26489 \h </w:instrText>
        </w:r>
        <w:r>
          <w:fldChar w:fldCharType="separate"/>
        </w:r>
        <w:r>
          <w:t>30</w:t>
        </w:r>
        <w:r>
          <w:fldChar w:fldCharType="end"/>
        </w:r>
      </w:hyperlink>
    </w:p>
    <w:p>
      <w:pPr>
        <w:pStyle w:val="TOC2"/>
        <w:tabs>
          <w:tab w:val="right" w:leader="dot" w:pos="8306"/>
        </w:tabs>
      </w:pPr>
      <w:hyperlink w:anchor="_Toc9160" w:history="1">
        <w:r>
          <w:rPr>
            <w:rFonts w:ascii="仿宋" w:eastAsia="仿宋" w:hAnsi="仿宋" w:cs="仿宋" w:hint="eastAsia"/>
            <w:lang w:eastAsia="zh-CN"/>
          </w:rPr>
          <w:t>(二)、证券登记、结算机构服务项目盈利能力分析</w:t>
        </w:r>
        <w:r>
          <w:tab/>
        </w:r>
        <w:r>
          <w:fldChar w:fldCharType="begin"/>
        </w:r>
        <w:r>
          <w:instrText xml:space="preserve"> PAGEREF _Toc9160 \h </w:instrText>
        </w:r>
        <w:r>
          <w:fldChar w:fldCharType="separate"/>
        </w:r>
        <w:r>
          <w:t>32</w:t>
        </w:r>
        <w:r>
          <w:fldChar w:fldCharType="end"/>
        </w:r>
      </w:hyperlink>
    </w:p>
    <w:p>
      <w:pPr>
        <w:pStyle w:val="TOC1"/>
        <w:tabs>
          <w:tab w:val="right" w:leader="dot" w:pos="8306"/>
        </w:tabs>
      </w:pPr>
      <w:hyperlink w:anchor="_Toc26531" w:history="1">
        <w:r>
          <w:rPr>
            <w:rFonts w:ascii="仿宋" w:eastAsia="仿宋" w:hAnsi="仿宋" w:cs="仿宋" w:hint="eastAsia"/>
            <w:lang w:eastAsia="zh-CN"/>
          </w:rPr>
          <w:t>十、证券登记、结算机构服务项目投资规划</w:t>
        </w:r>
        <w:r>
          <w:tab/>
        </w:r>
        <w:r>
          <w:fldChar w:fldCharType="begin"/>
        </w:r>
        <w:r>
          <w:instrText xml:space="preserve"> PAGEREF _Toc26531 \h </w:instrText>
        </w:r>
        <w:r>
          <w:fldChar w:fldCharType="separate"/>
        </w:r>
        <w:r>
          <w:t>32</w:t>
        </w:r>
        <w:r>
          <w:fldChar w:fldCharType="end"/>
        </w:r>
      </w:hyperlink>
    </w:p>
    <w:p>
      <w:pPr>
        <w:pStyle w:val="TOC2"/>
        <w:tabs>
          <w:tab w:val="right" w:leader="dot" w:pos="8306"/>
        </w:tabs>
      </w:pPr>
      <w:hyperlink w:anchor="_Toc20908" w:history="1">
        <w:r>
          <w:rPr>
            <w:rFonts w:ascii="仿宋" w:eastAsia="仿宋" w:hAnsi="仿宋" w:cs="仿宋" w:hint="eastAsia"/>
            <w:lang w:eastAsia="zh-CN"/>
          </w:rPr>
          <w:t>(一)、证券登记、结算机构服务项目总投资估算</w:t>
        </w:r>
        <w:r>
          <w:tab/>
        </w:r>
        <w:r>
          <w:fldChar w:fldCharType="begin"/>
        </w:r>
        <w:r>
          <w:instrText xml:space="preserve"> PAGEREF _Toc20908 \h </w:instrText>
        </w:r>
        <w:r>
          <w:fldChar w:fldCharType="separate"/>
        </w:r>
        <w:r>
          <w:t>32</w:t>
        </w:r>
        <w:r>
          <w:fldChar w:fldCharType="end"/>
        </w:r>
      </w:hyperlink>
    </w:p>
    <w:p>
      <w:pPr>
        <w:pStyle w:val="TOC2"/>
        <w:tabs>
          <w:tab w:val="right" w:leader="dot" w:pos="8306"/>
        </w:tabs>
      </w:pPr>
      <w:hyperlink w:anchor="_Toc21235" w:history="1">
        <w:r>
          <w:rPr>
            <w:rFonts w:ascii="仿宋" w:eastAsia="仿宋" w:hAnsi="仿宋" w:cs="仿宋" w:hint="eastAsia"/>
            <w:lang w:eastAsia="zh-CN"/>
          </w:rPr>
          <w:t>(二)、资金筹措</w:t>
        </w:r>
        <w:r>
          <w:tab/>
        </w:r>
        <w:r>
          <w:fldChar w:fldCharType="begin"/>
        </w:r>
        <w:r>
          <w:instrText xml:space="preserve"> PAGEREF _Toc21235 \h </w:instrText>
        </w:r>
        <w:r>
          <w:fldChar w:fldCharType="separate"/>
        </w:r>
        <w:r>
          <w:t>34</w:t>
        </w:r>
        <w:r>
          <w:fldChar w:fldCharType="end"/>
        </w:r>
      </w:hyperlink>
    </w:p>
    <w:p>
      <w:pPr>
        <w:pStyle w:val="TOC1"/>
        <w:tabs>
          <w:tab w:val="right" w:leader="dot" w:pos="8306"/>
        </w:tabs>
      </w:pPr>
      <w:hyperlink w:anchor="_Toc12395" w:history="1">
        <w:r>
          <w:rPr>
            <w:rFonts w:ascii="仿宋" w:eastAsia="仿宋" w:hAnsi="仿宋" w:cs="仿宋" w:hint="eastAsia"/>
            <w:lang w:eastAsia="zh-CN"/>
          </w:rPr>
          <w:t>十一、证券登记、结算机构服务项目风险管理</w:t>
        </w:r>
        <w:r>
          <w:tab/>
        </w:r>
        <w:r>
          <w:fldChar w:fldCharType="begin"/>
        </w:r>
        <w:r>
          <w:instrText xml:space="preserve"> PAGEREF _Toc12395 \h </w:instrText>
        </w:r>
        <w:r>
          <w:fldChar w:fldCharType="separate"/>
        </w:r>
        <w:r>
          <w:t>34</w:t>
        </w:r>
        <w:r>
          <w:fldChar w:fldCharType="end"/>
        </w:r>
      </w:hyperlink>
    </w:p>
    <w:p>
      <w:pPr>
        <w:pStyle w:val="TOC2"/>
        <w:tabs>
          <w:tab w:val="right" w:leader="dot" w:pos="8306"/>
        </w:tabs>
      </w:pPr>
      <w:hyperlink w:anchor="_Toc21964" w:history="1">
        <w:r>
          <w:rPr>
            <w:rFonts w:ascii="仿宋" w:eastAsia="仿宋" w:hAnsi="仿宋" w:cs="仿宋" w:hint="eastAsia"/>
            <w:lang w:eastAsia="zh-CN"/>
          </w:rPr>
          <w:t>(一)、风险识别与评估</w:t>
        </w:r>
        <w:r>
          <w:tab/>
        </w:r>
        <w:r>
          <w:fldChar w:fldCharType="begin"/>
        </w:r>
        <w:r>
          <w:instrText xml:space="preserve"> PAGEREF _Toc21964 \h </w:instrText>
        </w:r>
        <w:r>
          <w:fldChar w:fldCharType="separate"/>
        </w:r>
        <w:r>
          <w:t>34</w:t>
        </w:r>
        <w:r>
          <w:fldChar w:fldCharType="end"/>
        </w:r>
      </w:hyperlink>
    </w:p>
    <w:p>
      <w:pPr>
        <w:pStyle w:val="TOC2"/>
        <w:tabs>
          <w:tab w:val="right" w:leader="dot" w:pos="8306"/>
        </w:tabs>
      </w:pPr>
      <w:hyperlink w:anchor="_Toc18237" w:history="1">
        <w:r>
          <w:rPr>
            <w:rFonts w:ascii="仿宋" w:eastAsia="仿宋" w:hAnsi="仿宋" w:cs="仿宋" w:hint="eastAsia"/>
            <w:lang w:eastAsia="zh-CN"/>
          </w:rPr>
          <w:t>(二)、风险应对策略</w:t>
        </w:r>
        <w:r>
          <w:tab/>
        </w:r>
        <w:r>
          <w:fldChar w:fldCharType="begin"/>
        </w:r>
        <w:r>
          <w:instrText xml:space="preserve"> PAGEREF _Toc18237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15" w:history="1">
        <w:r>
          <w:rPr>
            <w:rFonts w:ascii="仿宋" w:eastAsia="仿宋" w:hAnsi="仿宋" w:cs="仿宋" w:hint="eastAsia"/>
            <w:lang w:eastAsia="zh-CN"/>
          </w:rPr>
          <w:t>(三)、风险监控与控制</w:t>
        </w:r>
        <w:r>
          <w:tab/>
        </w:r>
        <w:r>
          <w:fldChar w:fldCharType="begin"/>
        </w:r>
        <w:r>
          <w:instrText xml:space="preserve"> PAGEREF _Toc15715 \h </w:instrText>
        </w:r>
        <w:r>
          <w:fldChar w:fldCharType="separate"/>
        </w:r>
        <w:r>
          <w:t>37</w:t>
        </w:r>
        <w:r>
          <w:fldChar w:fldCharType="end"/>
        </w:r>
      </w:hyperlink>
    </w:p>
    <w:p>
      <w:pPr>
        <w:pStyle w:val="TOC1"/>
        <w:tabs>
          <w:tab w:val="right" w:leader="dot" w:pos="8306"/>
        </w:tabs>
      </w:pPr>
      <w:hyperlink w:anchor="_Toc28147" w:history="1">
        <w:r>
          <w:rPr>
            <w:rFonts w:ascii="仿宋" w:eastAsia="仿宋" w:hAnsi="仿宋" w:cs="仿宋" w:hint="eastAsia"/>
            <w:lang w:eastAsia="zh-CN"/>
          </w:rPr>
          <w:t>十二、证券登记、结算机构服务项目人力资源管理</w:t>
        </w:r>
        <w:r>
          <w:tab/>
        </w:r>
        <w:r>
          <w:fldChar w:fldCharType="begin"/>
        </w:r>
        <w:r>
          <w:instrText xml:space="preserve"> PAGEREF _Toc28147 \h </w:instrText>
        </w:r>
        <w:r>
          <w:fldChar w:fldCharType="separate"/>
        </w:r>
        <w:r>
          <w:t>39</w:t>
        </w:r>
        <w:r>
          <w:fldChar w:fldCharType="end"/>
        </w:r>
      </w:hyperlink>
    </w:p>
    <w:p>
      <w:pPr>
        <w:pStyle w:val="TOC2"/>
        <w:tabs>
          <w:tab w:val="right" w:leader="dot" w:pos="8306"/>
        </w:tabs>
      </w:pPr>
      <w:hyperlink w:anchor="_Toc3052" w:history="1">
        <w:r>
          <w:rPr>
            <w:rFonts w:ascii="仿宋" w:eastAsia="仿宋" w:hAnsi="仿宋" w:cs="仿宋" w:hint="eastAsia"/>
            <w:lang w:eastAsia="zh-CN"/>
          </w:rPr>
          <w:t>(一)、建立健全的预算管理制度</w:t>
        </w:r>
        <w:r>
          <w:tab/>
        </w:r>
        <w:r>
          <w:fldChar w:fldCharType="begin"/>
        </w:r>
        <w:r>
          <w:instrText xml:space="preserve"> PAGEREF _Toc3052 \h </w:instrText>
        </w:r>
        <w:r>
          <w:fldChar w:fldCharType="separate"/>
        </w:r>
        <w:r>
          <w:t>39</w:t>
        </w:r>
        <w:r>
          <w:fldChar w:fldCharType="end"/>
        </w:r>
      </w:hyperlink>
    </w:p>
    <w:p>
      <w:pPr>
        <w:pStyle w:val="TOC2"/>
        <w:tabs>
          <w:tab w:val="right" w:leader="dot" w:pos="8306"/>
        </w:tabs>
      </w:pPr>
      <w:hyperlink w:anchor="_Toc10487" w:history="1">
        <w:r>
          <w:rPr>
            <w:rFonts w:ascii="仿宋" w:eastAsia="仿宋" w:hAnsi="仿宋" w:cs="仿宋" w:hint="eastAsia"/>
            <w:lang w:eastAsia="zh-CN"/>
          </w:rPr>
          <w:t>(二)、加强资金流动监控</w:t>
        </w:r>
        <w:r>
          <w:tab/>
        </w:r>
        <w:r>
          <w:fldChar w:fldCharType="begin"/>
        </w:r>
        <w:r>
          <w:instrText xml:space="preserve"> PAGEREF _Toc10487 \h </w:instrText>
        </w:r>
        <w:r>
          <w:fldChar w:fldCharType="separate"/>
        </w:r>
        <w:r>
          <w:t>41</w:t>
        </w:r>
        <w:r>
          <w:fldChar w:fldCharType="end"/>
        </w:r>
      </w:hyperlink>
    </w:p>
    <w:p>
      <w:pPr>
        <w:pStyle w:val="TOC2"/>
        <w:tabs>
          <w:tab w:val="right" w:leader="dot" w:pos="8306"/>
        </w:tabs>
      </w:pPr>
      <w:hyperlink w:anchor="_Toc6947" w:history="1">
        <w:r>
          <w:rPr>
            <w:rFonts w:ascii="仿宋" w:eastAsia="仿宋" w:hAnsi="仿宋" w:cs="仿宋" w:hint="eastAsia"/>
            <w:lang w:eastAsia="zh-CN"/>
          </w:rPr>
          <w:t>(三)、制定完善的风险控制机制</w:t>
        </w:r>
        <w:r>
          <w:tab/>
        </w:r>
        <w:r>
          <w:fldChar w:fldCharType="begin"/>
        </w:r>
        <w:r>
          <w:instrText xml:space="preserve"> PAGEREF _Toc6947 \h </w:instrText>
        </w:r>
        <w:r>
          <w:fldChar w:fldCharType="separate"/>
        </w:r>
        <w:r>
          <w:t>42</w:t>
        </w:r>
        <w:r>
          <w:fldChar w:fldCharType="end"/>
        </w:r>
      </w:hyperlink>
    </w:p>
    <w:p>
      <w:pPr>
        <w:pStyle w:val="TOC2"/>
        <w:tabs>
          <w:tab w:val="right" w:leader="dot" w:pos="8306"/>
        </w:tabs>
      </w:pPr>
      <w:hyperlink w:anchor="_Toc7715" w:history="1">
        <w:r>
          <w:rPr>
            <w:rFonts w:ascii="仿宋" w:eastAsia="仿宋" w:hAnsi="仿宋" w:cs="仿宋" w:hint="eastAsia"/>
            <w:lang w:eastAsia="zh-CN"/>
          </w:rPr>
          <w:t>(四)、优化成本管理</w:t>
        </w:r>
        <w:r>
          <w:tab/>
        </w:r>
        <w:r>
          <w:fldChar w:fldCharType="begin"/>
        </w:r>
        <w:r>
          <w:instrText xml:space="preserve"> PAGEREF _Toc7715 \h </w:instrText>
        </w:r>
        <w:r>
          <w:fldChar w:fldCharType="separate"/>
        </w:r>
        <w:r>
          <w:t>43</w:t>
        </w:r>
        <w:r>
          <w:fldChar w:fldCharType="end"/>
        </w:r>
      </w:hyperlink>
    </w:p>
    <w:p>
      <w:pPr>
        <w:pStyle w:val="TOC1"/>
        <w:tabs>
          <w:tab w:val="right" w:leader="dot" w:pos="8306"/>
        </w:tabs>
      </w:pPr>
      <w:hyperlink w:anchor="_Toc10313" w:history="1">
        <w:r>
          <w:rPr>
            <w:rFonts w:ascii="仿宋" w:eastAsia="仿宋" w:hAnsi="仿宋" w:cs="仿宋" w:hint="eastAsia"/>
            <w:lang w:eastAsia="zh-CN"/>
          </w:rPr>
          <w:t>十三、利益相关者分析与沟通计划</w:t>
        </w:r>
        <w:r>
          <w:tab/>
        </w:r>
        <w:r>
          <w:fldChar w:fldCharType="begin"/>
        </w:r>
        <w:r>
          <w:instrText xml:space="preserve"> PAGEREF _Toc10313 \h </w:instrText>
        </w:r>
        <w:r>
          <w:fldChar w:fldCharType="separate"/>
        </w:r>
        <w:r>
          <w:t>45</w:t>
        </w:r>
        <w:r>
          <w:fldChar w:fldCharType="end"/>
        </w:r>
      </w:hyperlink>
    </w:p>
    <w:p>
      <w:pPr>
        <w:pStyle w:val="TOC2"/>
        <w:tabs>
          <w:tab w:val="right" w:leader="dot" w:pos="8306"/>
        </w:tabs>
      </w:pPr>
      <w:hyperlink w:anchor="_Toc12636" w:history="1">
        <w:r>
          <w:rPr>
            <w:rFonts w:ascii="仿宋" w:eastAsia="仿宋" w:hAnsi="仿宋" w:cs="仿宋" w:hint="eastAsia"/>
            <w:lang w:eastAsia="zh-CN"/>
          </w:rPr>
          <w:t>(一)、利益相关者分析</w:t>
        </w:r>
        <w:r>
          <w:tab/>
        </w:r>
        <w:r>
          <w:fldChar w:fldCharType="begin"/>
        </w:r>
        <w:r>
          <w:instrText xml:space="preserve"> PAGEREF _Toc12636 \h </w:instrText>
        </w:r>
        <w:r>
          <w:fldChar w:fldCharType="separate"/>
        </w:r>
        <w:r>
          <w:t>45</w:t>
        </w:r>
        <w:r>
          <w:fldChar w:fldCharType="end"/>
        </w:r>
      </w:hyperlink>
    </w:p>
    <w:p>
      <w:pPr>
        <w:pStyle w:val="TOC2"/>
        <w:tabs>
          <w:tab w:val="right" w:leader="dot" w:pos="8306"/>
        </w:tabs>
      </w:pPr>
      <w:hyperlink w:anchor="_Toc15554" w:history="1">
        <w:r>
          <w:rPr>
            <w:rFonts w:ascii="仿宋" w:eastAsia="仿宋" w:hAnsi="仿宋" w:cs="仿宋" w:hint="eastAsia"/>
            <w:lang w:eastAsia="zh-CN"/>
          </w:rPr>
          <w:t>(二)、沟通计划</w:t>
        </w:r>
        <w:r>
          <w:tab/>
        </w:r>
        <w:r>
          <w:fldChar w:fldCharType="begin"/>
        </w:r>
        <w:r>
          <w:instrText xml:space="preserve"> PAGEREF _Toc15554 \h </w:instrText>
        </w:r>
        <w:r>
          <w:fldChar w:fldCharType="separate"/>
        </w:r>
        <w:r>
          <w:t>46</w:t>
        </w:r>
        <w:r>
          <w:fldChar w:fldCharType="end"/>
        </w:r>
      </w:hyperlink>
    </w:p>
    <w:p>
      <w:pPr>
        <w:pStyle w:val="TOC1"/>
        <w:tabs>
          <w:tab w:val="right" w:leader="dot" w:pos="8306"/>
        </w:tabs>
      </w:pPr>
      <w:hyperlink w:anchor="_Toc3873" w:history="1">
        <w:r>
          <w:rPr>
            <w:rFonts w:ascii="仿宋" w:eastAsia="仿宋" w:hAnsi="仿宋" w:cs="仿宋" w:hint="eastAsia"/>
            <w:lang w:eastAsia="zh-CN"/>
          </w:rPr>
          <w:t>十四、营销与推广策略</w:t>
        </w:r>
        <w:r>
          <w:tab/>
        </w:r>
        <w:r>
          <w:fldChar w:fldCharType="begin"/>
        </w:r>
        <w:r>
          <w:instrText xml:space="preserve"> PAGEREF _Toc3873 \h </w:instrText>
        </w:r>
        <w:r>
          <w:fldChar w:fldCharType="separate"/>
        </w:r>
        <w:r>
          <w:t>47</w:t>
        </w:r>
        <w:r>
          <w:fldChar w:fldCharType="end"/>
        </w:r>
      </w:hyperlink>
    </w:p>
    <w:p>
      <w:pPr>
        <w:pStyle w:val="TOC2"/>
        <w:tabs>
          <w:tab w:val="right" w:leader="dot" w:pos="8306"/>
        </w:tabs>
      </w:pPr>
      <w:hyperlink w:anchor="_Toc16638" w:history="1">
        <w:r>
          <w:rPr>
            <w:rFonts w:ascii="仿宋" w:eastAsia="仿宋" w:hAnsi="仿宋" w:cs="仿宋" w:hint="eastAsia"/>
            <w:lang w:eastAsia="zh-CN"/>
          </w:rPr>
          <w:t>(一)、产品/服务定位与特点</w:t>
        </w:r>
        <w:r>
          <w:tab/>
        </w:r>
        <w:r>
          <w:fldChar w:fldCharType="begin"/>
        </w:r>
        <w:r>
          <w:instrText xml:space="preserve"> PAGEREF _Toc16638 \h </w:instrText>
        </w:r>
        <w:r>
          <w:fldChar w:fldCharType="separate"/>
        </w:r>
        <w:r>
          <w:t>47</w:t>
        </w:r>
        <w:r>
          <w:fldChar w:fldCharType="end"/>
        </w:r>
      </w:hyperlink>
    </w:p>
    <w:p>
      <w:pPr>
        <w:pStyle w:val="TOC2"/>
        <w:tabs>
          <w:tab w:val="right" w:leader="dot" w:pos="8306"/>
        </w:tabs>
      </w:pPr>
      <w:hyperlink w:anchor="_Toc23657" w:history="1">
        <w:r>
          <w:rPr>
            <w:rFonts w:ascii="仿宋" w:eastAsia="仿宋" w:hAnsi="仿宋" w:cs="仿宋" w:hint="eastAsia"/>
            <w:lang w:eastAsia="zh-CN"/>
          </w:rPr>
          <w:t>(二)、市场定位与竞争分析</w:t>
        </w:r>
        <w:r>
          <w:tab/>
        </w:r>
        <w:r>
          <w:fldChar w:fldCharType="begin"/>
        </w:r>
        <w:r>
          <w:instrText xml:space="preserve"> PAGEREF _Toc23657 \h </w:instrText>
        </w:r>
        <w:r>
          <w:fldChar w:fldCharType="separate"/>
        </w:r>
        <w:r>
          <w:t>49</w:t>
        </w:r>
        <w:r>
          <w:fldChar w:fldCharType="end"/>
        </w:r>
      </w:hyperlink>
    </w:p>
    <w:p>
      <w:pPr>
        <w:pStyle w:val="TOC2"/>
        <w:tabs>
          <w:tab w:val="right" w:leader="dot" w:pos="8306"/>
        </w:tabs>
      </w:pPr>
      <w:hyperlink w:anchor="_Toc13141" w:history="1">
        <w:r>
          <w:rPr>
            <w:rFonts w:ascii="仿宋" w:eastAsia="仿宋" w:hAnsi="仿宋" w:cs="仿宋" w:hint="eastAsia"/>
            <w:lang w:eastAsia="zh-CN"/>
          </w:rPr>
          <w:t>(三)、营销渠道与策略</w:t>
        </w:r>
        <w:r>
          <w:tab/>
        </w:r>
        <w:r>
          <w:fldChar w:fldCharType="begin"/>
        </w:r>
        <w:r>
          <w:instrText xml:space="preserve"> PAGEREF _Toc13141 \h </w:instrText>
        </w:r>
        <w:r>
          <w:fldChar w:fldCharType="separate"/>
        </w:r>
        <w:r>
          <w:t>50</w:t>
        </w:r>
        <w:r>
          <w:fldChar w:fldCharType="end"/>
        </w:r>
      </w:hyperlink>
    </w:p>
    <w:p>
      <w:pPr>
        <w:pStyle w:val="TOC2"/>
        <w:tabs>
          <w:tab w:val="right" w:leader="dot" w:pos="8306"/>
        </w:tabs>
      </w:pPr>
      <w:hyperlink w:anchor="_Toc15997" w:history="1">
        <w:r>
          <w:rPr>
            <w:rFonts w:ascii="仿宋" w:eastAsia="仿宋" w:hAnsi="仿宋" w:cs="仿宋" w:hint="eastAsia"/>
            <w:lang w:eastAsia="zh-CN"/>
          </w:rPr>
          <w:t>(四)、推广与宣传活动</w:t>
        </w:r>
        <w:r>
          <w:tab/>
        </w:r>
        <w:r>
          <w:fldChar w:fldCharType="begin"/>
        </w:r>
        <w:r>
          <w:instrText xml:space="preserve"> PAGEREF _Toc15997 \h </w:instrText>
        </w:r>
        <w:r>
          <w:fldChar w:fldCharType="separate"/>
        </w:r>
        <w:r>
          <w:t>51</w:t>
        </w:r>
        <w:r>
          <w:fldChar w:fldCharType="end"/>
        </w:r>
      </w:hyperlink>
    </w:p>
    <w:p>
      <w:pPr>
        <w:pStyle w:val="TOC1"/>
        <w:tabs>
          <w:tab w:val="right" w:leader="dot" w:pos="8306"/>
        </w:tabs>
      </w:pPr>
      <w:hyperlink w:anchor="_Toc2801" w:history="1">
        <w:r>
          <w:rPr>
            <w:rFonts w:ascii="仿宋" w:eastAsia="仿宋" w:hAnsi="仿宋" w:cs="仿宋" w:hint="eastAsia"/>
            <w:lang w:eastAsia="zh-CN"/>
          </w:rPr>
          <w:t>十五、证券登记、结算机构服务项目实施保障措施</w:t>
        </w:r>
        <w:r>
          <w:tab/>
        </w:r>
        <w:r>
          <w:fldChar w:fldCharType="begin"/>
        </w:r>
        <w:r>
          <w:instrText xml:space="preserve"> PAGEREF _Toc2801 \h </w:instrText>
        </w:r>
        <w:r>
          <w:fldChar w:fldCharType="separate"/>
        </w:r>
        <w:r>
          <w:t>56</w:t>
        </w:r>
        <w:r>
          <w:fldChar w:fldCharType="end"/>
        </w:r>
      </w:hyperlink>
    </w:p>
    <w:p>
      <w:pPr>
        <w:pStyle w:val="TOC2"/>
        <w:tabs>
          <w:tab w:val="right" w:leader="dot" w:pos="8306"/>
        </w:tabs>
      </w:pPr>
      <w:hyperlink w:anchor="_Toc17085" w:history="1">
        <w:r>
          <w:rPr>
            <w:rFonts w:ascii="仿宋" w:eastAsia="仿宋" w:hAnsi="仿宋" w:cs="仿宋" w:hint="eastAsia"/>
            <w:lang w:eastAsia="zh-CN"/>
          </w:rPr>
          <w:t>(一)、证券登记、结算机构服务项目实施保障机制</w:t>
        </w:r>
        <w:r>
          <w:tab/>
        </w:r>
        <w:r>
          <w:fldChar w:fldCharType="begin"/>
        </w:r>
        <w:r>
          <w:instrText xml:space="preserve"> PAGEREF _Toc17085 \h </w:instrText>
        </w:r>
        <w:r>
          <w:fldChar w:fldCharType="separate"/>
        </w:r>
        <w:r>
          <w:t>56</w:t>
        </w:r>
        <w:r>
          <w:fldChar w:fldCharType="end"/>
        </w:r>
      </w:hyperlink>
    </w:p>
    <w:p>
      <w:pPr>
        <w:pStyle w:val="TOC2"/>
        <w:tabs>
          <w:tab w:val="right" w:leader="dot" w:pos="8306"/>
        </w:tabs>
      </w:pPr>
      <w:hyperlink w:anchor="_Toc20237" w:history="1">
        <w:r>
          <w:rPr>
            <w:rFonts w:ascii="仿宋" w:eastAsia="仿宋" w:hAnsi="仿宋" w:cs="仿宋" w:hint="eastAsia"/>
            <w:lang w:eastAsia="zh-CN"/>
          </w:rPr>
          <w:t>(二)、证券登记、结算机构服务项目法律合规要求</w:t>
        </w:r>
        <w:r>
          <w:tab/>
        </w:r>
        <w:r>
          <w:fldChar w:fldCharType="begin"/>
        </w:r>
        <w:r>
          <w:instrText xml:space="preserve"> PAGEREF _Toc20237 \h </w:instrText>
        </w:r>
        <w:r>
          <w:fldChar w:fldCharType="separate"/>
        </w:r>
        <w:r>
          <w:t>60</w:t>
        </w:r>
        <w:r>
          <w:fldChar w:fldCharType="end"/>
        </w:r>
      </w:hyperlink>
    </w:p>
    <w:p>
      <w:pPr>
        <w:pStyle w:val="TOC2"/>
        <w:tabs>
          <w:tab w:val="right" w:leader="dot" w:pos="8306"/>
        </w:tabs>
      </w:pPr>
      <w:hyperlink w:anchor="_Toc11631" w:history="1">
        <w:r>
          <w:rPr>
            <w:rFonts w:ascii="仿宋" w:eastAsia="仿宋" w:hAnsi="仿宋" w:cs="仿宋" w:hint="eastAsia"/>
            <w:lang w:eastAsia="zh-CN"/>
          </w:rPr>
          <w:t>(三)、证券登记、结算机构服务项目合同管理与法律事务</w:t>
        </w:r>
        <w:r>
          <w:tab/>
        </w:r>
        <w:r>
          <w:fldChar w:fldCharType="begin"/>
        </w:r>
        <w:r>
          <w:instrText xml:space="preserve"> PAGEREF _Toc11631 \h </w:instrText>
        </w:r>
        <w:r>
          <w:fldChar w:fldCharType="separate"/>
        </w:r>
        <w:r>
          <w:t>65</w:t>
        </w:r>
        <w:r>
          <w:fldChar w:fldCharType="end"/>
        </w:r>
      </w:hyperlink>
    </w:p>
    <w:p>
      <w:pPr>
        <w:pStyle w:val="TOC2"/>
        <w:tabs>
          <w:tab w:val="right" w:leader="dot" w:pos="8306"/>
        </w:tabs>
      </w:pPr>
      <w:hyperlink w:anchor="_Toc27910" w:history="1">
        <w:r>
          <w:rPr>
            <w:rFonts w:ascii="仿宋" w:eastAsia="仿宋" w:hAnsi="仿宋" w:cs="仿宋" w:hint="eastAsia"/>
            <w:lang w:eastAsia="zh-CN"/>
          </w:rPr>
          <w:t>(四)、证券登记、结算机构服务项目知识产权保护策略</w:t>
        </w:r>
        <w:r>
          <w:tab/>
        </w:r>
        <w:r>
          <w:fldChar w:fldCharType="begin"/>
        </w:r>
        <w:r>
          <w:instrText xml:space="preserve"> PAGEREF _Toc27910 \h </w:instrText>
        </w:r>
        <w:r>
          <w:fldChar w:fldCharType="separate"/>
        </w:r>
        <w:r>
          <w:t>72</w:t>
        </w:r>
        <w:r>
          <w:fldChar w:fldCharType="end"/>
        </w:r>
      </w:hyperlink>
    </w:p>
    <w:p>
      <w:pPr>
        <w:pStyle w:val="TOC1"/>
        <w:tabs>
          <w:tab w:val="right" w:leader="dot" w:pos="8306"/>
        </w:tabs>
      </w:pPr>
      <w:hyperlink w:anchor="_Toc12286" w:history="1">
        <w:r>
          <w:rPr>
            <w:rFonts w:ascii="仿宋" w:eastAsia="仿宋" w:hAnsi="仿宋" w:cs="仿宋" w:hint="eastAsia"/>
            <w:lang w:eastAsia="zh-CN"/>
          </w:rPr>
          <w:t>十六、质量管理体系</w:t>
        </w:r>
        <w:r>
          <w:tab/>
        </w:r>
        <w:r>
          <w:fldChar w:fldCharType="begin"/>
        </w:r>
        <w:r>
          <w:instrText xml:space="preserve"> PAGEREF _Toc12286 \h </w:instrText>
        </w:r>
        <w:r>
          <w:fldChar w:fldCharType="separate"/>
        </w:r>
        <w:r>
          <w:t>74</w:t>
        </w:r>
        <w:r>
          <w:fldChar w:fldCharType="end"/>
        </w:r>
      </w:hyperlink>
    </w:p>
    <w:p>
      <w:pPr>
        <w:pStyle w:val="TOC2"/>
        <w:tabs>
          <w:tab w:val="right" w:leader="dot" w:pos="8306"/>
        </w:tabs>
      </w:pPr>
      <w:hyperlink w:anchor="_Toc27663" w:history="1">
        <w:r>
          <w:rPr>
            <w:rFonts w:ascii="仿宋" w:eastAsia="仿宋" w:hAnsi="仿宋" w:cs="仿宋" w:hint="eastAsia"/>
            <w:lang w:eastAsia="zh-CN"/>
          </w:rPr>
          <w:t>(一)、质量目标与方针</w:t>
        </w:r>
        <w:r>
          <w:tab/>
        </w:r>
        <w:r>
          <w:fldChar w:fldCharType="begin"/>
        </w:r>
        <w:r>
          <w:instrText xml:space="preserve"> PAGEREF _Toc27663 \h </w:instrText>
        </w:r>
        <w:r>
          <w:fldChar w:fldCharType="separate"/>
        </w:r>
        <w:r>
          <w:t>74</w:t>
        </w:r>
        <w:r>
          <w:fldChar w:fldCharType="end"/>
        </w:r>
      </w:hyperlink>
    </w:p>
    <w:p>
      <w:pPr>
        <w:pStyle w:val="TOC2"/>
        <w:tabs>
          <w:tab w:val="right" w:leader="dot" w:pos="8306"/>
        </w:tabs>
      </w:pPr>
      <w:hyperlink w:anchor="_Toc19040" w:history="1">
        <w:r>
          <w:rPr>
            <w:rFonts w:ascii="仿宋" w:eastAsia="仿宋" w:hAnsi="仿宋" w:cs="仿宋" w:hint="eastAsia"/>
            <w:lang w:eastAsia="zh-CN"/>
          </w:rPr>
          <w:t>(二)、质量管理责任</w:t>
        </w:r>
        <w:r>
          <w:tab/>
        </w:r>
        <w:r>
          <w:fldChar w:fldCharType="begin"/>
        </w:r>
        <w:r>
          <w:instrText xml:space="preserve"> PAGEREF _Toc19040 \h </w:instrText>
        </w:r>
        <w:r>
          <w:fldChar w:fldCharType="separate"/>
        </w:r>
        <w:r>
          <w:t>75</w:t>
        </w:r>
        <w:r>
          <w:fldChar w:fldCharType="end"/>
        </w:r>
      </w:hyperlink>
    </w:p>
    <w:p>
      <w:pPr>
        <w:pStyle w:val="TOC2"/>
        <w:tabs>
          <w:tab w:val="right" w:leader="dot" w:pos="8306"/>
        </w:tabs>
      </w:pPr>
      <w:hyperlink w:anchor="_Toc21394" w:history="1">
        <w:r>
          <w:rPr>
            <w:rFonts w:ascii="仿宋" w:eastAsia="仿宋" w:hAnsi="仿宋" w:cs="仿宋" w:hint="eastAsia"/>
            <w:lang w:eastAsia="zh-CN"/>
          </w:rPr>
          <w:t>(三)、质量管理体系文件</w:t>
        </w:r>
        <w:r>
          <w:tab/>
        </w:r>
        <w:r>
          <w:fldChar w:fldCharType="begin"/>
        </w:r>
        <w:r>
          <w:instrText xml:space="preserve"> PAGEREF _Toc21394 \h </w:instrText>
        </w:r>
        <w:r>
          <w:fldChar w:fldCharType="separate"/>
        </w:r>
        <w:r>
          <w:t>77</w:t>
        </w:r>
        <w:r>
          <w:fldChar w:fldCharType="end"/>
        </w:r>
      </w:hyperlink>
    </w:p>
    <w:p>
      <w:pPr>
        <w:pStyle w:val="TOC2"/>
        <w:tabs>
          <w:tab w:val="right" w:leader="dot" w:pos="8306"/>
        </w:tabs>
      </w:pPr>
      <w:hyperlink w:anchor="_Toc30841" w:history="1">
        <w:r>
          <w:rPr>
            <w:rFonts w:ascii="仿宋" w:eastAsia="仿宋" w:hAnsi="仿宋" w:cs="仿宋" w:hint="eastAsia"/>
            <w:lang w:eastAsia="zh-CN"/>
          </w:rPr>
          <w:t>(四)、质量培训与教育</w:t>
        </w:r>
        <w:r>
          <w:tab/>
        </w:r>
        <w:r>
          <w:fldChar w:fldCharType="begin"/>
        </w:r>
        <w:r>
          <w:instrText xml:space="preserve"> PAGEREF _Toc30841 \h </w:instrText>
        </w:r>
        <w:r>
          <w:fldChar w:fldCharType="separate"/>
        </w:r>
        <w:r>
          <w:t>79</w:t>
        </w:r>
        <w:r>
          <w:fldChar w:fldCharType="end"/>
        </w:r>
      </w:hyperlink>
    </w:p>
    <w:p>
      <w:pPr>
        <w:pStyle w:val="TOC2"/>
        <w:tabs>
          <w:tab w:val="right" w:leader="dot" w:pos="8306"/>
        </w:tabs>
      </w:pPr>
      <w:hyperlink w:anchor="_Toc383" w:history="1">
        <w:r>
          <w:rPr>
            <w:rFonts w:ascii="仿宋" w:eastAsia="仿宋" w:hAnsi="仿宋" w:cs="仿宋" w:hint="eastAsia"/>
            <w:lang w:eastAsia="zh-CN"/>
          </w:rPr>
          <w:t>(五)、质量审核与评价</w:t>
        </w:r>
        <w:r>
          <w:tab/>
        </w:r>
        <w:r>
          <w:fldChar w:fldCharType="begin"/>
        </w:r>
        <w:r>
          <w:instrText xml:space="preserve"> PAGEREF _Toc383 \h </w:instrText>
        </w:r>
        <w:r>
          <w:fldChar w:fldCharType="separate"/>
        </w:r>
        <w:r>
          <w:t>80</w:t>
        </w:r>
        <w:r>
          <w:fldChar w:fldCharType="end"/>
        </w:r>
      </w:hyperlink>
    </w:p>
    <w:p>
      <w:pPr>
        <w:pStyle w:val="TOC2"/>
        <w:tabs>
          <w:tab w:val="right" w:leader="dot" w:pos="8306"/>
        </w:tabs>
      </w:pPr>
      <w:hyperlink w:anchor="_Toc5036" w:history="1">
        <w:r>
          <w:rPr>
            <w:rFonts w:ascii="仿宋" w:eastAsia="仿宋" w:hAnsi="仿宋" w:cs="仿宋" w:hint="eastAsia"/>
            <w:lang w:eastAsia="zh-CN"/>
          </w:rPr>
          <w:t>(六)、不符合与纠正措施</w:t>
        </w:r>
        <w:r>
          <w:tab/>
        </w:r>
        <w:r>
          <w:fldChar w:fldCharType="begin"/>
        </w:r>
        <w:r>
          <w:instrText xml:space="preserve"> PAGEREF _Toc5036 \h </w:instrText>
        </w:r>
        <w:r>
          <w:fldChar w:fldCharType="separate"/>
        </w:r>
        <w:r>
          <w:t>81</w:t>
        </w:r>
        <w:r>
          <w:fldChar w:fldCharType="end"/>
        </w:r>
      </w:hyperlink>
    </w:p>
    <w:p>
      <w:pPr>
        <w:pStyle w:val="TOC1"/>
        <w:tabs>
          <w:tab w:val="right" w:leader="dot" w:pos="8306"/>
        </w:tabs>
      </w:pPr>
      <w:hyperlink w:anchor="_Toc22547" w:history="1">
        <w:r>
          <w:rPr>
            <w:rFonts w:ascii="仿宋" w:eastAsia="仿宋" w:hAnsi="仿宋" w:cs="仿宋" w:hint="eastAsia"/>
            <w:lang w:eastAsia="zh-CN"/>
          </w:rPr>
          <w:t>十七、证券登记、结算机构服务项目工程方案分析</w:t>
        </w:r>
        <w:r>
          <w:tab/>
        </w:r>
        <w:r>
          <w:fldChar w:fldCharType="begin"/>
        </w:r>
        <w:r>
          <w:instrText xml:space="preserve"> PAGEREF _Toc22547 \h </w:instrText>
        </w:r>
        <w:r>
          <w:fldChar w:fldCharType="separate"/>
        </w:r>
        <w:r>
          <w:t>83</w:t>
        </w:r>
        <w:r>
          <w:fldChar w:fldCharType="end"/>
        </w:r>
      </w:hyperlink>
    </w:p>
    <w:p>
      <w:pPr>
        <w:pStyle w:val="TOC2"/>
        <w:tabs>
          <w:tab w:val="right" w:leader="dot" w:pos="8306"/>
        </w:tabs>
      </w:pPr>
      <w:hyperlink w:anchor="_Toc21000" w:history="1">
        <w:r>
          <w:rPr>
            <w:rFonts w:ascii="仿宋" w:eastAsia="仿宋" w:hAnsi="仿宋" w:cs="仿宋" w:hint="eastAsia"/>
            <w:lang w:eastAsia="zh-CN"/>
          </w:rPr>
          <w:t>(一)、建筑工程设计原则</w:t>
        </w:r>
        <w:r>
          <w:tab/>
        </w:r>
        <w:r>
          <w:fldChar w:fldCharType="begin"/>
        </w:r>
        <w:r>
          <w:instrText xml:space="preserve"> PAGEREF _Toc21000 \h </w:instrText>
        </w:r>
        <w:r>
          <w:fldChar w:fldCharType="separate"/>
        </w:r>
        <w:r>
          <w:t>83</w:t>
        </w:r>
        <w:r>
          <w:fldChar w:fldCharType="end"/>
        </w:r>
      </w:hyperlink>
    </w:p>
    <w:p>
      <w:pPr>
        <w:pStyle w:val="TOC2"/>
        <w:tabs>
          <w:tab w:val="right" w:leader="dot" w:pos="8306"/>
        </w:tabs>
      </w:pPr>
      <w:hyperlink w:anchor="_Toc9950" w:history="1">
        <w:r>
          <w:rPr>
            <w:rFonts w:ascii="仿宋" w:eastAsia="仿宋" w:hAnsi="仿宋" w:cs="仿宋" w:hint="eastAsia"/>
            <w:lang w:eastAsia="zh-CN"/>
          </w:rPr>
          <w:t>(二)、土建工程建设指标</w:t>
        </w:r>
        <w:r>
          <w:tab/>
        </w:r>
        <w:r>
          <w:fldChar w:fldCharType="begin"/>
        </w:r>
        <w:r>
          <w:instrText xml:space="preserve"> PAGEREF _Toc9950 \h </w:instrText>
        </w:r>
        <w:r>
          <w:fldChar w:fldCharType="separate"/>
        </w:r>
        <w:r>
          <w:t>86</w:t>
        </w:r>
        <w:r>
          <w:fldChar w:fldCharType="end"/>
        </w:r>
      </w:hyperlink>
    </w:p>
    <w:p>
      <w:pPr>
        <w:pStyle w:val="TOC1"/>
        <w:tabs>
          <w:tab w:val="right" w:leader="dot" w:pos="8306"/>
        </w:tabs>
      </w:pPr>
      <w:hyperlink w:anchor="_Toc22439" w:history="1">
        <w:r>
          <w:rPr>
            <w:rFonts w:ascii="仿宋" w:eastAsia="仿宋" w:hAnsi="仿宋" w:cs="仿宋" w:hint="eastAsia"/>
            <w:lang w:eastAsia="zh-CN"/>
          </w:rPr>
          <w:t>十八、证券登记、结算机构服务项目治理与监督</w:t>
        </w:r>
        <w:r>
          <w:tab/>
        </w:r>
        <w:r>
          <w:fldChar w:fldCharType="begin"/>
        </w:r>
        <w:r>
          <w:instrText xml:space="preserve"> PAGEREF _Toc22439 \h </w:instrText>
        </w:r>
        <w:r>
          <w:fldChar w:fldCharType="separate"/>
        </w:r>
        <w:r>
          <w:t>88</w:t>
        </w:r>
        <w:r>
          <w:fldChar w:fldCharType="end"/>
        </w:r>
      </w:hyperlink>
    </w:p>
    <w:p>
      <w:pPr>
        <w:pStyle w:val="TOC2"/>
        <w:tabs>
          <w:tab w:val="right" w:leader="dot" w:pos="8306"/>
        </w:tabs>
      </w:pPr>
      <w:hyperlink w:anchor="_Toc4382" w:history="1">
        <w:r>
          <w:rPr>
            <w:rFonts w:ascii="仿宋" w:eastAsia="仿宋" w:hAnsi="仿宋" w:cs="仿宋" w:hint="eastAsia"/>
            <w:lang w:eastAsia="zh-CN"/>
          </w:rPr>
          <w:t>(一)、证券登记、结算机构服务项目治理结构</w:t>
        </w:r>
        <w:r>
          <w:tab/>
        </w:r>
        <w:r>
          <w:fldChar w:fldCharType="begin"/>
        </w:r>
        <w:r>
          <w:instrText xml:space="preserve"> PAGEREF _Toc4382 \h </w:instrText>
        </w:r>
        <w:r>
          <w:fldChar w:fldCharType="separate"/>
        </w:r>
        <w:r>
          <w:t>88</w:t>
        </w:r>
        <w:r>
          <w:fldChar w:fldCharType="end"/>
        </w:r>
      </w:hyperlink>
    </w:p>
    <w:p>
      <w:pPr>
        <w:pStyle w:val="TOC2"/>
        <w:tabs>
          <w:tab w:val="right" w:leader="dot" w:pos="8306"/>
        </w:tabs>
      </w:pPr>
      <w:hyperlink w:anchor="_Toc13369" w:history="1">
        <w:r>
          <w:rPr>
            <w:rFonts w:ascii="仿宋" w:eastAsia="仿宋" w:hAnsi="仿宋" w:cs="仿宋" w:hint="eastAsia"/>
            <w:lang w:eastAsia="zh-CN"/>
          </w:rPr>
          <w:t>(二)、监督与审计</w:t>
        </w:r>
        <w:r>
          <w:tab/>
        </w:r>
        <w:r>
          <w:fldChar w:fldCharType="begin"/>
        </w:r>
        <w:r>
          <w:instrText xml:space="preserve"> PAGEREF _Toc13369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866"/>
      <w:r>
        <w:rPr>
          <w:rFonts w:ascii="仿宋" w:eastAsia="仿宋" w:hAnsi="仿宋" w:cs="仿宋" w:hint="eastAsia"/>
          <w:sz w:val="28"/>
          <w:lang w:eastAsia="zh-CN"/>
        </w:rPr>
        <w:t>一、证券登记、结算机构服务项目可持续发展</w:t>
      </w:r>
      <w:bookmarkEnd w:id="2"/>
    </w:p>
    <w:p>
      <w:pPr>
        <w:pStyle w:val="Heading2"/>
        <w:rPr>
          <w:rFonts w:ascii="仿宋" w:eastAsia="仿宋" w:hAnsi="仿宋" w:cs="仿宋" w:hint="eastAsia"/>
          <w:lang w:eastAsia="zh-CN"/>
        </w:rPr>
      </w:pPr>
      <w:bookmarkStart w:id="3" w:name="_Toc1220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证券登记、结算机构服务项目中，证券登记、结算机构服务项目团队着眼于未来，明确了可持续发展的战略方向。制定的具体可持续发展目标包括降低资源使用、采用环保技术、最大化社会效益等。这一步骤不仅有助于证券登记、结算机构服务项目在环保和社会责任方面达到最高标准，也为未来提供了明确的指引，确保证券登记、结算机构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可持续实践的融入证券登记、结算机构服务项目管理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证券登记、结算机构服务项目管理周期。从证券登记、结算机构服务项目规划开始，证券登记、结算机构服务项目团队就考虑了环境和社会的因素。在执行阶段，证券登记、结算机构服务项目团队积极推动绿色技术的应用，优化资源利用。此外，关注员工的社会责任，通过培训和沟通活动提高员工对可持续发展的认知，使他们能够在日常工作中践行可持续实践。这些举措不仅为证券登记、结算机构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643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证券登记、结算机构服务项目的可持续发展理念，我们深信环保与社会责任是证券登记、结算机构服务项目成功的关键支柱。在证券登记、结算机构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团队通过引入先进的环保技术、建立高效的废物处理系统以及推动能源节约措施，积极履行环保责任。定期的环保监测和评估确保证券登记、结算机构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不仅致力于自身可持续发展，还注重对社会的回馈。通过支持社区证券登记、结算机构服务项目、参与慈善事业、提供培训机会等方式，证券登记、结算机构服务项目积极履行社会责任。与当地社区建立积极互动，关注员工的工作与生活平衡，以及员工的身心健康，是证券登记、结算机构服务项目在社会责任层面的关键举措。这样的实践不仅增强了证券登记、结算机构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191"/>
      <w:r>
        <w:rPr>
          <w:rFonts w:ascii="仿宋" w:eastAsia="仿宋" w:hAnsi="仿宋" w:cs="仿宋" w:hint="eastAsia"/>
          <w:sz w:val="28"/>
          <w:lang w:eastAsia="zh-CN"/>
        </w:rPr>
        <w:t>二、证券登记、结算机构服务项目危机管理</w:t>
      </w:r>
      <w:bookmarkEnd w:id="5"/>
    </w:p>
    <w:p>
      <w:pPr>
        <w:pStyle w:val="Heading2"/>
        <w:rPr>
          <w:rFonts w:ascii="仿宋" w:eastAsia="仿宋" w:hAnsi="仿宋" w:cs="仿宋" w:hint="eastAsia"/>
          <w:lang w:eastAsia="zh-CN"/>
        </w:rPr>
      </w:pPr>
      <w:bookmarkStart w:id="6" w:name="_Toc1205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证券登记、结算机构服务项目危机管理中，危机预警与识别是确保证券登记、结算机构服务项目稳健运行的核心步骤。通过建立全面的监测机制，证券登记、结算机构服务项目团队旨在及时发现和理解潜在的风险和危机因素，以便采取及时的预防和应对措施，确保证券登记、结算机构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证券登记、结算机构服务项目团队全面分析了整个证券登记、结算机构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证券登记、结算机构服务项目团队着重于明确定义证券登记、结算机构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证券登记、结算机构服务项目进展的持续监控，团队能够及时发现潜在问题并作出迅速反应。证券登记、结算机构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证券登记、结算机构服务项目得以更有序、可控地推进。</w:t>
      </w:r>
    </w:p>
    <w:p>
      <w:pPr>
        <w:pStyle w:val="Heading2"/>
        <w:ind w:firstLine="560" w:firstLineChars="200"/>
        <w:rPr>
          <w:rFonts w:ascii="仿宋" w:eastAsia="仿宋" w:hAnsi="仿宋" w:cs="仿宋" w:hint="eastAsia"/>
          <w:sz w:val="28"/>
          <w:lang w:eastAsia="zh-CN"/>
        </w:rPr>
      </w:pPr>
      <w:bookmarkStart w:id="7" w:name="_Toc15181"/>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在危机发生时，证券登记、结算机构服务项目团队立即行动，成立了应急小组。该小组的任务是迅速制定并实施紧急应对措施，以最小化潜在损失。以下是采取的主要措施：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暂停证券登记、结算机构服务项目进度：为遏制危机蔓延，证券登记、结算机构服务项目暂时停止进行，以便全面评估当前状况。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资源重新分配：重新评估证券登记、结算机构服务项目资源的分配，确保最大限度地减小损失。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实时沟通：与关键利益相关者建立实时沟通机制，向他们传递证券登记、结算机构服务项目危机的实际状况，保障证券登记、结算机构服务项目核心利益。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在紧急应对的同时，证券登记、结算机构服务项目团队强调了团队协作和有效沟通的重要性。以下是团队协作的关键举措：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信息共享机制：建立了信息共享平台，确保团队成员能够及时获取证券登记、结算机构服务项目危机的实时信息。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领导者沟通：证券登记、结算机构服务项目领导者通过定期会议和即时沟通工具，指导团队应对危机，保持团队稳定运行。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随着危机得到初步控制，证券登记、结算机构服务项目团队转向制定恢复计划，以确保证券登记、结算机构服务项目能够从中迅速恢复。主要恢复计划包括：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修复受损的进度计划：重新评估证券登记、结算机构服务项目进度，制定修复计划，确保证券登记、结算机构服务项目尽快回归正常进程。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重新调整资源分配：优化资源分配，确保证券登记、结算机构服务项目在有限资源下高效运转。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风险管理机制加强：对证券登记、结算机构服务项目风险进行全面评估，制定更强化的风险管理策略，以预防未来可能的危机。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5713"/>
      <w:r>
        <w:rPr>
          <w:rFonts w:ascii="仿宋" w:eastAsia="仿宋" w:hAnsi="仿宋" w:cs="仿宋" w:hint="eastAsia"/>
          <w:sz w:val="28"/>
          <w:lang w:eastAsia="zh-CN"/>
        </w:rPr>
        <w:t>三、证券登记、结算机构服务项目文档管理</w:t>
      </w:r>
      <w:bookmarkEnd w:id="8"/>
    </w:p>
    <w:p>
      <w:pPr>
        <w:pStyle w:val="Heading2"/>
        <w:rPr>
          <w:rFonts w:ascii="仿宋" w:eastAsia="仿宋" w:hAnsi="仿宋" w:cs="仿宋" w:hint="eastAsia"/>
          <w:lang w:eastAsia="zh-CN"/>
        </w:rPr>
      </w:pPr>
      <w:bookmarkStart w:id="9" w:name="_Toc17864"/>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证券登记、结算机构服务项目高度重视文档的质量和准确性，以支持证券登记、结算机构服务项目的各项活动和决策。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文档的编制始于证券登记、结算机构服务项目计划的初期，我们制定了详细的文档编制计划，明确了每个文档的内容、格式和编写责任人。在证券登记、结算机构服务项目启动阶段，我们首先编制了证券登记、结算机构服务项目章程，明确定义了证券登记、结算机构服务项目的目标、范围、风险等关键要素。随后，证券登记、结算机构服务项目团队根据计划陆续编制了需求文档、设计文档、测试文档等各类文档，确保证券登记、结算机构服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证券登记、结算机构服务项目管理中的重要环节，旨在确保证券登记、结算机构服务项目文档符合质量标准和证券登记、结算机构服务项目需求。在证券登记、结算机构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证券登记、结算机构服务项目相关利益方和专业领域的专家对文档进行独立审查。这有助于获取更全面、客观的反馈，确保证券登记、结算机构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在文档编制与审查方面建立了严格的管理机制，通过规范的流程和多维度的审查，确保证券登记、结算机构服务项目文档的质量、准确性和可靠性，为证券登记、结算机构服务项目的顺利推进提供了有力支持。</w:t>
      </w:r>
    </w:p>
    <w:p>
      <w:pPr>
        <w:pStyle w:val="Heading2"/>
        <w:ind w:firstLine="560" w:firstLineChars="200"/>
        <w:rPr>
          <w:rFonts w:ascii="仿宋" w:eastAsia="仿宋" w:hAnsi="仿宋" w:cs="仿宋" w:hint="eastAsia"/>
          <w:sz w:val="28"/>
          <w:lang w:eastAsia="zh-CN"/>
        </w:rPr>
      </w:pPr>
      <w:bookmarkStart w:id="10" w:name="_Toc1429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在证券登记、结算机构服务项目中，我们致力于优化文档发布与分发过程，以确保信息的高效传递和团队间协作的顺畅进行。以下是我们采取的关键优化策略：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我们通过多渠道发布文档，包括电子邮件、证券登记、结算机构服务项目管理平台、内部网站等，以满足不同团队成员的偏好和需求。多渠道发布确保了信息的全面覆盖。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我们采用了精细的权限控制，确保只有授权人员可以访问敏感信息。这种安全措施保护了证券登记、结算机构服务项目文档的机密性，防止了未经授权的信息泄露。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311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证券登记、结算机构服务项目生命周期中一个至关重要的环节，直接关系到证券登记、结算机构服务项目信息的长期保存和历史记录的完整性。在证券登记、结算机构服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1148"/>
      <w:r>
        <w:rPr>
          <w:rFonts w:ascii="仿宋" w:eastAsia="仿宋" w:hAnsi="仿宋" w:cs="仿宋" w:hint="eastAsia"/>
          <w:sz w:val="28"/>
          <w:lang w:eastAsia="zh-CN"/>
        </w:rPr>
        <w:t>四、证券登记、结算机构服务项目建设背景及必要性分析</w:t>
      </w:r>
      <w:bookmarkEnd w:id="12"/>
    </w:p>
    <w:p>
      <w:pPr>
        <w:pStyle w:val="Heading2"/>
        <w:rPr>
          <w:rFonts w:ascii="仿宋" w:eastAsia="仿宋" w:hAnsi="仿宋" w:cs="仿宋" w:hint="eastAsia"/>
          <w:lang w:eastAsia="zh-CN"/>
        </w:rPr>
      </w:pPr>
      <w:bookmarkStart w:id="13" w:name="_Toc30011"/>
      <w:r>
        <w:rPr>
          <w:rFonts w:ascii="仿宋" w:eastAsia="仿宋" w:hAnsi="仿宋" w:cs="仿宋" w:hint="eastAsia"/>
          <w:lang w:eastAsia="zh-CN"/>
        </w:rPr>
        <w:t>(一)、证券登记、结算机构服务项目背景分析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证券登记、结算机构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证券登记、结算机构服务项目在这个潮流中的定位。同时，我们将关注行业内涌现的新兴机遇，以便证券登记、结算机构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证券登记、结算机构服务项目提供了强大的发展动力。我们将聚焦于行业内最新的技术发展趋势，包括但不限于人工智能、大数据分析、物联网等领域。通过深度的技术研究，我们将确保证券登记、结算机构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证券登记、结算机构服务项目发展的源泉。我们将投入更多的精力对市场需求进行深入剖析，超越表面的需求，深入挖掘潜在的市场痛点和机遇。通过对市场需求的细致了解，证券登记、结算机构服务项目将更有针对性地设计解决方案，满足市场的多样化需求，从而更好地促进证券登记、结算机构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证券登记、结算机构服务项目战略至关重要。我们将对竞争态势进行更为深入的分析，包括但不限于市场份额、产品特点、客户满意度等多个维度。通过深度的竞争分析，证券登记、结算机构服务项目将能够更准确地把握市场脉搏，制定具有竞争力的证券登记、结算机构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证券登记、结算机构服务项目的发展具有直接的影响。我们将进行更为全面的法规和政策分析，了解行业发展中的潜在法律风险和合规挑战。通过充分了解和遵守相关法规，证券登记、结算机构服务项目将确保在法律框架内合法合规运营，为证券登记、结算机构服务项目的稳健发展提供有力支持。</w:t>
      </w:r>
    </w:p>
    <w:p>
      <w:pPr>
        <w:pStyle w:val="Heading2"/>
        <w:ind w:firstLine="560" w:firstLineChars="200"/>
        <w:rPr>
          <w:rFonts w:ascii="仿宋" w:eastAsia="仿宋" w:hAnsi="仿宋" w:cs="仿宋" w:hint="eastAsia"/>
          <w:sz w:val="28"/>
          <w:lang w:eastAsia="zh-CN"/>
        </w:rPr>
      </w:pPr>
      <w:bookmarkStart w:id="14" w:name="_Toc27592"/>
      <w:r>
        <w:rPr>
          <w:rFonts w:ascii="仿宋" w:eastAsia="仿宋" w:hAnsi="仿宋" w:cs="仿宋" w:hint="eastAsia"/>
          <w:sz w:val="28"/>
          <w:lang w:eastAsia="zh-CN"/>
        </w:rPr>
        <w:t>(二)、证券登记、结算机构服务项目建设必要性分析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建设的迫切性源于对行业发展趋势的深刻洞察。我们正处于一个行业变革的时代，科技创新、数字化转型成为企业发展的关键动力。证券登记、结算机构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建设不仅仅是为了跟上潮流，更是为了通过技术创新推动企业的持续发展。通过引入先进的技术和解决方案，证券登记、结算机构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证券登记、结算机构服务项目的建设成为必然选择，通过提高产品质量、拓展服务领域，从而在竞争中获得更多的机会。证券登记、结算机构服务项目建设将使企业更好地适应市场需求，增强市场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证券登记、结算机构服务项目建设的必要性体现在对客户需求更精准的满足。通过证券登记、结算机构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证券登记、结算机构服务项目建设的背后是对企业持续创新的追求。只有通过不断创新，企业才能在竞争中立于不败之地。证券登记、结算机构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0726"/>
      <w:r>
        <w:rPr>
          <w:rFonts w:ascii="仿宋" w:eastAsia="仿宋" w:hAnsi="仿宋" w:cs="仿宋" w:hint="eastAsia"/>
          <w:sz w:val="28"/>
          <w:lang w:eastAsia="zh-CN"/>
        </w:rPr>
        <w:t>五、证券登记、结算机构服务项目选址可行性分析</w:t>
      </w:r>
      <w:bookmarkEnd w:id="15"/>
    </w:p>
    <w:p>
      <w:pPr>
        <w:pStyle w:val="Heading2"/>
        <w:rPr>
          <w:rFonts w:ascii="仿宋" w:eastAsia="仿宋" w:hAnsi="仿宋" w:cs="仿宋" w:hint="eastAsia"/>
          <w:lang w:eastAsia="zh-CN"/>
        </w:rPr>
      </w:pPr>
      <w:bookmarkStart w:id="16" w:name="_Toc12778"/>
      <w:r>
        <w:rPr>
          <w:rFonts w:ascii="仿宋" w:eastAsia="仿宋" w:hAnsi="仿宋" w:cs="仿宋" w:hint="eastAsia"/>
          <w:lang w:eastAsia="zh-CN"/>
        </w:rPr>
        <w:t>(一)、证券登记、结算机构服务项目选址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该证券登记、结算机构服务项目选址位于XX省XX市XX区XXX街道</w:t>
      </w:r>
    </w:p>
    <w:p>
      <w:pPr>
        <w:pStyle w:val="Heading2"/>
        <w:ind w:firstLine="560" w:firstLineChars="200"/>
        <w:rPr>
          <w:rFonts w:ascii="仿宋" w:eastAsia="仿宋" w:hAnsi="仿宋" w:cs="仿宋" w:hint="eastAsia"/>
          <w:sz w:val="28"/>
          <w:lang w:eastAsia="zh-CN"/>
        </w:rPr>
      </w:pPr>
      <w:bookmarkStart w:id="17" w:name="_Toc7092"/>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征地面积： 证券登记、结算机构服务项目的征地面积将根据证券登记、结算机构服务项目的实际规模和需求进行精确规划。具体面积XXX平方米，旨在确保证券登记、结算机构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净用地面积是在征地面积基础上去除不可利用面积后的实际可开发用地。具体面积XXX平方米，考虑到环保、交通、安全等多方面因素，以确保证券登记、结算机构服务项目在整体利用效率上达到最优。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证券登记、结算机构服务项目计划建设的建筑总规模具体面积XXX平方米。这一规模的确定综合考虑了证券登记、结算机构服务项目的性质、规模，以及城市规划的相关要求，确保建筑布局与周边环境协调一致。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绿地率是证券登记、结算机构服务项目用地中被规划为绿地的比例。具体面积XXX平方米，旨在通过合理规划绿地，改善证券登记、结算机构服务项目周边环境，提升居民生活质量，并符合城市整体绿化规划。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容积率是用地上可以建设的建筑总体积与用地面积之比。具体面积XXX，通过合理的容积率规划，确保证券登记、结算机构服务项目建筑规模与周边环境和谐共生。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证券登记、结算机构服务项目选址与当地城市规划相一致，具体面积XXX平方米。通过与城市规划部门深入沟通，确保证券登记、结算机构服务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证券登记、结算机构服务项目选址符合当地产业政策，具体面积XXX平方米。这包括证券登记、结算机构服务项目对当地经济的促进作用，以及对相关产业的带动效应，确保证券登记、结算机构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证券登记、结算机构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确保证券登记、结算机构服务项目选址具备必要的公共设施配套，具体面积XXX平方米。这包括交通便利性、教育、医疗等基础设施，以提高居民生活品质，使得证券登记、结算机构服务项目选址更具吸引力。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考虑用地总体要求对当地社会稳定性的影响，具体面积XXX平方米。通过深入了解当地社区反馈，确保证券登记、结算机构服务项目的选址和建设过程对当地社会和谐稳定产生积极作用。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证券登记、结算机构服务项目选址不仅符合法规和规划，还在实际操作中具有可行性。这一全面规划将为证券登记、结算机构服务项目的成功实施提供坚实的基础，确保证券登记、结算机构服务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5872"/>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https://d.book118.com/196113021021010033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证券登记、结算机构服务项目规划设计蓝图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8642B1"/>
    <w:rsid w:val="388642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611302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2024-01-08T14:54:00Z</dcterms:created>
  <dcterms:modified xsi:type="dcterms:W3CDTF">2024-01-08T14:55:07Z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EEDE741207544C21AB46370419196BB9_11</vt:lpwstr>
  </property>
  <property fmtid="{D5CDD505-2E9C-101B-9397-08002B2CF9AE}" pid="3" name="KSOProductBuildVer">
    <vt:lpwstr>2052-12.1.0.16120</vt:lpwstr>
  </property>
</Properties>
</file>