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2018-2023年天津工程职业技术学院高职单招（数学／语文／英语）历年常考试题库含答案解析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“五十步笑百步”这个成语源自（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《秋水》中河伯“以天下之美为尽在己”中“美”的意思是指（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A.风景优美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B.水大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C.水小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D.明大理的人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在《宝玉挨打》中，贾政毒打宝玉的根本原因是（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A.宝玉与琪官交往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B.宝玉同情跳井的金钏儿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C.贾环挑拨是非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D.宝玉鄙弃仕途经济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梁实秋早年参加的文学社团是（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冰心著名的散文集有（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A.《繁星》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B.《寄小读者》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C.《春水》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我国田园诗派的开创者是（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C.孟浩然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D.谢灵运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下列诗句中，表现方法与“脱帽著峭头”相同的是（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B.缃绮为下裙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C.冉冉府中趋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郁达夫所创作的散文名篇有（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B.《荷塘夜色》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C.《白杨礼赞》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D.《故乡的野菜》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下列关于《庄子·秋水》的表述，不正确的一项是（）。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A.“东面而视，不见水端”描写了北海的辽阔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B.“两涘渚崖之间，不辩牛马”描写了黄河水上涨的景色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C.“吾长见笑于大方之家”说明河伯认识到了自己的局限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D.“天下之水，莫大于海”写出了北海若骄傲自得的心态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“五十步笑百步”这一典故出自（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在现代文学史上，郁达夫是杰出的（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C.杂文家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D.剧作家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《短歌行》中引用《诗经》成句“呦呦鹿鸣，食野之苹。我有嘉宾，鼓瑟吹笙”，所表达的心情是（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https://d.book118.com/196115034230010052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196115034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