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adjustRightInd w:val="0"/>
        <w:snapToGrid w:val="0"/>
        <w:spacing w:before="100" w:beforeAutospacing="1" w:after="100" w:afterAutospacing="1"/>
        <w:ind w:firstLine="252" w:firstLineChars="90"/>
        <w:jc w:val="center"/>
        <w:rPr>
          <w:rFonts w:ascii="黑体" w:hAnsi="黑体" w:hint="eastAsia"/>
          <w:sz w:val="36"/>
          <w:szCs w:val="36"/>
        </w:rPr>
      </w:pPr>
      <w:bookmarkStart w:id="0" w:name="_GoBack"/>
      <w:r>
        <w:rPr>
          <w:rFonts w:ascii="宋体" w:hAnsi="宋体" w:hint="eastAsia"/>
          <w:b/>
          <w:bCs/>
          <w:kern w:val="0"/>
          <w:sz w:val="28"/>
          <w:szCs w:val="28"/>
          <w:u w:val="single"/>
          <w:lang w:eastAsia="zh-CN"/>
        </w:rPr>
        <w:t>企业</w:t>
      </w:r>
      <w:r>
        <w:rPr>
          <w:rFonts w:ascii="宋体" w:hAnsi="宋体" w:hint="eastAsia"/>
          <w:b/>
          <w:bCs/>
          <w:kern w:val="0"/>
          <w:sz w:val="28"/>
          <w:szCs w:val="28"/>
          <w:u w:val="single"/>
        </w:rPr>
        <w:t>可转债融资的财务效应</w:t>
      </w:r>
      <w:r>
        <w:rPr>
          <w:rFonts w:ascii="宋体" w:hAnsi="宋体" w:hint="eastAsia"/>
          <w:b/>
          <w:bCs/>
          <w:kern w:val="0"/>
          <w:sz w:val="28"/>
          <w:szCs w:val="28"/>
          <w:u w:val="single"/>
          <w:lang w:eastAsia="zh-CN"/>
        </w:rPr>
        <w:t>的案例分析—以海澜之家为例</w:t>
      </w:r>
    </w:p>
    <w:bookmarkEnd w:id="0"/>
    <w:sdt>
      <w:sdtPr>
        <w:rPr>
          <w:rFonts w:ascii="宋体" w:hAnsi="宋体"/>
          <w:sz w:val="21"/>
        </w:rPr>
        <w:id w:val="147450942"/>
        <w:docPartObj>
          <w:docPartGallery w:val="Table of Contents"/>
          <w:docPartUnique/>
        </w:docPartObj>
      </w:sdtPr>
      <w:sdtEndPr>
        <w:rPr>
          <w:rFonts w:asciiTheme="minorEastAsia" w:eastAsiaTheme="minorEastAsia" w:hAnsiTheme="minorEastAsia" w:cs="宋体" w:hint="eastAsia"/>
          <w:sz w:val="24"/>
        </w:rPr>
      </w:sdtEndPr>
      <w:sdtContent>
        <w:p>
          <w:pPr>
            <w:pStyle w:val="TOC1"/>
            <w:tabs>
              <w:tab w:val="right" w:leader="dot" w:pos="8296"/>
            </w:tabs>
            <w:rPr>
              <w:rFonts w:asciiTheme="minorEastAsia" w:eastAsiaTheme="minorEastAsia" w:hAnsiTheme="minorEastAsia"/>
            </w:rPr>
          </w:pPr>
          <w:r>
            <w:rPr>
              <w:rFonts w:asciiTheme="minorEastAsia" w:eastAsiaTheme="minorEastAsia" w:hAnsiTheme="minorEastAsia"/>
            </w:rPr>
            <w:fldChar w:fldCharType="begin"/>
          </w:r>
          <w:r>
            <w:rPr>
              <w:rFonts w:asciiTheme="minorEastAsia" w:eastAsiaTheme="minorEastAsia" w:hAnsiTheme="minorEastAsia"/>
            </w:rPr>
            <w:instrText xml:space="preserve"> TOC \o "1-3" \h \z \u </w:instrText>
          </w:r>
          <w:r>
            <w:rPr>
              <w:rFonts w:asciiTheme="minorEastAsia" w:eastAsiaTheme="minorEastAsia" w:hAnsiTheme="minorEastAsia"/>
            </w:rPr>
            <w:fldChar w:fldCharType="separate"/>
          </w:r>
          <w:hyperlink w:anchor="_Toc70286150" w:history="1">
            <w:r>
              <w:rPr>
                <w:rStyle w:val="Hyperlink"/>
                <w:rFonts w:asciiTheme="minorEastAsia" w:eastAsiaTheme="minorEastAsia" w:hAnsiTheme="minorEastAsia" w:hint="eastAsia"/>
              </w:rPr>
              <w:t>一、</w:t>
            </w:r>
            <w:r>
              <w:rPr>
                <w:rFonts w:asciiTheme="minorEastAsia" w:eastAsiaTheme="minorEastAsia" w:hAnsiTheme="minorEastAsia" w:hint="eastAsia"/>
              </w:rPr>
              <w:t xml:space="preserve"> </w:t>
            </w:r>
            <w:r>
              <w:rPr>
                <w:rStyle w:val="Hyperlink"/>
                <w:rFonts w:asciiTheme="minorEastAsia" w:eastAsiaTheme="minorEastAsia" w:hAnsiTheme="minorEastAsia" w:hint="eastAsia"/>
              </w:rPr>
              <w:t>绪论</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_Toc70286150 \h </w:instrText>
            </w:r>
            <w:r>
              <w:rPr>
                <w:rFonts w:asciiTheme="minorEastAsia" w:eastAsiaTheme="minorEastAsia" w:hAnsiTheme="minorEastAsia"/>
              </w:rPr>
              <w:fldChar w:fldCharType="separate"/>
            </w:r>
            <w:r>
              <w:rPr>
                <w:rFonts w:asciiTheme="minorEastAsia" w:eastAsiaTheme="minorEastAsia" w:hAnsiTheme="minorEastAsia"/>
              </w:rPr>
              <w:t>1</w:t>
            </w:r>
            <w:r>
              <w:rPr>
                <w:rFonts w:asciiTheme="minorEastAsia" w:eastAsiaTheme="minorEastAsia" w:hAnsiTheme="minorEastAsia"/>
              </w:rPr>
              <w:fldChar w:fldCharType="end"/>
            </w:r>
          </w:hyperlink>
        </w:p>
        <w:p>
          <w:pPr>
            <w:pStyle w:val="TOC2"/>
            <w:tabs>
              <w:tab w:val="right" w:leader="dot" w:pos="8296"/>
            </w:tabs>
            <w:rPr>
              <w:rFonts w:asciiTheme="minorEastAsia" w:hAnsiTheme="minorEastAsia"/>
              <w:kern w:val="2"/>
              <w:sz w:val="24"/>
              <w:szCs w:val="24"/>
            </w:rPr>
          </w:pPr>
          <w:hyperlink w:anchor="_Toc70286151" w:history="1">
            <w:r>
              <w:rPr>
                <w:rStyle w:val="Hyperlink"/>
                <w:rFonts w:asciiTheme="minorEastAsia" w:hAnsiTheme="minorEastAsia" w:hint="eastAsia"/>
                <w:sz w:val="24"/>
                <w:szCs w:val="24"/>
              </w:rPr>
              <w:t>（一）</w:t>
            </w:r>
            <w:r>
              <w:rPr>
                <w:rFonts w:hint="eastAsia"/>
                <w:kern w:val="2"/>
              </w:rPr>
              <w:t xml:space="preserve"> </w:t>
            </w:r>
            <w:r>
              <w:rPr>
                <w:rStyle w:val="Hyperlink"/>
                <w:rFonts w:asciiTheme="minorEastAsia" w:hAnsiTheme="minorEastAsia" w:hint="eastAsia"/>
                <w:sz w:val="24"/>
                <w:szCs w:val="24"/>
              </w:rPr>
              <w:t>研究背景及其意义</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_Toc70286151 \h </w:instrText>
            </w:r>
            <w:r>
              <w:rPr>
                <w:rFonts w:asciiTheme="minorEastAsia" w:hAnsiTheme="minorEastAsia"/>
                <w:sz w:val="24"/>
                <w:szCs w:val="24"/>
              </w:rPr>
              <w:fldChar w:fldCharType="separate"/>
            </w:r>
            <w:r>
              <w:rPr>
                <w:rFonts w:asciiTheme="minorEastAsia" w:hAnsiTheme="minorEastAsia"/>
                <w:sz w:val="24"/>
                <w:szCs w:val="24"/>
              </w:rPr>
              <w:t>1</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52" w:history="1">
            <w:r>
              <w:rPr>
                <w:rStyle w:val="Hyperlink"/>
                <w:rFonts w:asciiTheme="minorEastAsia" w:hAnsiTheme="minorEastAsia"/>
                <w:sz w:val="24"/>
                <w:szCs w:val="24"/>
              </w:rPr>
              <w:t>1.</w:t>
            </w:r>
            <w:r>
              <w:rPr>
                <w:rFonts w:hint="eastAsia"/>
                <w:kern w:val="2"/>
              </w:rPr>
              <w:t xml:space="preserve"> </w:t>
            </w:r>
            <w:r>
              <w:rPr>
                <w:rStyle w:val="Hyperlink"/>
                <w:rFonts w:asciiTheme="minorEastAsia" w:hAnsiTheme="minorEastAsia" w:hint="eastAsia"/>
                <w:sz w:val="24"/>
                <w:szCs w:val="24"/>
              </w:rPr>
              <w:t>研究背景</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_Toc70286152 \h </w:instrText>
            </w:r>
            <w:r>
              <w:rPr>
                <w:rFonts w:asciiTheme="minorEastAsia" w:hAnsiTheme="minorEastAsia"/>
                <w:sz w:val="24"/>
                <w:szCs w:val="24"/>
              </w:rPr>
              <w:fldChar w:fldCharType="separate"/>
            </w:r>
            <w:r>
              <w:rPr>
                <w:rFonts w:asciiTheme="minorEastAsia" w:hAnsiTheme="minorEastAsia"/>
                <w:sz w:val="24"/>
                <w:szCs w:val="24"/>
              </w:rPr>
              <w:t>1</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53" w:history="1">
            <w:r>
              <w:rPr>
                <w:rStyle w:val="Hyperlink"/>
                <w:rFonts w:asciiTheme="minorEastAsia" w:hAnsiTheme="minorEastAsia"/>
                <w:sz w:val="24"/>
                <w:szCs w:val="24"/>
              </w:rPr>
              <w:t>2.</w:t>
            </w:r>
            <w:r>
              <w:rPr>
                <w:rFonts w:hint="eastAsia"/>
                <w:kern w:val="2"/>
              </w:rPr>
              <w:t xml:space="preserve"> </w:t>
            </w:r>
            <w:r>
              <w:rPr>
                <w:rStyle w:val="Hyperlink"/>
                <w:rFonts w:asciiTheme="minorEastAsia" w:hAnsiTheme="minorEastAsia" w:hint="eastAsia"/>
                <w:sz w:val="24"/>
                <w:szCs w:val="24"/>
              </w:rPr>
              <w:t>研究意义</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_Toc70286153 \h </w:instrText>
            </w:r>
            <w:r>
              <w:rPr>
                <w:rFonts w:asciiTheme="minorEastAsia" w:hAnsiTheme="minorEastAsia"/>
                <w:sz w:val="24"/>
                <w:szCs w:val="24"/>
              </w:rPr>
              <w:fldChar w:fldCharType="separate"/>
            </w:r>
            <w:r>
              <w:rPr>
                <w:rFonts w:asciiTheme="minorEastAsia" w:hAnsiTheme="minorEastAsia"/>
                <w:sz w:val="24"/>
                <w:szCs w:val="24"/>
              </w:rPr>
              <w:t>2</w:t>
            </w:r>
            <w:r>
              <w:rPr>
                <w:rFonts w:asciiTheme="minorEastAsia" w:hAnsiTheme="minorEastAsia"/>
                <w:sz w:val="24"/>
                <w:szCs w:val="24"/>
              </w:rPr>
              <w:fldChar w:fldCharType="end"/>
            </w:r>
          </w:hyperlink>
        </w:p>
        <w:p>
          <w:pPr>
            <w:pStyle w:val="TOC2"/>
            <w:tabs>
              <w:tab w:val="right" w:leader="dot" w:pos="8296"/>
            </w:tabs>
            <w:rPr>
              <w:rFonts w:asciiTheme="minorEastAsia" w:hAnsiTheme="minorEastAsia"/>
              <w:kern w:val="2"/>
              <w:sz w:val="24"/>
              <w:szCs w:val="24"/>
            </w:rPr>
          </w:pPr>
          <w:hyperlink w:anchor="_Toc70286154" w:history="1">
            <w:r>
              <w:rPr>
                <w:rStyle w:val="Hyperlink"/>
                <w:rFonts w:asciiTheme="minorEastAsia" w:hAnsiTheme="minorEastAsia" w:hint="eastAsia"/>
                <w:sz w:val="24"/>
                <w:szCs w:val="24"/>
              </w:rPr>
              <w:t>（二）</w:t>
            </w:r>
            <w:r>
              <w:rPr>
                <w:rFonts w:asciiTheme="minorEastAsia" w:hAnsiTheme="minorEastAsia" w:hint="eastAsia"/>
                <w:kern w:val="2"/>
                <w:sz w:val="24"/>
                <w:szCs w:val="24"/>
              </w:rPr>
              <w:t xml:space="preserve"> </w:t>
            </w:r>
            <w:r>
              <w:rPr>
                <w:rStyle w:val="Hyperlink"/>
                <w:rFonts w:asciiTheme="minorEastAsia" w:hAnsiTheme="minorEastAsia" w:hint="eastAsia"/>
                <w:sz w:val="24"/>
                <w:szCs w:val="24"/>
              </w:rPr>
              <w:t>文献综述</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_Toc70286154 \h </w:instrText>
            </w:r>
            <w:r>
              <w:rPr>
                <w:rFonts w:asciiTheme="minorEastAsia" w:hAnsiTheme="minorEastAsia"/>
                <w:sz w:val="24"/>
                <w:szCs w:val="24"/>
              </w:rPr>
              <w:fldChar w:fldCharType="separate"/>
            </w:r>
            <w:r>
              <w:rPr>
                <w:rFonts w:asciiTheme="minorEastAsia" w:hAnsiTheme="minorEastAsia"/>
                <w:sz w:val="24"/>
                <w:szCs w:val="24"/>
              </w:rPr>
              <w:t>2</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55" w:history="1">
            <w:r>
              <w:rPr>
                <w:rStyle w:val="Hyperlink"/>
                <w:rFonts w:asciiTheme="minorEastAsia" w:hAnsiTheme="minorEastAsia"/>
                <w:sz w:val="24"/>
                <w:szCs w:val="24"/>
              </w:rPr>
              <w:t>1.</w:t>
            </w:r>
            <w:r>
              <w:rPr>
                <w:rFonts w:asciiTheme="minorEastAsia" w:hAnsiTheme="minorEastAsia" w:hint="eastAsia"/>
                <w:kern w:val="2"/>
                <w:sz w:val="24"/>
                <w:szCs w:val="24"/>
              </w:rPr>
              <w:t xml:space="preserve"> </w:t>
            </w:r>
            <w:r>
              <w:rPr>
                <w:rStyle w:val="Hyperlink"/>
                <w:rFonts w:asciiTheme="minorEastAsia" w:hAnsiTheme="minorEastAsia" w:hint="eastAsia"/>
                <w:sz w:val="24"/>
                <w:szCs w:val="24"/>
              </w:rPr>
              <w:t>国外研究综述</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_Toc70286155 \h </w:instrText>
            </w:r>
            <w:r>
              <w:rPr>
                <w:rFonts w:asciiTheme="minorEastAsia" w:hAnsiTheme="minorEastAsia"/>
                <w:sz w:val="24"/>
                <w:szCs w:val="24"/>
              </w:rPr>
              <w:fldChar w:fldCharType="separate"/>
            </w:r>
            <w:r>
              <w:rPr>
                <w:rFonts w:asciiTheme="minorEastAsia" w:hAnsiTheme="minorEastAsia"/>
                <w:sz w:val="24"/>
                <w:szCs w:val="24"/>
              </w:rPr>
              <w:t>2</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56" w:history="1">
            <w:r>
              <w:rPr>
                <w:rStyle w:val="Hyperlink"/>
                <w:rFonts w:asciiTheme="minorEastAsia" w:hAnsiTheme="minorEastAsia"/>
                <w:sz w:val="24"/>
                <w:szCs w:val="24"/>
              </w:rPr>
              <w:t>2.</w:t>
            </w:r>
            <w:r>
              <w:rPr>
                <w:rFonts w:hint="eastAsia"/>
                <w:kern w:val="2"/>
              </w:rPr>
              <w:t xml:space="preserve"> </w:t>
            </w:r>
            <w:r>
              <w:rPr>
                <w:rStyle w:val="Hyperlink"/>
                <w:rFonts w:asciiTheme="minorEastAsia" w:hAnsiTheme="minorEastAsia" w:hint="eastAsia"/>
                <w:sz w:val="24"/>
                <w:szCs w:val="24"/>
              </w:rPr>
              <w:t>国内研究综述</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_Toc70286156 \h </w:instrText>
            </w:r>
            <w:r>
              <w:rPr>
                <w:rFonts w:asciiTheme="minorEastAsia" w:hAnsiTheme="minorEastAsia"/>
                <w:sz w:val="24"/>
                <w:szCs w:val="24"/>
              </w:rPr>
              <w:fldChar w:fldCharType="separate"/>
            </w:r>
            <w:r>
              <w:rPr>
                <w:rFonts w:asciiTheme="minorEastAsia" w:hAnsiTheme="minorEastAsia"/>
                <w:sz w:val="24"/>
                <w:szCs w:val="24"/>
              </w:rPr>
              <w:t>3</w:t>
            </w:r>
            <w:r>
              <w:rPr>
                <w:rFonts w:asciiTheme="minorEastAsia" w:hAnsiTheme="minorEastAsia"/>
                <w:sz w:val="24"/>
                <w:szCs w:val="24"/>
              </w:rPr>
              <w:fldChar w:fldCharType="end"/>
            </w:r>
          </w:hyperlink>
        </w:p>
        <w:p>
          <w:pPr>
            <w:pStyle w:val="TOC2"/>
            <w:tabs>
              <w:tab w:val="right" w:leader="dot" w:pos="8296"/>
            </w:tabs>
            <w:rPr>
              <w:rFonts w:asciiTheme="minorEastAsia" w:hAnsiTheme="minorEastAsia"/>
              <w:kern w:val="2"/>
              <w:sz w:val="24"/>
              <w:szCs w:val="24"/>
            </w:rPr>
          </w:pPr>
          <w:hyperlink w:anchor="_Toc70286157" w:history="1">
            <w:r>
              <w:rPr>
                <w:rStyle w:val="Hyperlink"/>
                <w:rFonts w:asciiTheme="minorEastAsia" w:hAnsiTheme="minorEastAsia" w:hint="eastAsia"/>
                <w:sz w:val="24"/>
                <w:szCs w:val="24"/>
              </w:rPr>
              <w:t>（三）</w:t>
            </w:r>
            <w:r>
              <w:rPr>
                <w:rFonts w:hint="eastAsia"/>
                <w:kern w:val="2"/>
              </w:rPr>
              <w:t xml:space="preserve"> </w:t>
            </w:r>
            <w:r>
              <w:rPr>
                <w:rStyle w:val="Hyperlink"/>
                <w:rFonts w:asciiTheme="minorEastAsia" w:hAnsiTheme="minorEastAsia" w:hint="eastAsia"/>
                <w:sz w:val="24"/>
                <w:szCs w:val="24"/>
              </w:rPr>
              <w:t>研究内容和方法</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_Toc70286157 \h </w:instrText>
            </w:r>
            <w:r>
              <w:rPr>
                <w:rFonts w:asciiTheme="minorEastAsia" w:hAnsiTheme="minorEastAsia"/>
                <w:sz w:val="24"/>
                <w:szCs w:val="24"/>
              </w:rPr>
              <w:fldChar w:fldCharType="separate"/>
            </w:r>
            <w:r>
              <w:rPr>
                <w:rFonts w:asciiTheme="minorEastAsia" w:hAnsiTheme="minorEastAsia"/>
                <w:sz w:val="24"/>
                <w:szCs w:val="24"/>
              </w:rPr>
              <w:t>3</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58" w:history="1">
            <w:r>
              <w:rPr>
                <w:rStyle w:val="Hyperlink"/>
                <w:rFonts w:asciiTheme="minorEastAsia" w:hAnsiTheme="minorEastAsia"/>
                <w:sz w:val="24"/>
                <w:szCs w:val="24"/>
              </w:rPr>
              <w:t>1.</w:t>
            </w:r>
            <w:r>
              <w:rPr>
                <w:rFonts w:asciiTheme="minorEastAsia" w:hAnsiTheme="minorEastAsia" w:hint="eastAsia"/>
                <w:kern w:val="2"/>
                <w:sz w:val="24"/>
                <w:szCs w:val="24"/>
              </w:rPr>
              <w:t xml:space="preserve"> </w:t>
            </w:r>
            <w:r>
              <w:rPr>
                <w:rStyle w:val="Hyperlink"/>
                <w:rFonts w:asciiTheme="minorEastAsia" w:hAnsiTheme="minorEastAsia" w:hint="eastAsia"/>
                <w:sz w:val="24"/>
                <w:szCs w:val="24"/>
              </w:rPr>
              <w:t>研究内容</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_Toc70286158 \h </w:instrText>
            </w:r>
            <w:r>
              <w:rPr>
                <w:rFonts w:asciiTheme="minorEastAsia" w:hAnsiTheme="minorEastAsia"/>
                <w:sz w:val="24"/>
                <w:szCs w:val="24"/>
              </w:rPr>
              <w:fldChar w:fldCharType="separate"/>
            </w:r>
            <w:r>
              <w:rPr>
                <w:rFonts w:asciiTheme="minorEastAsia" w:hAnsiTheme="minorEastAsia"/>
                <w:sz w:val="24"/>
                <w:szCs w:val="24"/>
              </w:rPr>
              <w:t>3</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59" w:history="1">
            <w:r>
              <w:rPr>
                <w:rStyle w:val="Hyperlink"/>
                <w:rFonts w:asciiTheme="minorEastAsia" w:hAnsiTheme="minorEastAsia"/>
                <w:sz w:val="24"/>
                <w:szCs w:val="24"/>
              </w:rPr>
              <w:t>2.</w:t>
            </w:r>
            <w:r>
              <w:rPr>
                <w:rFonts w:hint="eastAsia"/>
                <w:kern w:val="2"/>
              </w:rPr>
              <w:t xml:space="preserve"> </w:t>
            </w:r>
            <w:r>
              <w:rPr>
                <w:rStyle w:val="Hyperlink"/>
                <w:rFonts w:asciiTheme="minorEastAsia" w:hAnsiTheme="minorEastAsia" w:hint="eastAsia"/>
                <w:sz w:val="24"/>
                <w:szCs w:val="24"/>
              </w:rPr>
              <w:t>研究方法</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_Toc70286159 \h </w:instrText>
            </w:r>
            <w:r>
              <w:rPr>
                <w:rFonts w:asciiTheme="minorEastAsia" w:hAnsiTheme="minorEastAsia"/>
                <w:sz w:val="24"/>
                <w:szCs w:val="24"/>
              </w:rPr>
              <w:fldChar w:fldCharType="separate"/>
            </w:r>
            <w:r>
              <w:rPr>
                <w:rFonts w:asciiTheme="minorEastAsia" w:hAnsiTheme="minorEastAsia"/>
                <w:sz w:val="24"/>
                <w:szCs w:val="24"/>
              </w:rPr>
              <w:t>4</w:t>
            </w:r>
            <w:r>
              <w:rPr>
                <w:rFonts w:asciiTheme="minorEastAsia" w:hAnsiTheme="minorEastAsia"/>
                <w:sz w:val="24"/>
                <w:szCs w:val="24"/>
              </w:rPr>
              <w:fldChar w:fldCharType="end"/>
            </w:r>
          </w:hyperlink>
        </w:p>
        <w:p>
          <w:pPr>
            <w:pStyle w:val="TOC1"/>
            <w:tabs>
              <w:tab w:val="right" w:leader="dot" w:pos="8296"/>
            </w:tabs>
            <w:rPr>
              <w:rFonts w:asciiTheme="minorEastAsia" w:eastAsiaTheme="minorEastAsia" w:hAnsiTheme="minorEastAsia"/>
            </w:rPr>
          </w:pPr>
          <w:hyperlink w:anchor="_Toc70286160" w:history="1">
            <w:r>
              <w:rPr>
                <w:rStyle w:val="Hyperlink"/>
                <w:rFonts w:asciiTheme="minorEastAsia" w:eastAsiaTheme="minorEastAsia" w:hAnsiTheme="minorEastAsia" w:hint="eastAsia"/>
              </w:rPr>
              <w:t>二、</w:t>
            </w:r>
            <w:r>
              <w:rPr>
                <w:rFonts w:asciiTheme="minorEastAsia" w:eastAsiaTheme="minorEastAsia" w:hAnsiTheme="minorEastAsia" w:hint="eastAsia"/>
              </w:rPr>
              <w:t xml:space="preserve"> </w:t>
            </w:r>
            <w:r>
              <w:rPr>
                <w:rStyle w:val="Hyperlink"/>
                <w:rFonts w:asciiTheme="minorEastAsia" w:eastAsiaTheme="minorEastAsia" w:hAnsiTheme="minorEastAsia" w:hint="eastAsia"/>
              </w:rPr>
              <w:t>相关理论概述</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_Toc70286160 \h </w:instrText>
            </w:r>
            <w:r>
              <w:rPr>
                <w:rFonts w:asciiTheme="minorEastAsia" w:eastAsiaTheme="minorEastAsia" w:hAnsiTheme="minorEastAsia"/>
              </w:rPr>
              <w:fldChar w:fldCharType="separate"/>
            </w:r>
            <w:r>
              <w:rPr>
                <w:rFonts w:asciiTheme="minorEastAsia" w:eastAsiaTheme="minorEastAsia" w:hAnsiTheme="minorEastAsia"/>
              </w:rPr>
              <w:t>5</w:t>
            </w:r>
            <w:r>
              <w:rPr>
                <w:rFonts w:asciiTheme="minorEastAsia" w:eastAsiaTheme="minorEastAsia" w:hAnsiTheme="minorEastAsia"/>
              </w:rPr>
              <w:fldChar w:fldCharType="end"/>
            </w:r>
          </w:hyperlink>
        </w:p>
        <w:p>
          <w:pPr>
            <w:pStyle w:val="TOC2"/>
            <w:tabs>
              <w:tab w:val="right" w:leader="dot" w:pos="8296"/>
            </w:tabs>
            <w:rPr>
              <w:rFonts w:asciiTheme="minorEastAsia" w:hAnsiTheme="minorEastAsia"/>
              <w:kern w:val="2"/>
              <w:sz w:val="24"/>
              <w:szCs w:val="24"/>
            </w:rPr>
          </w:pPr>
          <w:hyperlink w:anchor="_Toc70286161" w:history="1">
            <w:r>
              <w:rPr>
                <w:rStyle w:val="Hyperlink"/>
                <w:rFonts w:asciiTheme="minorEastAsia" w:hAnsiTheme="minorEastAsia" w:hint="eastAsia"/>
                <w:sz w:val="24"/>
                <w:szCs w:val="24"/>
              </w:rPr>
              <w:t>（一）</w:t>
            </w:r>
            <w:r>
              <w:rPr>
                <w:rFonts w:asciiTheme="minorEastAsia" w:hAnsiTheme="minorEastAsia" w:hint="eastAsia"/>
                <w:kern w:val="2"/>
                <w:sz w:val="24"/>
                <w:szCs w:val="24"/>
              </w:rPr>
              <w:t xml:space="preserve"> </w:t>
            </w:r>
            <w:r>
              <w:rPr>
                <w:rStyle w:val="Hyperlink"/>
                <w:rFonts w:asciiTheme="minorEastAsia" w:hAnsiTheme="minorEastAsia" w:hint="eastAsia"/>
                <w:sz w:val="24"/>
                <w:szCs w:val="24"/>
              </w:rPr>
              <w:t>可转债</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_Toc70286161 \h </w:instrText>
            </w:r>
            <w:r>
              <w:rPr>
                <w:rFonts w:asciiTheme="minorEastAsia" w:hAnsiTheme="minorEastAsia"/>
                <w:sz w:val="24"/>
                <w:szCs w:val="24"/>
              </w:rPr>
              <w:fldChar w:fldCharType="separate"/>
            </w:r>
            <w:r>
              <w:rPr>
                <w:rFonts w:asciiTheme="minorEastAsia" w:hAnsiTheme="minorEastAsia"/>
                <w:sz w:val="24"/>
                <w:szCs w:val="24"/>
              </w:rPr>
              <w:t>5</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62" w:history="1">
            <w:r>
              <w:rPr>
                <w:rStyle w:val="Hyperlink"/>
                <w:rFonts w:asciiTheme="minorEastAsia" w:hAnsiTheme="minorEastAsia"/>
                <w:sz w:val="24"/>
                <w:szCs w:val="24"/>
              </w:rPr>
              <w:t>1.</w:t>
            </w:r>
            <w:r>
              <w:rPr>
                <w:rFonts w:asciiTheme="minorEastAsia" w:hAnsiTheme="minorEastAsia" w:hint="eastAsia"/>
                <w:kern w:val="2"/>
                <w:sz w:val="24"/>
                <w:szCs w:val="24"/>
              </w:rPr>
              <w:t xml:space="preserve"> </w:t>
            </w:r>
            <w:r>
              <w:rPr>
                <w:rStyle w:val="Hyperlink"/>
                <w:rFonts w:asciiTheme="minorEastAsia" w:hAnsiTheme="minorEastAsia" w:hint="eastAsia"/>
                <w:sz w:val="24"/>
                <w:szCs w:val="24"/>
              </w:rPr>
              <w:t>可转债的基本概念</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_Toc70286162 \h </w:instrText>
            </w:r>
            <w:r>
              <w:rPr>
                <w:rFonts w:asciiTheme="minorEastAsia" w:hAnsiTheme="minorEastAsia"/>
                <w:sz w:val="24"/>
                <w:szCs w:val="24"/>
              </w:rPr>
              <w:fldChar w:fldCharType="separate"/>
            </w:r>
            <w:r>
              <w:rPr>
                <w:rFonts w:asciiTheme="minorEastAsia" w:hAnsiTheme="minorEastAsia"/>
                <w:sz w:val="24"/>
                <w:szCs w:val="24"/>
              </w:rPr>
              <w:t>5</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63" w:history="1">
            <w:r>
              <w:rPr>
                <w:rStyle w:val="Hyperlink"/>
                <w:rFonts w:asciiTheme="minorEastAsia" w:hAnsiTheme="minorEastAsia"/>
                <w:sz w:val="24"/>
                <w:szCs w:val="24"/>
              </w:rPr>
              <w:t>2.</w:t>
            </w:r>
            <w:r>
              <w:rPr>
                <w:rFonts w:asciiTheme="minorEastAsia" w:hAnsiTheme="minorEastAsia" w:hint="eastAsia"/>
                <w:kern w:val="2"/>
                <w:sz w:val="24"/>
                <w:szCs w:val="24"/>
              </w:rPr>
              <w:t xml:space="preserve"> </w:t>
            </w:r>
            <w:r>
              <w:rPr>
                <w:rStyle w:val="Hyperlink"/>
                <w:rFonts w:asciiTheme="minorEastAsia" w:hAnsiTheme="minorEastAsia" w:hint="eastAsia"/>
                <w:sz w:val="24"/>
                <w:szCs w:val="24"/>
              </w:rPr>
              <w:t>可转债的性质</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_Toc70286163 \h </w:instrText>
            </w:r>
            <w:r>
              <w:rPr>
                <w:rFonts w:asciiTheme="minorEastAsia" w:hAnsiTheme="minorEastAsia"/>
                <w:sz w:val="24"/>
                <w:szCs w:val="24"/>
              </w:rPr>
              <w:fldChar w:fldCharType="separate"/>
            </w:r>
            <w:r>
              <w:rPr>
                <w:rFonts w:asciiTheme="minorEastAsia" w:hAnsiTheme="minorEastAsia"/>
                <w:sz w:val="24"/>
                <w:szCs w:val="24"/>
              </w:rPr>
              <w:t>5</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64" w:history="1">
            <w:r>
              <w:rPr>
                <w:rStyle w:val="Hyperlink"/>
                <w:rFonts w:asciiTheme="minorEastAsia" w:hAnsiTheme="minorEastAsia"/>
                <w:sz w:val="24"/>
                <w:szCs w:val="24"/>
              </w:rPr>
              <w:t>3.</w:t>
            </w:r>
            <w:r>
              <w:rPr>
                <w:rFonts w:asciiTheme="minorEastAsia" w:hAnsiTheme="minorEastAsia" w:hint="eastAsia"/>
                <w:kern w:val="2"/>
                <w:sz w:val="24"/>
                <w:szCs w:val="24"/>
              </w:rPr>
              <w:t xml:space="preserve"> </w:t>
            </w:r>
            <w:r>
              <w:rPr>
                <w:rStyle w:val="Hyperlink"/>
                <w:rFonts w:asciiTheme="minorEastAsia" w:hAnsiTheme="minorEastAsia" w:hint="eastAsia"/>
                <w:sz w:val="24"/>
                <w:szCs w:val="24"/>
              </w:rPr>
              <w:t>可转债的发行条件</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_Toc70286164 \h </w:instrText>
            </w:r>
            <w:r>
              <w:rPr>
                <w:rFonts w:asciiTheme="minorEastAsia" w:hAnsiTheme="minorEastAsia"/>
                <w:sz w:val="24"/>
                <w:szCs w:val="24"/>
              </w:rPr>
              <w:fldChar w:fldCharType="separate"/>
            </w:r>
            <w:r>
              <w:rPr>
                <w:rFonts w:asciiTheme="minorEastAsia" w:hAnsiTheme="minorEastAsia"/>
                <w:sz w:val="24"/>
                <w:szCs w:val="24"/>
              </w:rPr>
              <w:t>6</w:t>
            </w:r>
            <w:r>
              <w:rPr>
                <w:rFonts w:asciiTheme="minorEastAsia" w:hAnsiTheme="minorEastAsia"/>
                <w:sz w:val="24"/>
                <w:szCs w:val="24"/>
              </w:rPr>
              <w:fldChar w:fldCharType="end"/>
            </w:r>
          </w:hyperlink>
        </w:p>
        <w:p>
          <w:pPr>
            <w:pStyle w:val="TOC2"/>
            <w:tabs>
              <w:tab w:val="right" w:leader="dot" w:pos="8296"/>
            </w:tabs>
            <w:rPr>
              <w:rFonts w:asciiTheme="minorEastAsia" w:hAnsiTheme="minorEastAsia"/>
              <w:kern w:val="2"/>
              <w:sz w:val="24"/>
              <w:szCs w:val="24"/>
            </w:rPr>
          </w:pPr>
          <w:hyperlink w:anchor="_Toc70286165" w:history="1">
            <w:r>
              <w:rPr>
                <w:rStyle w:val="Hyperlink"/>
                <w:rFonts w:asciiTheme="minorEastAsia" w:hAnsiTheme="minorEastAsia" w:hint="eastAsia"/>
                <w:sz w:val="24"/>
                <w:szCs w:val="24"/>
              </w:rPr>
              <w:t>（二）</w:t>
            </w:r>
            <w:r>
              <w:rPr>
                <w:rFonts w:asciiTheme="minorEastAsia" w:hAnsiTheme="minorEastAsia" w:hint="eastAsia"/>
                <w:kern w:val="2"/>
                <w:sz w:val="24"/>
                <w:szCs w:val="24"/>
              </w:rPr>
              <w:t xml:space="preserve"> </w:t>
            </w:r>
            <w:r>
              <w:rPr>
                <w:rStyle w:val="Hyperlink"/>
                <w:rFonts w:asciiTheme="minorEastAsia" w:hAnsiTheme="minorEastAsia" w:hint="eastAsia"/>
                <w:sz w:val="24"/>
                <w:szCs w:val="24"/>
              </w:rPr>
              <w:t>财务效应</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_Toc70286165 \h </w:instrText>
            </w:r>
            <w:r>
              <w:rPr>
                <w:rFonts w:asciiTheme="minorEastAsia" w:hAnsiTheme="minorEastAsia"/>
                <w:sz w:val="24"/>
                <w:szCs w:val="24"/>
              </w:rPr>
              <w:fldChar w:fldCharType="separate"/>
            </w:r>
            <w:r>
              <w:rPr>
                <w:rFonts w:asciiTheme="minorEastAsia" w:hAnsiTheme="minorEastAsia"/>
                <w:sz w:val="24"/>
                <w:szCs w:val="24"/>
              </w:rPr>
              <w:t>6</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66" w:history="1">
            <w:r>
              <w:rPr>
                <w:rStyle w:val="Hyperlink"/>
                <w:rFonts w:asciiTheme="minorEastAsia" w:hAnsiTheme="minorEastAsia"/>
                <w:sz w:val="24"/>
                <w:szCs w:val="24"/>
              </w:rPr>
              <w:t>1.</w:t>
            </w:r>
            <w:r>
              <w:rPr>
                <w:rFonts w:asciiTheme="minorEastAsia" w:hAnsiTheme="minorEastAsia" w:hint="eastAsia"/>
                <w:kern w:val="2"/>
                <w:sz w:val="24"/>
                <w:szCs w:val="24"/>
              </w:rPr>
              <w:t xml:space="preserve"> </w:t>
            </w:r>
            <w:r>
              <w:rPr>
                <w:rStyle w:val="Hyperlink"/>
                <w:rFonts w:asciiTheme="minorEastAsia" w:hAnsiTheme="minorEastAsia" w:hint="eastAsia"/>
                <w:sz w:val="24"/>
                <w:szCs w:val="24"/>
              </w:rPr>
              <w:t>财务效应的含义</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_Toc70286166 \h </w:instrText>
            </w:r>
            <w:r>
              <w:rPr>
                <w:rFonts w:asciiTheme="minorEastAsia" w:hAnsiTheme="minorEastAsia"/>
                <w:sz w:val="24"/>
                <w:szCs w:val="24"/>
              </w:rPr>
              <w:fldChar w:fldCharType="separate"/>
            </w:r>
            <w:r>
              <w:rPr>
                <w:rFonts w:asciiTheme="minorEastAsia" w:hAnsiTheme="minorEastAsia"/>
                <w:sz w:val="24"/>
                <w:szCs w:val="24"/>
              </w:rPr>
              <w:t>6</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67" w:history="1">
            <w:r>
              <w:rPr>
                <w:rStyle w:val="Hyperlink"/>
                <w:rFonts w:asciiTheme="minorEastAsia" w:hAnsiTheme="minorEastAsia"/>
                <w:sz w:val="24"/>
                <w:szCs w:val="24"/>
              </w:rPr>
              <w:t>2.</w:t>
            </w:r>
            <w:r>
              <w:rPr>
                <w:rFonts w:asciiTheme="minorEastAsia" w:hAnsiTheme="minorEastAsia" w:hint="eastAsia"/>
                <w:kern w:val="2"/>
                <w:sz w:val="24"/>
                <w:szCs w:val="24"/>
              </w:rPr>
              <w:t xml:space="preserve"> </w:t>
            </w:r>
            <w:r>
              <w:rPr>
                <w:rStyle w:val="Hyperlink"/>
                <w:rFonts w:asciiTheme="minorEastAsia" w:hAnsiTheme="minorEastAsia" w:hint="eastAsia"/>
                <w:sz w:val="24"/>
                <w:szCs w:val="24"/>
              </w:rPr>
              <w:t>财务效应的评价指标</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_Toc70286167 \h </w:instrText>
            </w:r>
            <w:r>
              <w:rPr>
                <w:rFonts w:asciiTheme="minorEastAsia" w:hAnsiTheme="minorEastAsia"/>
                <w:sz w:val="24"/>
                <w:szCs w:val="24"/>
              </w:rPr>
              <w:fldChar w:fldCharType="separate"/>
            </w:r>
            <w:r>
              <w:rPr>
                <w:rFonts w:asciiTheme="minorEastAsia" w:hAnsiTheme="minorEastAsia"/>
                <w:sz w:val="24"/>
                <w:szCs w:val="24"/>
              </w:rPr>
              <w:t>6</w:t>
            </w:r>
            <w:r>
              <w:rPr>
                <w:rFonts w:asciiTheme="minorEastAsia" w:hAnsiTheme="minorEastAsia"/>
                <w:sz w:val="24"/>
                <w:szCs w:val="24"/>
              </w:rPr>
              <w:fldChar w:fldCharType="end"/>
            </w:r>
          </w:hyperlink>
        </w:p>
        <w:p>
          <w:pPr>
            <w:pStyle w:val="TOC1"/>
            <w:tabs>
              <w:tab w:val="right" w:leader="dot" w:pos="8296"/>
            </w:tabs>
            <w:rPr>
              <w:rFonts w:asciiTheme="minorEastAsia" w:eastAsiaTheme="minorEastAsia" w:hAnsiTheme="minorEastAsia"/>
            </w:rPr>
          </w:pPr>
          <w:hyperlink w:anchor="_Toc70286168" w:history="1">
            <w:r>
              <w:rPr>
                <w:rStyle w:val="Hyperlink"/>
                <w:rFonts w:asciiTheme="minorEastAsia" w:eastAsiaTheme="minorEastAsia" w:hAnsiTheme="minorEastAsia" w:hint="eastAsia"/>
              </w:rPr>
              <w:t>三、</w:t>
            </w:r>
            <w:r>
              <w:rPr>
                <w:rFonts w:asciiTheme="minorEastAsia" w:eastAsiaTheme="minorEastAsia" w:hAnsiTheme="minorEastAsia" w:hint="eastAsia"/>
              </w:rPr>
              <w:t xml:space="preserve"> </w:t>
            </w:r>
            <w:r>
              <w:rPr>
                <w:rStyle w:val="Hyperlink"/>
                <w:rFonts w:asciiTheme="minorEastAsia" w:eastAsiaTheme="minorEastAsia" w:hAnsiTheme="minorEastAsia" w:hint="eastAsia"/>
              </w:rPr>
              <w:t>海澜之家可转债融资介绍</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_Toc70286168 \h </w:instrText>
            </w:r>
            <w:r>
              <w:rPr>
                <w:rFonts w:asciiTheme="minorEastAsia" w:eastAsiaTheme="minorEastAsia" w:hAnsiTheme="minorEastAsia"/>
              </w:rPr>
              <w:fldChar w:fldCharType="separate"/>
            </w:r>
            <w:r>
              <w:rPr>
                <w:rFonts w:asciiTheme="minorEastAsia" w:eastAsiaTheme="minorEastAsia" w:hAnsiTheme="minorEastAsia"/>
              </w:rPr>
              <w:t>7</w:t>
            </w:r>
            <w:r>
              <w:rPr>
                <w:rFonts w:asciiTheme="minorEastAsia" w:eastAsiaTheme="minorEastAsia" w:hAnsiTheme="minorEastAsia"/>
              </w:rPr>
              <w:fldChar w:fldCharType="end"/>
            </w:r>
          </w:hyperlink>
        </w:p>
        <w:p>
          <w:pPr>
            <w:pStyle w:val="TOC2"/>
            <w:tabs>
              <w:tab w:val="right" w:leader="dot" w:pos="8296"/>
            </w:tabs>
            <w:rPr>
              <w:rFonts w:asciiTheme="minorEastAsia" w:hAnsiTheme="minorEastAsia"/>
              <w:kern w:val="2"/>
              <w:sz w:val="24"/>
              <w:szCs w:val="24"/>
            </w:rPr>
          </w:pPr>
          <w:hyperlink w:anchor="_Toc70286169" w:history="1">
            <w:r>
              <w:rPr>
                <w:rStyle w:val="Hyperlink"/>
                <w:rFonts w:asciiTheme="minorEastAsia" w:hAnsiTheme="minorEastAsia" w:hint="eastAsia"/>
                <w:sz w:val="24"/>
                <w:szCs w:val="24"/>
              </w:rPr>
              <w:t>（一） 海澜之家可转债融资的背景</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_Toc70286169 \h </w:instrText>
            </w:r>
            <w:r>
              <w:rPr>
                <w:rFonts w:asciiTheme="minorEastAsia" w:hAnsiTheme="minorEastAsia"/>
                <w:sz w:val="24"/>
                <w:szCs w:val="24"/>
              </w:rPr>
              <w:fldChar w:fldCharType="separate"/>
            </w:r>
            <w:r>
              <w:rPr>
                <w:rFonts w:asciiTheme="minorEastAsia" w:hAnsiTheme="minorEastAsia"/>
                <w:sz w:val="24"/>
                <w:szCs w:val="24"/>
              </w:rPr>
              <w:t>7</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70" w:history="1">
            <w:r>
              <w:rPr>
                <w:rStyle w:val="Hyperlink"/>
                <w:rFonts w:asciiTheme="minorEastAsia" w:hAnsiTheme="minorEastAsia"/>
                <w:sz w:val="24"/>
                <w:szCs w:val="24"/>
              </w:rPr>
              <w:t>1.</w:t>
            </w:r>
            <w:r>
              <w:rPr>
                <w:rFonts w:asciiTheme="minorEastAsia" w:hAnsiTheme="minorEastAsia" w:hint="eastAsia"/>
                <w:kern w:val="2"/>
                <w:sz w:val="24"/>
                <w:szCs w:val="24"/>
              </w:rPr>
              <w:t xml:space="preserve"> </w:t>
            </w:r>
            <w:r>
              <w:rPr>
                <w:rStyle w:val="Hyperlink"/>
                <w:rFonts w:asciiTheme="minorEastAsia" w:hAnsiTheme="minorEastAsia" w:hint="eastAsia"/>
                <w:sz w:val="24"/>
                <w:szCs w:val="24"/>
              </w:rPr>
              <w:t>所处行业可转债融资概况</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_Toc70286170 \h </w:instrText>
            </w:r>
            <w:r>
              <w:rPr>
                <w:rFonts w:asciiTheme="minorEastAsia" w:hAnsiTheme="minorEastAsia"/>
                <w:sz w:val="24"/>
                <w:szCs w:val="24"/>
              </w:rPr>
              <w:fldChar w:fldCharType="separate"/>
            </w:r>
            <w:r>
              <w:rPr>
                <w:rFonts w:asciiTheme="minorEastAsia" w:hAnsiTheme="minorEastAsia"/>
                <w:sz w:val="24"/>
                <w:szCs w:val="24"/>
              </w:rPr>
              <w:t>7</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71" w:history="1">
            <w:r>
              <w:rPr>
                <w:rStyle w:val="Hyperlink"/>
                <w:rFonts w:asciiTheme="minorEastAsia" w:hAnsiTheme="minorEastAsia"/>
                <w:sz w:val="24"/>
                <w:szCs w:val="24"/>
              </w:rPr>
              <w:t>2.</w:t>
            </w:r>
            <w:r>
              <w:rPr>
                <w:rFonts w:asciiTheme="minorEastAsia" w:hAnsiTheme="minorEastAsia" w:hint="eastAsia"/>
                <w:kern w:val="2"/>
                <w:sz w:val="24"/>
                <w:szCs w:val="24"/>
              </w:rPr>
              <w:t xml:space="preserve"> </w:t>
            </w:r>
            <w:r>
              <w:rPr>
                <w:rStyle w:val="Hyperlink"/>
                <w:rFonts w:asciiTheme="minorEastAsia" w:hAnsiTheme="minorEastAsia" w:hint="eastAsia"/>
                <w:sz w:val="24"/>
                <w:szCs w:val="24"/>
              </w:rPr>
              <w:t>海澜之家简介</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_Toc70286171 \h </w:instrText>
            </w:r>
            <w:r>
              <w:rPr>
                <w:rFonts w:asciiTheme="minorEastAsia" w:hAnsiTheme="minorEastAsia"/>
                <w:sz w:val="24"/>
                <w:szCs w:val="24"/>
              </w:rPr>
              <w:fldChar w:fldCharType="separate"/>
            </w:r>
            <w:r>
              <w:rPr>
                <w:rFonts w:asciiTheme="minorEastAsia" w:hAnsiTheme="minorEastAsia"/>
                <w:sz w:val="24"/>
                <w:szCs w:val="24"/>
              </w:rPr>
              <w:t>7</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72" w:history="1">
            <w:r>
              <w:rPr>
                <w:rStyle w:val="Hyperlink"/>
                <w:rFonts w:asciiTheme="minorEastAsia" w:hAnsiTheme="minorEastAsia"/>
                <w:sz w:val="24"/>
                <w:szCs w:val="24"/>
              </w:rPr>
              <w:t>3.</w:t>
            </w:r>
            <w:r>
              <w:rPr>
                <w:rFonts w:asciiTheme="minorEastAsia" w:hAnsiTheme="minorEastAsia" w:hint="eastAsia"/>
                <w:kern w:val="2"/>
                <w:sz w:val="24"/>
                <w:szCs w:val="24"/>
              </w:rPr>
              <w:t xml:space="preserve"> </w:t>
            </w:r>
            <w:r>
              <w:rPr>
                <w:rStyle w:val="Hyperlink"/>
                <w:rFonts w:asciiTheme="minorEastAsia" w:hAnsiTheme="minorEastAsia" w:hint="eastAsia"/>
                <w:sz w:val="24"/>
                <w:szCs w:val="24"/>
              </w:rPr>
              <w:t>海澜之家的经营情况</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_Toc70286172 \h </w:instrText>
            </w:r>
            <w:r>
              <w:rPr>
                <w:rFonts w:asciiTheme="minorEastAsia" w:hAnsiTheme="minorEastAsia"/>
                <w:sz w:val="24"/>
                <w:szCs w:val="24"/>
              </w:rPr>
              <w:fldChar w:fldCharType="separate"/>
            </w:r>
            <w:r>
              <w:rPr>
                <w:rFonts w:asciiTheme="minorEastAsia" w:hAnsiTheme="minorEastAsia"/>
                <w:sz w:val="24"/>
                <w:szCs w:val="24"/>
              </w:rPr>
              <w:t>8</w:t>
            </w:r>
            <w:r>
              <w:rPr>
                <w:rFonts w:asciiTheme="minorEastAsia" w:hAnsiTheme="minorEastAsia"/>
                <w:sz w:val="24"/>
                <w:szCs w:val="24"/>
              </w:rPr>
              <w:fldChar w:fldCharType="end"/>
            </w:r>
          </w:hyperlink>
        </w:p>
        <w:p>
          <w:pPr>
            <w:pStyle w:val="TOC2"/>
            <w:tabs>
              <w:tab w:val="right" w:leader="dot" w:pos="8296"/>
            </w:tabs>
            <w:rPr>
              <w:rFonts w:asciiTheme="minorEastAsia" w:hAnsiTheme="minorEastAsia"/>
              <w:kern w:val="2"/>
              <w:sz w:val="24"/>
              <w:szCs w:val="24"/>
            </w:rPr>
          </w:pPr>
          <w:hyperlink w:anchor="_Toc70286173" w:history="1">
            <w:r>
              <w:rPr>
                <w:rStyle w:val="Hyperlink"/>
                <w:rFonts w:asciiTheme="minorEastAsia" w:hAnsiTheme="minorEastAsia" w:hint="eastAsia"/>
                <w:sz w:val="24"/>
                <w:szCs w:val="24"/>
              </w:rPr>
              <w:t>（二） 海澜之家可转债融资的方案</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_Toc70286173 \h </w:instrText>
            </w:r>
            <w:r>
              <w:rPr>
                <w:rFonts w:asciiTheme="minorEastAsia" w:hAnsiTheme="minorEastAsia"/>
                <w:sz w:val="24"/>
                <w:szCs w:val="24"/>
              </w:rPr>
              <w:fldChar w:fldCharType="separate"/>
            </w:r>
            <w:r>
              <w:rPr>
                <w:rFonts w:asciiTheme="minorEastAsia" w:hAnsiTheme="minorEastAsia"/>
                <w:sz w:val="24"/>
                <w:szCs w:val="24"/>
              </w:rPr>
              <w:t>8</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74" w:history="1">
            <w:r>
              <w:rPr>
                <w:rStyle w:val="Hyperlink"/>
                <w:rFonts w:asciiTheme="minorEastAsia" w:hAnsiTheme="minorEastAsia"/>
                <w:sz w:val="24"/>
                <w:szCs w:val="24"/>
              </w:rPr>
              <w:t>1.</w:t>
            </w:r>
            <w:r>
              <w:rPr>
                <w:rFonts w:asciiTheme="minorEastAsia" w:hAnsiTheme="minorEastAsia" w:hint="eastAsia"/>
                <w:kern w:val="2"/>
                <w:sz w:val="24"/>
                <w:szCs w:val="24"/>
              </w:rPr>
              <w:t xml:space="preserve"> </w:t>
            </w:r>
            <w:r>
              <w:rPr>
                <w:rStyle w:val="Hyperlink"/>
                <w:rFonts w:asciiTheme="minorEastAsia" w:hAnsiTheme="minorEastAsia" w:hint="eastAsia"/>
                <w:sz w:val="24"/>
                <w:szCs w:val="24"/>
              </w:rPr>
              <w:t>海澜之家发行可转债的规模</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_Toc70286174 \h </w:instrText>
            </w:r>
            <w:r>
              <w:rPr>
                <w:rFonts w:asciiTheme="minorEastAsia" w:hAnsiTheme="minorEastAsia"/>
                <w:sz w:val="24"/>
                <w:szCs w:val="24"/>
              </w:rPr>
              <w:fldChar w:fldCharType="separate"/>
            </w:r>
            <w:r>
              <w:rPr>
                <w:rFonts w:asciiTheme="minorEastAsia" w:hAnsiTheme="minorEastAsia"/>
                <w:sz w:val="24"/>
                <w:szCs w:val="24"/>
              </w:rPr>
              <w:t>8</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75" w:history="1">
            <w:r>
              <w:rPr>
                <w:rStyle w:val="Hyperlink"/>
                <w:rFonts w:asciiTheme="minorEastAsia" w:hAnsiTheme="minorEastAsia"/>
                <w:sz w:val="24"/>
                <w:szCs w:val="24"/>
              </w:rPr>
              <w:t>2.</w:t>
            </w:r>
            <w:r>
              <w:rPr>
                <w:rFonts w:hint="eastAsia"/>
                <w:kern w:val="2"/>
              </w:rPr>
              <w:t xml:space="preserve"> </w:t>
            </w:r>
            <w:r>
              <w:rPr>
                <w:rStyle w:val="Hyperlink"/>
                <w:rFonts w:asciiTheme="minorEastAsia" w:hAnsiTheme="minorEastAsia" w:hint="eastAsia"/>
                <w:sz w:val="24"/>
                <w:szCs w:val="24"/>
              </w:rPr>
              <w:t>海澜之家发行可转债募集资金的用途</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_Toc70286175 \h </w:instrText>
            </w:r>
            <w:r>
              <w:rPr>
                <w:rFonts w:asciiTheme="minorEastAsia" w:hAnsiTheme="minorEastAsia"/>
                <w:sz w:val="24"/>
                <w:szCs w:val="24"/>
              </w:rPr>
              <w:fldChar w:fldCharType="separate"/>
            </w:r>
            <w:r>
              <w:rPr>
                <w:rFonts w:asciiTheme="minorEastAsia" w:hAnsiTheme="minorEastAsia"/>
                <w:sz w:val="24"/>
                <w:szCs w:val="24"/>
              </w:rPr>
              <w:t>8</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sectPr>
              <w:pgSz w:w="11906" w:h="16838"/>
              <w:pgMar w:top="1440" w:right="1800" w:bottom="1440" w:left="1800" w:header="851" w:footer="992" w:gutter="0"/>
              <w:pgNumType w:start="1"/>
              <w:cols w:num="1" w:space="425"/>
              <w:docGrid w:type="lines" w:linePitch="326" w:charSpace="0"/>
            </w:sectPr>
          </w:pPr>
          <w:hyperlink w:anchor="_Toc70286176" w:history="1">
            <w:r>
              <w:rPr>
                <w:rStyle w:val="Hyperlink"/>
                <w:rFonts w:asciiTheme="minorEastAsia" w:hAnsiTheme="minorEastAsia"/>
                <w:sz w:val="24"/>
                <w:szCs w:val="24"/>
              </w:rPr>
              <w:t>3.</w:t>
            </w:r>
            <w:r>
              <w:rPr>
                <w:rFonts w:asciiTheme="minorEastAsia" w:hAnsiTheme="minorEastAsia" w:hint="eastAsia"/>
                <w:kern w:val="2"/>
                <w:sz w:val="24"/>
                <w:szCs w:val="24"/>
              </w:rPr>
              <w:t xml:space="preserve"> </w:t>
            </w:r>
            <w:r>
              <w:rPr>
                <w:rStyle w:val="Hyperlink"/>
                <w:rFonts w:asciiTheme="minorEastAsia" w:hAnsiTheme="minorEastAsia" w:hint="eastAsia"/>
                <w:sz w:val="24"/>
                <w:szCs w:val="24"/>
              </w:rPr>
              <w:t>海澜之家发行可转债的条款设计</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_Toc70286176 \h </w:instrText>
            </w:r>
            <w:r>
              <w:rPr>
                <w:rFonts w:asciiTheme="minorEastAsia" w:hAnsiTheme="minorEastAsia"/>
                <w:sz w:val="24"/>
                <w:szCs w:val="24"/>
              </w:rPr>
              <w:fldChar w:fldCharType="separate"/>
            </w:r>
            <w:r>
              <w:rPr>
                <w:rFonts w:asciiTheme="minorEastAsia" w:hAnsiTheme="minorEastAsia"/>
                <w:sz w:val="24"/>
                <w:szCs w:val="24"/>
              </w:rPr>
              <w:t>9</w:t>
            </w:r>
            <w:r>
              <w:rPr>
                <w:rFonts w:asciiTheme="minorEastAsia" w:hAnsiTheme="minorEastAsia"/>
                <w:sz w:val="24"/>
                <w:szCs w:val="24"/>
              </w:rPr>
              <w:fldChar w:fldCharType="end"/>
            </w:r>
          </w:hyperlink>
        </w:p>
      </w:sdtContent>
    </w:sdt>
    <w:sdt>
      <w:sdtPr>
        <w:rPr>
          <w:rFonts w:ascii="宋体" w:hAnsi="宋体"/>
          <w:sz w:val="21"/>
        </w:rPr>
        <w:id w:val="1687857100"/>
        <w:docPartObj>
          <w:docPartGallery w:val="Table of Contents"/>
          <w:docPartUnique/>
        </w:docPartObj>
      </w:sdtPr>
      <w:sdtEndPr>
        <w:rPr>
          <w:rFonts w:asciiTheme="minorEastAsia" w:eastAsiaTheme="minorEastAsia" w:hAnsiTheme="minorEastAsia" w:cs="宋体" w:hint="eastAsia"/>
          <w:sz w:val="24"/>
        </w:rPr>
      </w:sdtEndPr>
      <w:sdtContent>
        <w:p>
          <w:pPr>
            <w:pStyle w:val="TOC2"/>
            <w:tabs>
              <w:tab w:val="right" w:leader="dot" w:pos="8296"/>
            </w:tabs>
            <w:rPr>
              <w:rFonts w:asciiTheme="minorEastAsia" w:hAnsiTheme="minorEastAsia"/>
              <w:kern w:val="2"/>
              <w:sz w:val="24"/>
              <w:szCs w:val="24"/>
            </w:rPr>
          </w:pPr>
          <w:hyperlink w:anchor="_Toc70286177" w:history="1">
            <w:r>
              <w:rPr>
                <w:rStyle w:val="Hyperlink"/>
                <w:rFonts w:asciiTheme="minorEastAsia" w:hAnsiTheme="minorEastAsia" w:hint="eastAsia"/>
                <w:sz w:val="24"/>
                <w:szCs w:val="24"/>
              </w:rPr>
              <w:t>（三） 海澜之家可转债融资的动因</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_Toc70286177 \h </w:instrText>
            </w:r>
            <w:r>
              <w:rPr>
                <w:rFonts w:asciiTheme="minorEastAsia" w:hAnsiTheme="minorEastAsia"/>
                <w:sz w:val="24"/>
                <w:szCs w:val="24"/>
              </w:rPr>
              <w:fldChar w:fldCharType="separate"/>
            </w:r>
            <w:r>
              <w:rPr>
                <w:rFonts w:asciiTheme="minorEastAsia" w:hAnsiTheme="minorEastAsia"/>
                <w:sz w:val="24"/>
                <w:szCs w:val="24"/>
              </w:rPr>
              <w:t>10</w:t>
            </w:r>
            <w:r>
              <w:rPr>
                <w:rFonts w:asciiTheme="minorEastAsia" w:hAnsiTheme="minorEastAsia"/>
                <w:sz w:val="24"/>
                <w:szCs w:val="24"/>
              </w:rPr>
              <w:fldChar w:fldCharType="end"/>
            </w:r>
          </w:hyperlink>
        </w:p>
        <w:p>
          <w:pPr>
            <w:pStyle w:val="TOC2"/>
            <w:tabs>
              <w:tab w:val="right" w:leader="dot" w:pos="8296"/>
            </w:tabs>
            <w:rPr>
              <w:rFonts w:asciiTheme="minorEastAsia" w:hAnsiTheme="minorEastAsia"/>
              <w:kern w:val="2"/>
              <w:sz w:val="24"/>
              <w:szCs w:val="24"/>
            </w:rPr>
          </w:pPr>
          <w:hyperlink w:anchor="_Toc70286178" w:history="1">
            <w:r>
              <w:rPr>
                <w:rStyle w:val="Hyperlink"/>
                <w:rFonts w:asciiTheme="minorEastAsia" w:hAnsiTheme="minorEastAsia"/>
                <w:sz w:val="24"/>
                <w:szCs w:val="24"/>
              </w:rPr>
              <w:t>1.</w:t>
            </w:r>
            <w:r>
              <w:rPr>
                <w:rFonts w:asciiTheme="minorEastAsia" w:hAnsiTheme="minorEastAsia" w:hint="eastAsia"/>
                <w:kern w:val="2"/>
                <w:sz w:val="24"/>
                <w:szCs w:val="24"/>
              </w:rPr>
              <w:t xml:space="preserve"> </w:t>
            </w:r>
            <w:r>
              <w:rPr>
                <w:rStyle w:val="Hyperlink"/>
                <w:rFonts w:asciiTheme="minorEastAsia" w:hAnsiTheme="minorEastAsia" w:hint="eastAsia"/>
                <w:sz w:val="24"/>
                <w:szCs w:val="24"/>
              </w:rPr>
              <w:t>项目建设资金需求</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_Toc70286178 \h </w:instrText>
            </w:r>
            <w:r>
              <w:rPr>
                <w:rFonts w:asciiTheme="minorEastAsia" w:hAnsiTheme="minorEastAsia"/>
                <w:sz w:val="24"/>
                <w:szCs w:val="24"/>
              </w:rPr>
              <w:fldChar w:fldCharType="separate"/>
            </w:r>
            <w:r>
              <w:rPr>
                <w:rFonts w:asciiTheme="minorEastAsia" w:hAnsiTheme="minorEastAsia"/>
                <w:sz w:val="24"/>
                <w:szCs w:val="24"/>
              </w:rPr>
              <w:t>10</w:t>
            </w:r>
            <w:r>
              <w:rPr>
                <w:rFonts w:asciiTheme="minorEastAsia" w:hAnsiTheme="minorEastAsia"/>
                <w:sz w:val="24"/>
                <w:szCs w:val="24"/>
              </w:rPr>
              <w:fldChar w:fldCharType="end"/>
            </w:r>
          </w:hyperlink>
        </w:p>
        <w:p>
          <w:pPr>
            <w:pStyle w:val="TOC2"/>
            <w:tabs>
              <w:tab w:val="right" w:leader="dot" w:pos="8296"/>
            </w:tabs>
            <w:rPr>
              <w:rFonts w:asciiTheme="minorEastAsia" w:hAnsiTheme="minorEastAsia"/>
              <w:kern w:val="2"/>
              <w:sz w:val="24"/>
              <w:szCs w:val="24"/>
            </w:rPr>
          </w:pPr>
          <w:hyperlink w:anchor="_Toc70286179" w:history="1">
            <w:r>
              <w:rPr>
                <w:rStyle w:val="Hyperlink"/>
                <w:rFonts w:asciiTheme="minorEastAsia" w:hAnsiTheme="minorEastAsia"/>
                <w:sz w:val="24"/>
                <w:szCs w:val="24"/>
              </w:rPr>
              <w:t>2.</w:t>
            </w:r>
            <w:r>
              <w:rPr>
                <w:rFonts w:hint="eastAsia"/>
                <w:kern w:val="2"/>
              </w:rPr>
              <w:t xml:space="preserve"> </w:t>
            </w:r>
            <w:r>
              <w:rPr>
                <w:rStyle w:val="Hyperlink"/>
                <w:rFonts w:asciiTheme="minorEastAsia" w:hAnsiTheme="minorEastAsia" w:hint="eastAsia"/>
                <w:sz w:val="24"/>
                <w:szCs w:val="24"/>
              </w:rPr>
              <w:t>降低融资成本募集资金</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_Toc70286179 \h </w:instrText>
            </w:r>
            <w:r>
              <w:rPr>
                <w:rFonts w:asciiTheme="minorEastAsia" w:hAnsiTheme="minorEastAsia"/>
                <w:sz w:val="24"/>
                <w:szCs w:val="24"/>
              </w:rPr>
              <w:fldChar w:fldCharType="separate"/>
            </w:r>
            <w:r>
              <w:rPr>
                <w:rFonts w:asciiTheme="minorEastAsia" w:hAnsiTheme="minorEastAsia"/>
                <w:sz w:val="24"/>
                <w:szCs w:val="24"/>
              </w:rPr>
              <w:t>10</w:t>
            </w:r>
            <w:r>
              <w:rPr>
                <w:rFonts w:asciiTheme="minorEastAsia" w:hAnsiTheme="minorEastAsia"/>
                <w:sz w:val="24"/>
                <w:szCs w:val="24"/>
              </w:rPr>
              <w:fldChar w:fldCharType="end"/>
            </w:r>
          </w:hyperlink>
        </w:p>
        <w:p>
          <w:pPr>
            <w:pStyle w:val="TOC3"/>
            <w:tabs>
              <w:tab w:val="right" w:leader="dot" w:pos="8296"/>
            </w:tabs>
            <w:ind w:left="0" w:firstLine="220" w:firstLineChars="100"/>
            <w:rPr>
              <w:rFonts w:asciiTheme="minorEastAsia" w:hAnsiTheme="minorEastAsia"/>
              <w:kern w:val="2"/>
              <w:sz w:val="24"/>
              <w:szCs w:val="24"/>
            </w:rPr>
          </w:pPr>
          <w:hyperlink w:anchor="_Toc70286180" w:history="1">
            <w:r>
              <w:rPr>
                <w:rStyle w:val="Hyperlink"/>
                <w:rFonts w:asciiTheme="minorEastAsia" w:hAnsiTheme="minorEastAsia"/>
                <w:sz w:val="24"/>
                <w:szCs w:val="24"/>
              </w:rPr>
              <w:t>3.</w:t>
            </w:r>
            <w:r>
              <w:rPr>
                <w:rFonts w:asciiTheme="minorEastAsia" w:hAnsiTheme="minorEastAsia" w:hint="eastAsia"/>
                <w:kern w:val="2"/>
                <w:sz w:val="24"/>
                <w:szCs w:val="24"/>
              </w:rPr>
              <w:t xml:space="preserve"> </w:t>
            </w:r>
            <w:r>
              <w:rPr>
                <w:rStyle w:val="Hyperlink"/>
                <w:rFonts w:asciiTheme="minorEastAsia" w:hAnsiTheme="minorEastAsia" w:hint="eastAsia"/>
                <w:sz w:val="24"/>
                <w:szCs w:val="24"/>
              </w:rPr>
              <w:t>优化企业资本结构</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_Toc70286180 \h </w:instrText>
            </w:r>
            <w:r>
              <w:rPr>
                <w:rFonts w:asciiTheme="minorEastAsia" w:hAnsiTheme="minorEastAsia"/>
                <w:sz w:val="24"/>
                <w:szCs w:val="24"/>
              </w:rPr>
              <w:fldChar w:fldCharType="separate"/>
            </w:r>
            <w:r>
              <w:rPr>
                <w:rFonts w:asciiTheme="minorEastAsia" w:hAnsiTheme="minorEastAsia"/>
                <w:sz w:val="24"/>
                <w:szCs w:val="24"/>
              </w:rPr>
              <w:t>10</w:t>
            </w:r>
            <w:r>
              <w:rPr>
                <w:rFonts w:asciiTheme="minorEastAsia" w:hAnsiTheme="minorEastAsia"/>
                <w:sz w:val="24"/>
                <w:szCs w:val="24"/>
              </w:rPr>
              <w:fldChar w:fldCharType="end"/>
            </w:r>
          </w:hyperlink>
        </w:p>
        <w:p>
          <w:pPr>
            <w:pStyle w:val="TOC1"/>
            <w:tabs>
              <w:tab w:val="right" w:leader="dot" w:pos="8296"/>
            </w:tabs>
            <w:rPr>
              <w:rFonts w:asciiTheme="minorEastAsia" w:eastAsiaTheme="minorEastAsia" w:hAnsiTheme="minorEastAsia"/>
            </w:rPr>
          </w:pPr>
          <w:hyperlink w:anchor="_Toc70286181" w:history="1">
            <w:r>
              <w:rPr>
                <w:rStyle w:val="Hyperlink"/>
                <w:rFonts w:asciiTheme="minorEastAsia" w:eastAsiaTheme="minorEastAsia" w:hAnsiTheme="minorEastAsia" w:hint="eastAsia"/>
              </w:rPr>
              <w:t>四、</w:t>
            </w:r>
            <w:r>
              <w:rPr>
                <w:rFonts w:asciiTheme="minorEastAsia" w:eastAsiaTheme="minorEastAsia" w:hAnsiTheme="minorEastAsia" w:hint="eastAsia"/>
              </w:rPr>
              <w:t xml:space="preserve"> </w:t>
            </w:r>
            <w:r>
              <w:rPr>
                <w:rStyle w:val="Hyperlink"/>
                <w:rFonts w:asciiTheme="minorEastAsia" w:eastAsiaTheme="minorEastAsia" w:hAnsiTheme="minorEastAsia" w:hint="eastAsia"/>
              </w:rPr>
              <w:t>海澜之家可转债融资的财务效应分析</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_Toc70286181 \h </w:instrText>
            </w:r>
            <w:r>
              <w:rPr>
                <w:rFonts w:asciiTheme="minorEastAsia" w:eastAsiaTheme="minorEastAsia" w:hAnsiTheme="minorEastAsia"/>
              </w:rPr>
              <w:fldChar w:fldCharType="separate"/>
            </w:r>
            <w:r>
              <w:rPr>
                <w:rFonts w:asciiTheme="minorEastAsia" w:eastAsiaTheme="minorEastAsia" w:hAnsiTheme="minorEastAsia"/>
              </w:rPr>
              <w:t>11</w:t>
            </w:r>
            <w:r>
              <w:rPr>
                <w:rFonts w:asciiTheme="minorEastAsia" w:eastAsiaTheme="minorEastAsia" w:hAnsiTheme="minorEastAsia"/>
              </w:rPr>
              <w:fldChar w:fldCharType="end"/>
            </w:r>
          </w:hyperlink>
        </w:p>
        <w:p>
          <w:pPr>
            <w:pStyle w:val="TOC2"/>
            <w:tabs>
              <w:tab w:val="right" w:leader="dot" w:pos="8296"/>
            </w:tabs>
            <w:rPr>
              <w:rFonts w:asciiTheme="minorEastAsia" w:hAnsiTheme="minorEastAsia"/>
              <w:kern w:val="2"/>
              <w:sz w:val="24"/>
              <w:szCs w:val="24"/>
            </w:rPr>
          </w:pPr>
          <w:hyperlink w:anchor="_Toc70286182" w:history="1">
            <w:r>
              <w:rPr>
                <w:rStyle w:val="Hyperlink"/>
                <w:rFonts w:asciiTheme="minorEastAsia" w:hAnsiTheme="minorEastAsia" w:hint="eastAsia"/>
                <w:sz w:val="24"/>
                <w:szCs w:val="24"/>
              </w:rPr>
              <w:t>（一） 市场反应分析</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_Toc70286182 \h </w:instrText>
            </w:r>
            <w:r>
              <w:rPr>
                <w:rFonts w:asciiTheme="minorEastAsia" w:hAnsiTheme="minorEastAsia"/>
                <w:sz w:val="24"/>
                <w:szCs w:val="24"/>
              </w:rPr>
              <w:fldChar w:fldCharType="separate"/>
            </w:r>
            <w:r>
              <w:rPr>
                <w:rFonts w:asciiTheme="minorEastAsia" w:hAnsiTheme="minorEastAsia"/>
                <w:sz w:val="24"/>
                <w:szCs w:val="24"/>
              </w:rPr>
              <w:t>11</w:t>
            </w:r>
            <w:r>
              <w:rPr>
                <w:rFonts w:asciiTheme="minorEastAsia" w:hAnsiTheme="minorEastAsia"/>
                <w:sz w:val="24"/>
                <w:szCs w:val="24"/>
              </w:rPr>
              <w:fldChar w:fldCharType="end"/>
            </w:r>
          </w:hyperlink>
        </w:p>
        <w:p>
          <w:pPr>
            <w:pStyle w:val="TOC2"/>
            <w:tabs>
              <w:tab w:val="right" w:leader="dot" w:pos="8296"/>
            </w:tabs>
            <w:rPr>
              <w:rFonts w:asciiTheme="minorEastAsia" w:hAnsiTheme="minorEastAsia"/>
              <w:kern w:val="2"/>
              <w:sz w:val="24"/>
              <w:szCs w:val="24"/>
            </w:rPr>
          </w:pPr>
          <w:hyperlink w:anchor="_Toc70286184" w:history="1">
            <w:r>
              <w:rPr>
                <w:rStyle w:val="Hyperlink"/>
                <w:rFonts w:asciiTheme="minorEastAsia" w:hAnsiTheme="minorEastAsia" w:hint="eastAsia"/>
                <w:sz w:val="24"/>
                <w:szCs w:val="24"/>
              </w:rPr>
              <w:t>（二） 财务指标对比分析</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_Toc70286184 \h </w:instrText>
            </w:r>
            <w:r>
              <w:rPr>
                <w:rFonts w:asciiTheme="minorEastAsia" w:hAnsiTheme="minorEastAsia"/>
                <w:sz w:val="24"/>
                <w:szCs w:val="24"/>
              </w:rPr>
              <w:fldChar w:fldCharType="separate"/>
            </w:r>
            <w:r>
              <w:rPr>
                <w:rFonts w:asciiTheme="minorEastAsia" w:hAnsiTheme="minorEastAsia"/>
                <w:sz w:val="24"/>
                <w:szCs w:val="24"/>
              </w:rPr>
              <w:t>12</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85" w:history="1">
            <w:r>
              <w:rPr>
                <w:rStyle w:val="Hyperlink"/>
                <w:rFonts w:asciiTheme="minorEastAsia" w:hAnsiTheme="minorEastAsia"/>
                <w:sz w:val="24"/>
                <w:szCs w:val="24"/>
              </w:rPr>
              <w:t>1.</w:t>
            </w:r>
            <w:r>
              <w:rPr>
                <w:rFonts w:asciiTheme="minorEastAsia" w:hAnsiTheme="minorEastAsia" w:hint="eastAsia"/>
                <w:kern w:val="2"/>
                <w:sz w:val="24"/>
                <w:szCs w:val="24"/>
              </w:rPr>
              <w:t xml:space="preserve"> </w:t>
            </w:r>
            <w:r>
              <w:rPr>
                <w:rStyle w:val="Hyperlink"/>
                <w:rFonts w:asciiTheme="minorEastAsia" w:hAnsiTheme="minorEastAsia" w:hint="eastAsia"/>
                <w:sz w:val="24"/>
                <w:szCs w:val="24"/>
              </w:rPr>
              <w:t>资本结构方面</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_Toc70286185 \h </w:instrText>
            </w:r>
            <w:r>
              <w:rPr>
                <w:rFonts w:asciiTheme="minorEastAsia" w:hAnsiTheme="minorEastAsia"/>
                <w:sz w:val="24"/>
                <w:szCs w:val="24"/>
              </w:rPr>
              <w:fldChar w:fldCharType="separate"/>
            </w:r>
            <w:r>
              <w:rPr>
                <w:rFonts w:asciiTheme="minorEastAsia" w:hAnsiTheme="minorEastAsia"/>
                <w:sz w:val="24"/>
                <w:szCs w:val="24"/>
              </w:rPr>
              <w:t>12</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86" w:history="1">
            <w:r>
              <w:rPr>
                <w:rStyle w:val="Hyperlink"/>
                <w:rFonts w:asciiTheme="minorEastAsia" w:hAnsiTheme="minorEastAsia"/>
                <w:sz w:val="24"/>
                <w:szCs w:val="24"/>
              </w:rPr>
              <w:t>2.</w:t>
            </w:r>
            <w:r>
              <w:rPr>
                <w:rFonts w:asciiTheme="minorEastAsia" w:hAnsiTheme="minorEastAsia" w:hint="eastAsia"/>
                <w:kern w:val="2"/>
                <w:sz w:val="24"/>
                <w:szCs w:val="24"/>
              </w:rPr>
              <w:t xml:space="preserve"> </w:t>
            </w:r>
            <w:r>
              <w:rPr>
                <w:rStyle w:val="Hyperlink"/>
                <w:rFonts w:asciiTheme="minorEastAsia" w:hAnsiTheme="minorEastAsia" w:hint="eastAsia"/>
                <w:sz w:val="24"/>
                <w:szCs w:val="24"/>
              </w:rPr>
              <w:t>偿债能力方面</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_Toc70286186 \h </w:instrText>
            </w:r>
            <w:r>
              <w:rPr>
                <w:rFonts w:asciiTheme="minorEastAsia" w:hAnsiTheme="minorEastAsia"/>
                <w:sz w:val="24"/>
                <w:szCs w:val="24"/>
              </w:rPr>
              <w:fldChar w:fldCharType="separate"/>
            </w:r>
            <w:r>
              <w:rPr>
                <w:rFonts w:asciiTheme="minorEastAsia" w:hAnsiTheme="minorEastAsia"/>
                <w:sz w:val="24"/>
                <w:szCs w:val="24"/>
              </w:rPr>
              <w:t>13</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87" w:history="1">
            <w:r>
              <w:rPr>
                <w:rStyle w:val="Hyperlink"/>
                <w:rFonts w:asciiTheme="minorEastAsia" w:hAnsiTheme="minorEastAsia"/>
                <w:sz w:val="24"/>
                <w:szCs w:val="24"/>
              </w:rPr>
              <w:t>3.</w:t>
            </w:r>
            <w:r>
              <w:rPr>
                <w:rFonts w:asciiTheme="minorEastAsia" w:hAnsiTheme="minorEastAsia" w:hint="eastAsia"/>
                <w:kern w:val="2"/>
                <w:sz w:val="24"/>
                <w:szCs w:val="24"/>
              </w:rPr>
              <w:t xml:space="preserve"> </w:t>
            </w:r>
            <w:r>
              <w:rPr>
                <w:rStyle w:val="Hyperlink"/>
                <w:rFonts w:asciiTheme="minorEastAsia" w:hAnsiTheme="minorEastAsia" w:hint="eastAsia"/>
                <w:sz w:val="24"/>
                <w:szCs w:val="24"/>
              </w:rPr>
              <w:t>盈利能力方面</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_Toc70286187 \h </w:instrText>
            </w:r>
            <w:r>
              <w:rPr>
                <w:rFonts w:asciiTheme="minorEastAsia" w:hAnsiTheme="minorEastAsia"/>
                <w:sz w:val="24"/>
                <w:szCs w:val="24"/>
              </w:rPr>
              <w:fldChar w:fldCharType="separate"/>
            </w:r>
            <w:r>
              <w:rPr>
                <w:rFonts w:asciiTheme="minorEastAsia" w:hAnsiTheme="minorEastAsia"/>
                <w:sz w:val="24"/>
                <w:szCs w:val="24"/>
              </w:rPr>
              <w:t>14</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88" w:history="1">
            <w:r>
              <w:rPr>
                <w:rStyle w:val="Hyperlink"/>
                <w:rFonts w:asciiTheme="minorEastAsia" w:hAnsiTheme="minorEastAsia"/>
                <w:sz w:val="24"/>
                <w:szCs w:val="24"/>
              </w:rPr>
              <w:t>4.</w:t>
            </w:r>
            <w:r>
              <w:rPr>
                <w:rStyle w:val="Hyperlink"/>
                <w:rFonts w:asciiTheme="minorEastAsia" w:hAnsiTheme="minorEastAsia" w:hint="eastAsia"/>
                <w:sz w:val="24"/>
                <w:szCs w:val="24"/>
              </w:rPr>
              <w:t xml:space="preserve"> 发展能力方面</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_Toc70286188 \h </w:instrText>
            </w:r>
            <w:r>
              <w:rPr>
                <w:rFonts w:asciiTheme="minorEastAsia" w:hAnsiTheme="minorEastAsia"/>
                <w:sz w:val="24"/>
                <w:szCs w:val="24"/>
              </w:rPr>
              <w:fldChar w:fldCharType="separate"/>
            </w:r>
            <w:r>
              <w:rPr>
                <w:rFonts w:asciiTheme="minorEastAsia" w:hAnsiTheme="minorEastAsia"/>
                <w:sz w:val="24"/>
                <w:szCs w:val="24"/>
              </w:rPr>
              <w:t>16</w:t>
            </w:r>
            <w:r>
              <w:rPr>
                <w:rFonts w:asciiTheme="minorEastAsia" w:hAnsiTheme="minorEastAsia"/>
                <w:sz w:val="24"/>
                <w:szCs w:val="24"/>
              </w:rPr>
              <w:fldChar w:fldCharType="end"/>
            </w:r>
          </w:hyperlink>
        </w:p>
        <w:p>
          <w:pPr>
            <w:pStyle w:val="TOC2"/>
            <w:tabs>
              <w:tab w:val="right" w:leader="dot" w:pos="8296"/>
            </w:tabs>
            <w:rPr>
              <w:rFonts w:asciiTheme="minorEastAsia" w:hAnsiTheme="minorEastAsia"/>
              <w:kern w:val="2"/>
              <w:sz w:val="24"/>
              <w:szCs w:val="24"/>
            </w:rPr>
          </w:pPr>
          <w:hyperlink w:anchor="_Toc70286189" w:history="1">
            <w:r>
              <w:rPr>
                <w:rStyle w:val="Hyperlink"/>
                <w:rFonts w:asciiTheme="minorEastAsia" w:hAnsiTheme="minorEastAsia" w:hint="eastAsia"/>
                <w:sz w:val="24"/>
                <w:szCs w:val="24"/>
              </w:rPr>
              <w:t>（三） 股权结构分析</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_Toc70286189 \h </w:instrText>
            </w:r>
            <w:r>
              <w:rPr>
                <w:rFonts w:asciiTheme="minorEastAsia" w:hAnsiTheme="minorEastAsia"/>
                <w:sz w:val="24"/>
                <w:szCs w:val="24"/>
              </w:rPr>
              <w:fldChar w:fldCharType="separate"/>
            </w:r>
            <w:r>
              <w:rPr>
                <w:rFonts w:asciiTheme="minorEastAsia" w:hAnsiTheme="minorEastAsia"/>
                <w:sz w:val="24"/>
                <w:szCs w:val="24"/>
              </w:rPr>
              <w:t>17</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90" w:history="1">
            <w:r>
              <w:rPr>
                <w:rStyle w:val="Hyperlink"/>
                <w:rFonts w:asciiTheme="minorEastAsia" w:hAnsiTheme="minorEastAsia"/>
                <w:sz w:val="24"/>
                <w:szCs w:val="24"/>
              </w:rPr>
              <w:t>1.</w:t>
            </w:r>
            <w:r>
              <w:rPr>
                <w:rFonts w:asciiTheme="minorEastAsia" w:hAnsiTheme="minorEastAsia" w:hint="eastAsia"/>
                <w:kern w:val="2"/>
                <w:sz w:val="24"/>
                <w:szCs w:val="24"/>
              </w:rPr>
              <w:t xml:space="preserve"> </w:t>
            </w:r>
            <w:r>
              <w:rPr>
                <w:rStyle w:val="Hyperlink"/>
                <w:rFonts w:asciiTheme="minorEastAsia" w:hAnsiTheme="minorEastAsia" w:hint="eastAsia"/>
                <w:sz w:val="24"/>
                <w:szCs w:val="24"/>
              </w:rPr>
              <w:t>转股情况分析</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_Toc70286190 \h </w:instrText>
            </w:r>
            <w:r>
              <w:rPr>
                <w:rFonts w:asciiTheme="minorEastAsia" w:hAnsiTheme="minorEastAsia"/>
                <w:sz w:val="24"/>
                <w:szCs w:val="24"/>
              </w:rPr>
              <w:fldChar w:fldCharType="separate"/>
            </w:r>
            <w:r>
              <w:rPr>
                <w:rFonts w:asciiTheme="minorEastAsia" w:hAnsiTheme="minorEastAsia"/>
                <w:sz w:val="24"/>
                <w:szCs w:val="24"/>
              </w:rPr>
              <w:t>17</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91" w:history="1">
            <w:r>
              <w:rPr>
                <w:rStyle w:val="Hyperlink"/>
                <w:rFonts w:asciiTheme="minorEastAsia" w:hAnsiTheme="minorEastAsia"/>
                <w:sz w:val="24"/>
                <w:szCs w:val="24"/>
              </w:rPr>
              <w:t>2.</w:t>
            </w:r>
            <w:r>
              <w:rPr>
                <w:rFonts w:hint="eastAsia"/>
                <w:kern w:val="2"/>
              </w:rPr>
              <w:t xml:space="preserve"> </w:t>
            </w:r>
            <w:r>
              <w:rPr>
                <w:rStyle w:val="Hyperlink"/>
                <w:rFonts w:asciiTheme="minorEastAsia" w:hAnsiTheme="minorEastAsia" w:hint="eastAsia"/>
                <w:sz w:val="24"/>
                <w:szCs w:val="24"/>
              </w:rPr>
              <w:t>公司股本变动情况分析</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_Toc70286191 \h </w:instrText>
            </w:r>
            <w:r>
              <w:rPr>
                <w:rFonts w:asciiTheme="minorEastAsia" w:hAnsiTheme="minorEastAsia"/>
                <w:sz w:val="24"/>
                <w:szCs w:val="24"/>
              </w:rPr>
              <w:fldChar w:fldCharType="separate"/>
            </w:r>
            <w:r>
              <w:rPr>
                <w:rFonts w:asciiTheme="minorEastAsia" w:hAnsiTheme="minorEastAsia"/>
                <w:sz w:val="24"/>
                <w:szCs w:val="24"/>
              </w:rPr>
              <w:t>18</w:t>
            </w:r>
            <w:r>
              <w:rPr>
                <w:rFonts w:asciiTheme="minorEastAsia" w:hAnsiTheme="minorEastAsia"/>
                <w:sz w:val="24"/>
                <w:szCs w:val="24"/>
              </w:rPr>
              <w:fldChar w:fldCharType="end"/>
            </w:r>
          </w:hyperlink>
        </w:p>
        <w:p>
          <w:pPr>
            <w:pStyle w:val="TOC1"/>
            <w:tabs>
              <w:tab w:val="right" w:leader="dot" w:pos="8296"/>
            </w:tabs>
            <w:rPr>
              <w:rFonts w:asciiTheme="minorEastAsia" w:eastAsiaTheme="minorEastAsia" w:hAnsiTheme="minorEastAsia"/>
            </w:rPr>
          </w:pPr>
          <w:hyperlink w:anchor="_Toc70286192" w:history="1">
            <w:r>
              <w:rPr>
                <w:rStyle w:val="Hyperlink"/>
                <w:rFonts w:asciiTheme="minorEastAsia" w:eastAsiaTheme="minorEastAsia" w:hAnsiTheme="minorEastAsia" w:hint="eastAsia"/>
              </w:rPr>
              <w:t>五、</w:t>
            </w:r>
            <w:r>
              <w:rPr>
                <w:rFonts w:asciiTheme="minorEastAsia" w:eastAsiaTheme="minorEastAsia" w:hAnsiTheme="minorEastAsia" w:hint="eastAsia"/>
              </w:rPr>
              <w:t xml:space="preserve"> </w:t>
            </w:r>
            <w:r>
              <w:rPr>
                <w:rStyle w:val="Hyperlink"/>
                <w:rFonts w:asciiTheme="minorEastAsia" w:eastAsiaTheme="minorEastAsia" w:hAnsiTheme="minorEastAsia" w:hint="eastAsia"/>
              </w:rPr>
              <w:t>海澜之家可转债融资的总结和启示</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_Toc70286192 \h </w:instrText>
            </w:r>
            <w:r>
              <w:rPr>
                <w:rFonts w:asciiTheme="minorEastAsia" w:eastAsiaTheme="minorEastAsia" w:hAnsiTheme="minorEastAsia"/>
              </w:rPr>
              <w:fldChar w:fldCharType="separate"/>
            </w:r>
            <w:r>
              <w:rPr>
                <w:rFonts w:asciiTheme="minorEastAsia" w:eastAsiaTheme="minorEastAsia" w:hAnsiTheme="minorEastAsia"/>
              </w:rPr>
              <w:t>18</w:t>
            </w:r>
            <w:r>
              <w:rPr>
                <w:rFonts w:asciiTheme="minorEastAsia" w:eastAsiaTheme="minorEastAsia" w:hAnsiTheme="minorEastAsia"/>
              </w:rPr>
              <w:fldChar w:fldCharType="end"/>
            </w:r>
          </w:hyperlink>
        </w:p>
        <w:p>
          <w:pPr>
            <w:pStyle w:val="TOC2"/>
            <w:tabs>
              <w:tab w:val="right" w:leader="dot" w:pos="8296"/>
            </w:tabs>
            <w:rPr>
              <w:rFonts w:asciiTheme="minorEastAsia" w:hAnsiTheme="minorEastAsia"/>
              <w:kern w:val="2"/>
              <w:sz w:val="24"/>
              <w:szCs w:val="24"/>
            </w:rPr>
          </w:pPr>
          <w:hyperlink w:anchor="_Toc70286193" w:history="1">
            <w:r>
              <w:rPr>
                <w:rStyle w:val="Hyperlink"/>
                <w:rFonts w:asciiTheme="minorEastAsia" w:hAnsiTheme="minorEastAsia" w:hint="eastAsia"/>
                <w:sz w:val="24"/>
                <w:szCs w:val="24"/>
              </w:rPr>
              <w:t>（一） 海澜之家可转债融资的财务效应总结</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_Toc70286193 \h </w:instrText>
            </w:r>
            <w:r>
              <w:rPr>
                <w:rFonts w:asciiTheme="minorEastAsia" w:hAnsiTheme="minorEastAsia"/>
                <w:sz w:val="24"/>
                <w:szCs w:val="24"/>
              </w:rPr>
              <w:fldChar w:fldCharType="separate"/>
            </w:r>
            <w:r>
              <w:rPr>
                <w:rFonts w:asciiTheme="minorEastAsia" w:hAnsiTheme="minorEastAsia"/>
                <w:sz w:val="24"/>
                <w:szCs w:val="24"/>
              </w:rPr>
              <w:t>18</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94" w:history="1">
            <w:r>
              <w:rPr>
                <w:rStyle w:val="Hyperlink"/>
                <w:rFonts w:asciiTheme="minorEastAsia" w:hAnsiTheme="minorEastAsia"/>
                <w:sz w:val="24"/>
                <w:szCs w:val="24"/>
              </w:rPr>
              <w:t>1.</w:t>
            </w:r>
            <w:r>
              <w:rPr>
                <w:rStyle w:val="Hyperlink"/>
                <w:rFonts w:asciiTheme="minorEastAsia" w:hAnsiTheme="minorEastAsia" w:hint="eastAsia"/>
                <w:sz w:val="24"/>
                <w:szCs w:val="24"/>
              </w:rPr>
              <w:t xml:space="preserve"> 资本结构得到改善，短期偿债能力得到提升</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_Toc70286194 \h </w:instrText>
            </w:r>
            <w:r>
              <w:rPr>
                <w:rFonts w:asciiTheme="minorEastAsia" w:hAnsiTheme="minorEastAsia"/>
                <w:sz w:val="24"/>
                <w:szCs w:val="24"/>
              </w:rPr>
              <w:fldChar w:fldCharType="separate"/>
            </w:r>
            <w:r>
              <w:rPr>
                <w:rFonts w:asciiTheme="minorEastAsia" w:hAnsiTheme="minorEastAsia"/>
                <w:sz w:val="24"/>
                <w:szCs w:val="24"/>
              </w:rPr>
              <w:t>18</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95" w:history="1">
            <w:r>
              <w:rPr>
                <w:rStyle w:val="Hyperlink"/>
                <w:rFonts w:asciiTheme="minorEastAsia" w:hAnsiTheme="minorEastAsia"/>
                <w:sz w:val="24"/>
                <w:szCs w:val="24"/>
              </w:rPr>
              <w:t>2.</w:t>
            </w:r>
            <w:r>
              <w:rPr>
                <w:rStyle w:val="Hyperlink"/>
                <w:rFonts w:asciiTheme="minorEastAsia" w:hAnsiTheme="minorEastAsia" w:hint="eastAsia"/>
                <w:sz w:val="24"/>
                <w:szCs w:val="24"/>
              </w:rPr>
              <w:t xml:space="preserve"> 短期市场反应不明显，盈利能力出现下滑趋势</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_Toc70286195 \h </w:instrText>
            </w:r>
            <w:r>
              <w:rPr>
                <w:rFonts w:asciiTheme="minorEastAsia" w:hAnsiTheme="minorEastAsia"/>
                <w:sz w:val="24"/>
                <w:szCs w:val="24"/>
              </w:rPr>
              <w:fldChar w:fldCharType="separate"/>
            </w:r>
            <w:r>
              <w:rPr>
                <w:rFonts w:asciiTheme="minorEastAsia" w:hAnsiTheme="minorEastAsia"/>
                <w:sz w:val="24"/>
                <w:szCs w:val="24"/>
              </w:rPr>
              <w:t>18</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96" w:history="1">
            <w:r>
              <w:rPr>
                <w:rStyle w:val="Hyperlink"/>
                <w:rFonts w:asciiTheme="minorEastAsia" w:hAnsiTheme="minorEastAsia"/>
                <w:sz w:val="24"/>
                <w:szCs w:val="24"/>
              </w:rPr>
              <w:t>3.</w:t>
            </w:r>
            <w:r>
              <w:rPr>
                <w:rStyle w:val="Hyperlink"/>
                <w:rFonts w:asciiTheme="minorEastAsia" w:hAnsiTheme="minorEastAsia" w:hint="eastAsia"/>
                <w:sz w:val="24"/>
                <w:szCs w:val="24"/>
              </w:rPr>
              <w:t xml:space="preserve"> 对企业自身发展能力影响不显著</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_Toc70286196 \h </w:instrText>
            </w:r>
            <w:r>
              <w:rPr>
                <w:rFonts w:asciiTheme="minorEastAsia" w:hAnsiTheme="minorEastAsia"/>
                <w:sz w:val="24"/>
                <w:szCs w:val="24"/>
              </w:rPr>
              <w:fldChar w:fldCharType="separate"/>
            </w:r>
            <w:r>
              <w:rPr>
                <w:rFonts w:asciiTheme="minorEastAsia" w:hAnsiTheme="minorEastAsia"/>
                <w:sz w:val="24"/>
                <w:szCs w:val="24"/>
              </w:rPr>
              <w:t>19</w:t>
            </w:r>
            <w:r>
              <w:rPr>
                <w:rFonts w:asciiTheme="minorEastAsia" w:hAnsiTheme="minorEastAsia"/>
                <w:sz w:val="24"/>
                <w:szCs w:val="24"/>
              </w:rPr>
              <w:fldChar w:fldCharType="end"/>
            </w:r>
          </w:hyperlink>
        </w:p>
        <w:p>
          <w:pPr>
            <w:pStyle w:val="TOC2"/>
            <w:tabs>
              <w:tab w:val="right" w:leader="dot" w:pos="8296"/>
            </w:tabs>
            <w:rPr>
              <w:rFonts w:asciiTheme="minorEastAsia" w:hAnsiTheme="minorEastAsia"/>
              <w:kern w:val="2"/>
              <w:sz w:val="24"/>
              <w:szCs w:val="24"/>
            </w:rPr>
          </w:pPr>
          <w:hyperlink w:anchor="_Toc70286197" w:history="1">
            <w:r>
              <w:rPr>
                <w:rStyle w:val="Hyperlink"/>
                <w:rFonts w:asciiTheme="minorEastAsia" w:hAnsiTheme="minorEastAsia" w:hint="eastAsia"/>
                <w:sz w:val="24"/>
                <w:szCs w:val="24"/>
              </w:rPr>
              <w:t>（二） 海澜之家可转债融资效果未达预期原因总结</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_Toc70286197 \h </w:instrText>
            </w:r>
            <w:r>
              <w:rPr>
                <w:rFonts w:asciiTheme="minorEastAsia" w:hAnsiTheme="minorEastAsia"/>
                <w:sz w:val="24"/>
                <w:szCs w:val="24"/>
              </w:rPr>
              <w:fldChar w:fldCharType="separate"/>
            </w:r>
            <w:r>
              <w:rPr>
                <w:rFonts w:asciiTheme="minorEastAsia" w:hAnsiTheme="minorEastAsia"/>
                <w:sz w:val="24"/>
                <w:szCs w:val="24"/>
              </w:rPr>
              <w:t>19</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98" w:history="1">
            <w:r>
              <w:rPr>
                <w:rStyle w:val="Hyperlink"/>
                <w:rFonts w:asciiTheme="minorEastAsia" w:hAnsiTheme="minorEastAsia"/>
                <w:sz w:val="24"/>
                <w:szCs w:val="24"/>
              </w:rPr>
              <w:t>1.</w:t>
            </w:r>
            <w:r>
              <w:rPr>
                <w:rFonts w:asciiTheme="minorEastAsia" w:hAnsiTheme="minorEastAsia" w:hint="eastAsia"/>
                <w:kern w:val="2"/>
                <w:sz w:val="24"/>
                <w:szCs w:val="24"/>
              </w:rPr>
              <w:t xml:space="preserve"> </w:t>
            </w:r>
            <w:r>
              <w:rPr>
                <w:rStyle w:val="Hyperlink"/>
                <w:rFonts w:asciiTheme="minorEastAsia" w:hAnsiTheme="minorEastAsia" w:hint="eastAsia"/>
                <w:sz w:val="24"/>
                <w:szCs w:val="24"/>
              </w:rPr>
              <w:t>可转债发行时机选择不当</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_Toc70286198 \h </w:instrText>
            </w:r>
            <w:r>
              <w:rPr>
                <w:rFonts w:asciiTheme="minorEastAsia" w:hAnsiTheme="minorEastAsia"/>
                <w:sz w:val="24"/>
                <w:szCs w:val="24"/>
              </w:rPr>
              <w:fldChar w:fldCharType="separate"/>
            </w:r>
            <w:r>
              <w:rPr>
                <w:rFonts w:asciiTheme="minorEastAsia" w:hAnsiTheme="minorEastAsia"/>
                <w:sz w:val="24"/>
                <w:szCs w:val="24"/>
              </w:rPr>
              <w:t>19</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199" w:history="1">
            <w:r>
              <w:rPr>
                <w:rStyle w:val="Hyperlink"/>
                <w:rFonts w:asciiTheme="minorEastAsia" w:hAnsiTheme="minorEastAsia"/>
                <w:sz w:val="24"/>
                <w:szCs w:val="24"/>
              </w:rPr>
              <w:t>2.</w:t>
            </w:r>
            <w:r>
              <w:rPr>
                <w:rFonts w:asciiTheme="minorEastAsia" w:hAnsiTheme="minorEastAsia" w:hint="eastAsia"/>
                <w:kern w:val="2"/>
                <w:sz w:val="24"/>
                <w:szCs w:val="24"/>
              </w:rPr>
              <w:t xml:space="preserve"> 项目</w:t>
            </w:r>
            <w:r>
              <w:rPr>
                <w:rStyle w:val="Hyperlink"/>
                <w:rFonts w:asciiTheme="minorEastAsia" w:hAnsiTheme="minorEastAsia" w:hint="eastAsia"/>
                <w:sz w:val="24"/>
                <w:szCs w:val="24"/>
              </w:rPr>
              <w:t>募集资金使用效率不高</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_Toc70286199 \h </w:instrText>
            </w:r>
            <w:r>
              <w:rPr>
                <w:rFonts w:asciiTheme="minorEastAsia" w:hAnsiTheme="minorEastAsia"/>
                <w:sz w:val="24"/>
                <w:szCs w:val="24"/>
              </w:rPr>
              <w:fldChar w:fldCharType="separate"/>
            </w:r>
            <w:r>
              <w:rPr>
                <w:rFonts w:asciiTheme="minorEastAsia" w:hAnsiTheme="minorEastAsia"/>
                <w:sz w:val="24"/>
                <w:szCs w:val="24"/>
              </w:rPr>
              <w:t>19</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200" w:history="1">
            <w:r>
              <w:rPr>
                <w:rStyle w:val="Hyperlink"/>
                <w:rFonts w:asciiTheme="minorEastAsia" w:hAnsiTheme="minorEastAsia"/>
                <w:sz w:val="24"/>
                <w:szCs w:val="24"/>
              </w:rPr>
              <w:t>3.</w:t>
            </w:r>
            <w:r>
              <w:rPr>
                <w:rFonts w:asciiTheme="minorEastAsia" w:hAnsiTheme="minorEastAsia" w:hint="eastAsia"/>
                <w:kern w:val="2"/>
                <w:sz w:val="24"/>
                <w:szCs w:val="24"/>
              </w:rPr>
              <w:t xml:space="preserve"> </w:t>
            </w:r>
            <w:r>
              <w:rPr>
                <w:rStyle w:val="Hyperlink"/>
                <w:rFonts w:asciiTheme="minorEastAsia" w:hAnsiTheme="minorEastAsia" w:hint="eastAsia"/>
                <w:sz w:val="24"/>
                <w:szCs w:val="24"/>
              </w:rPr>
              <w:t>未对风险作出合理的估计</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_Toc70286200 \h </w:instrText>
            </w:r>
            <w:r>
              <w:rPr>
                <w:rFonts w:asciiTheme="minorEastAsia" w:hAnsiTheme="minorEastAsia"/>
                <w:sz w:val="24"/>
                <w:szCs w:val="24"/>
              </w:rPr>
              <w:fldChar w:fldCharType="separate"/>
            </w:r>
            <w:r>
              <w:rPr>
                <w:rFonts w:asciiTheme="minorEastAsia" w:hAnsiTheme="minorEastAsia"/>
                <w:sz w:val="24"/>
                <w:szCs w:val="24"/>
              </w:rPr>
              <w:t>20</w:t>
            </w:r>
            <w:r>
              <w:rPr>
                <w:rFonts w:asciiTheme="minorEastAsia" w:hAnsiTheme="minorEastAsia"/>
                <w:sz w:val="24"/>
                <w:szCs w:val="24"/>
              </w:rPr>
              <w:fldChar w:fldCharType="end"/>
            </w:r>
          </w:hyperlink>
        </w:p>
        <w:p>
          <w:pPr>
            <w:pStyle w:val="TOC2"/>
            <w:tabs>
              <w:tab w:val="right" w:leader="dot" w:pos="8296"/>
            </w:tabs>
            <w:rPr>
              <w:rFonts w:asciiTheme="minorEastAsia" w:hAnsiTheme="minorEastAsia"/>
              <w:kern w:val="2"/>
              <w:sz w:val="24"/>
              <w:szCs w:val="24"/>
            </w:rPr>
          </w:pPr>
          <w:hyperlink w:anchor="_Toc70286201" w:history="1">
            <w:r>
              <w:rPr>
                <w:rStyle w:val="Hyperlink"/>
                <w:rFonts w:asciiTheme="minorEastAsia" w:hAnsiTheme="minorEastAsia" w:hint="eastAsia"/>
                <w:sz w:val="24"/>
                <w:szCs w:val="24"/>
              </w:rPr>
              <w:t>（三） 海澜之家可转债融资的启示</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_Toc70286201 \h </w:instrText>
            </w:r>
            <w:r>
              <w:rPr>
                <w:rFonts w:asciiTheme="minorEastAsia" w:hAnsiTheme="minorEastAsia"/>
                <w:sz w:val="24"/>
                <w:szCs w:val="24"/>
              </w:rPr>
              <w:fldChar w:fldCharType="separate"/>
            </w:r>
            <w:r>
              <w:rPr>
                <w:rFonts w:asciiTheme="minorEastAsia" w:hAnsiTheme="minorEastAsia"/>
                <w:sz w:val="24"/>
                <w:szCs w:val="24"/>
              </w:rPr>
              <w:t>20</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202" w:history="1">
            <w:r>
              <w:rPr>
                <w:rStyle w:val="Hyperlink"/>
                <w:rFonts w:asciiTheme="minorEastAsia" w:hAnsiTheme="minorEastAsia"/>
                <w:sz w:val="24"/>
                <w:szCs w:val="24"/>
              </w:rPr>
              <w:t>1.</w:t>
            </w:r>
            <w:r>
              <w:rPr>
                <w:rStyle w:val="Hyperlink"/>
                <w:rFonts w:asciiTheme="minorEastAsia" w:hAnsiTheme="minorEastAsia" w:hint="eastAsia"/>
                <w:sz w:val="24"/>
                <w:szCs w:val="24"/>
              </w:rPr>
              <w:t xml:space="preserve"> 谨慎选择有利的可转债发行时机</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_Toc70286202 \h </w:instrText>
            </w:r>
            <w:r>
              <w:rPr>
                <w:rFonts w:asciiTheme="minorEastAsia" w:hAnsiTheme="minorEastAsia"/>
                <w:sz w:val="24"/>
                <w:szCs w:val="24"/>
              </w:rPr>
              <w:fldChar w:fldCharType="separate"/>
            </w:r>
            <w:r>
              <w:rPr>
                <w:rFonts w:asciiTheme="minorEastAsia" w:hAnsiTheme="minorEastAsia"/>
                <w:sz w:val="24"/>
                <w:szCs w:val="24"/>
              </w:rPr>
              <w:t>20</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203" w:history="1">
            <w:r>
              <w:rPr>
                <w:rStyle w:val="Hyperlink"/>
                <w:rFonts w:asciiTheme="minorEastAsia" w:hAnsiTheme="minorEastAsia"/>
                <w:sz w:val="24"/>
                <w:szCs w:val="24"/>
              </w:rPr>
              <w:t>2.</w:t>
            </w:r>
            <w:r>
              <w:rPr>
                <w:rStyle w:val="Hyperlink"/>
                <w:rFonts w:asciiTheme="minorEastAsia" w:hAnsiTheme="minorEastAsia" w:hint="eastAsia"/>
                <w:sz w:val="24"/>
                <w:szCs w:val="24"/>
              </w:rPr>
              <w:t xml:space="preserve"> 合理使用募集资金，确保成本收益相匹配</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_Toc70286203 \h </w:instrText>
            </w:r>
            <w:r>
              <w:rPr>
                <w:rFonts w:asciiTheme="minorEastAsia" w:hAnsiTheme="minorEastAsia"/>
                <w:sz w:val="24"/>
                <w:szCs w:val="24"/>
              </w:rPr>
              <w:fldChar w:fldCharType="separate"/>
            </w:r>
            <w:r>
              <w:rPr>
                <w:rFonts w:asciiTheme="minorEastAsia" w:hAnsiTheme="minorEastAsia"/>
                <w:sz w:val="24"/>
                <w:szCs w:val="24"/>
              </w:rPr>
              <w:t>21</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204" w:history="1">
            <w:r>
              <w:rPr>
                <w:rStyle w:val="Hyperlink"/>
                <w:rFonts w:asciiTheme="minorEastAsia" w:hAnsiTheme="minorEastAsia"/>
                <w:sz w:val="24"/>
                <w:szCs w:val="24"/>
              </w:rPr>
              <w:t>3.</w:t>
            </w:r>
            <w:r>
              <w:rPr>
                <w:rStyle w:val="Hyperlink"/>
                <w:rFonts w:asciiTheme="minorEastAsia" w:hAnsiTheme="minorEastAsia" w:hint="eastAsia"/>
                <w:sz w:val="24"/>
                <w:szCs w:val="24"/>
              </w:rPr>
              <w:t xml:space="preserve"> 提高风险防范意识，确保生产经营有效性</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_Toc70286204 \h </w:instrText>
            </w:r>
            <w:r>
              <w:rPr>
                <w:rFonts w:asciiTheme="minorEastAsia" w:hAnsiTheme="minorEastAsia"/>
                <w:sz w:val="24"/>
                <w:szCs w:val="24"/>
              </w:rPr>
              <w:fldChar w:fldCharType="separate"/>
            </w:r>
            <w:r>
              <w:rPr>
                <w:rFonts w:asciiTheme="minorEastAsia" w:hAnsiTheme="minorEastAsia"/>
                <w:sz w:val="24"/>
                <w:szCs w:val="24"/>
              </w:rPr>
              <w:t>21</w:t>
            </w:r>
            <w:r>
              <w:rPr>
                <w:rFonts w:asciiTheme="minorEastAsia" w:hAnsiTheme="minorEastAsia"/>
                <w:sz w:val="24"/>
                <w:szCs w:val="24"/>
              </w:rPr>
              <w:fldChar w:fldCharType="end"/>
            </w:r>
          </w:hyperlink>
        </w:p>
        <w:p>
          <w:pPr>
            <w:pStyle w:val="TOC3"/>
            <w:tabs>
              <w:tab w:val="right" w:leader="dot" w:pos="8296"/>
            </w:tabs>
            <w:rPr>
              <w:rFonts w:asciiTheme="minorEastAsia" w:hAnsiTheme="minorEastAsia"/>
              <w:kern w:val="2"/>
              <w:sz w:val="24"/>
              <w:szCs w:val="24"/>
            </w:rPr>
          </w:pPr>
          <w:hyperlink w:anchor="_Toc70286205" w:history="1">
            <w:r>
              <w:rPr>
                <w:rStyle w:val="Hyperlink"/>
                <w:rFonts w:asciiTheme="minorEastAsia" w:hAnsiTheme="minorEastAsia"/>
                <w:sz w:val="24"/>
                <w:szCs w:val="24"/>
              </w:rPr>
              <w:t>4.</w:t>
            </w:r>
            <w:r>
              <w:rPr>
                <w:rStyle w:val="Hyperlink"/>
                <w:rFonts w:asciiTheme="minorEastAsia" w:hAnsiTheme="minorEastAsia" w:hint="eastAsia"/>
                <w:sz w:val="24"/>
                <w:szCs w:val="24"/>
              </w:rPr>
              <w:t xml:space="preserve"> 顺应市场发展脚步规范对可转债的监管</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_Toc70286205 \h </w:instrText>
            </w:r>
            <w:r>
              <w:rPr>
                <w:rFonts w:asciiTheme="minorEastAsia" w:hAnsiTheme="minorEastAsia"/>
                <w:sz w:val="24"/>
                <w:szCs w:val="24"/>
              </w:rPr>
              <w:fldChar w:fldCharType="separate"/>
            </w:r>
            <w:r>
              <w:rPr>
                <w:rFonts w:asciiTheme="minorEastAsia" w:hAnsiTheme="minorEastAsia"/>
                <w:sz w:val="24"/>
                <w:szCs w:val="24"/>
              </w:rPr>
              <w:t>21</w:t>
            </w:r>
            <w:r>
              <w:rPr>
                <w:rFonts w:asciiTheme="minorEastAsia" w:hAnsiTheme="minorEastAsia"/>
                <w:sz w:val="24"/>
                <w:szCs w:val="24"/>
              </w:rPr>
              <w:fldChar w:fldCharType="end"/>
            </w:r>
          </w:hyperlink>
        </w:p>
        <w:p>
          <w:pPr>
            <w:pStyle w:val="TOC1"/>
            <w:tabs>
              <w:tab w:val="right" w:leader="dot" w:pos="8296"/>
            </w:tabs>
            <w:rPr>
              <w:rFonts w:asciiTheme="minorEastAsia" w:eastAsiaTheme="minorEastAsia" w:hAnsiTheme="minorEastAsia"/>
            </w:rPr>
            <w:sectPr>
              <w:type w:val="nextPage"/>
              <w:pgSz w:w="11906" w:h="16838"/>
              <w:pgMar w:top="1440" w:right="1800" w:bottom="1440" w:left="1800" w:header="851" w:footer="992" w:gutter="0"/>
              <w:pgNumType w:start="2"/>
              <w:cols w:num="1" w:space="425"/>
              <w:titlePg w:val="0"/>
              <w:docGrid w:type="lines" w:linePitch="326" w:charSpace="0"/>
            </w:sectPr>
          </w:pPr>
          <w:hyperlink w:anchor="_Toc70286206" w:history="1">
            <w:r>
              <w:rPr>
                <w:rStyle w:val="Hyperlink"/>
                <w:rFonts w:asciiTheme="minorEastAsia" w:eastAsiaTheme="minorEastAsia" w:hAnsiTheme="minorEastAsia" w:hint="eastAsia"/>
              </w:rPr>
              <w:t>六、</w:t>
            </w:r>
            <w:r>
              <w:rPr>
                <w:rFonts w:asciiTheme="minorEastAsia" w:eastAsiaTheme="minorEastAsia" w:hAnsiTheme="minorEastAsia" w:hint="eastAsia"/>
              </w:rPr>
              <w:t xml:space="preserve"> </w:t>
            </w:r>
            <w:r>
              <w:rPr>
                <w:rStyle w:val="Hyperlink"/>
                <w:rFonts w:asciiTheme="minorEastAsia" w:eastAsiaTheme="minorEastAsia" w:hAnsiTheme="minorEastAsia" w:hint="eastAsia"/>
              </w:rPr>
              <w:t>研究结论与展望</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_Toc70286206 \h </w:instrText>
            </w:r>
            <w:r>
              <w:rPr>
                <w:rFonts w:asciiTheme="minorEastAsia" w:eastAsiaTheme="minorEastAsia" w:hAnsiTheme="minorEastAsia"/>
              </w:rPr>
              <w:fldChar w:fldCharType="separate"/>
            </w:r>
            <w:r>
              <w:rPr>
                <w:rFonts w:asciiTheme="minorEastAsia" w:eastAsiaTheme="minorEastAsia" w:hAnsiTheme="minorEastAsia"/>
              </w:rPr>
              <w:t>22</w:t>
            </w:r>
            <w:r>
              <w:rPr>
                <w:rFonts w:asciiTheme="minorEastAsia" w:eastAsiaTheme="minorEastAsia" w:hAnsiTheme="minorEastAsia"/>
              </w:rPr>
              <w:fldChar w:fldCharType="end"/>
            </w:r>
          </w:hyperlink>
        </w:p>
      </w:sdtContent>
    </w:sdt>
    <w:sdt>
      <w:sdtPr>
        <w:rPr>
          <w:rFonts w:ascii="宋体" w:hAnsi="宋体"/>
          <w:sz w:val="21"/>
        </w:rPr>
        <w:id w:val="1453052562"/>
        <w:docPartObj>
          <w:docPartGallery w:val="Table of Contents"/>
          <w:docPartUnique/>
        </w:docPartObj>
      </w:sdtPr>
      <w:sdtEndPr>
        <w:rPr>
          <w:rFonts w:asciiTheme="minorEastAsia" w:eastAsiaTheme="minorEastAsia" w:hAnsiTheme="minorEastAsia" w:cs="宋体" w:hint="eastAsia"/>
          <w:sz w:val="24"/>
        </w:rPr>
      </w:sdtEndPr>
      <w:sdtContent>
        <w:p>
          <w:pPr>
            <w:pStyle w:val="TOC2"/>
            <w:tabs>
              <w:tab w:val="right" w:leader="dot" w:pos="8296"/>
            </w:tabs>
            <w:rPr>
              <w:rFonts w:asciiTheme="minorEastAsia" w:hAnsiTheme="minorEastAsia"/>
              <w:kern w:val="2"/>
              <w:sz w:val="24"/>
              <w:szCs w:val="24"/>
            </w:rPr>
          </w:pPr>
          <w:hyperlink w:anchor="_Toc70286207" w:history="1">
            <w:r>
              <w:rPr>
                <w:rStyle w:val="Hyperlink"/>
                <w:rFonts w:asciiTheme="minorEastAsia" w:hAnsiTheme="minorEastAsia" w:hint="eastAsia"/>
                <w:sz w:val="24"/>
                <w:szCs w:val="24"/>
              </w:rPr>
              <w:t>（一）</w:t>
            </w:r>
            <w:r>
              <w:rPr>
                <w:rFonts w:asciiTheme="minorEastAsia" w:hAnsiTheme="minorEastAsia" w:hint="eastAsia"/>
                <w:kern w:val="2"/>
                <w:sz w:val="24"/>
                <w:szCs w:val="24"/>
              </w:rPr>
              <w:t xml:space="preserve"> </w:t>
            </w:r>
            <w:r>
              <w:rPr>
                <w:rStyle w:val="Hyperlink"/>
                <w:rFonts w:asciiTheme="minorEastAsia" w:hAnsiTheme="minorEastAsia" w:hint="eastAsia"/>
                <w:sz w:val="24"/>
                <w:szCs w:val="24"/>
              </w:rPr>
              <w:t>研究结论</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_Toc70286207 \h </w:instrText>
            </w:r>
            <w:r>
              <w:rPr>
                <w:rFonts w:asciiTheme="minorEastAsia" w:hAnsiTheme="minorEastAsia"/>
                <w:sz w:val="24"/>
                <w:szCs w:val="24"/>
              </w:rPr>
              <w:fldChar w:fldCharType="separate"/>
            </w:r>
            <w:r>
              <w:rPr>
                <w:rFonts w:asciiTheme="minorEastAsia" w:hAnsiTheme="minorEastAsia"/>
                <w:sz w:val="24"/>
                <w:szCs w:val="24"/>
              </w:rPr>
              <w:t>22</w:t>
            </w:r>
            <w:r>
              <w:rPr>
                <w:rFonts w:asciiTheme="minorEastAsia" w:hAnsiTheme="minorEastAsia"/>
                <w:sz w:val="24"/>
                <w:szCs w:val="24"/>
              </w:rPr>
              <w:fldChar w:fldCharType="end"/>
            </w:r>
          </w:hyperlink>
        </w:p>
        <w:p>
          <w:pPr>
            <w:pStyle w:val="TOC2"/>
            <w:tabs>
              <w:tab w:val="right" w:leader="dot" w:pos="8296"/>
            </w:tabs>
            <w:rPr>
              <w:rFonts w:asciiTheme="minorEastAsia" w:hAnsiTheme="minorEastAsia"/>
              <w:kern w:val="2"/>
              <w:sz w:val="24"/>
              <w:szCs w:val="24"/>
            </w:rPr>
          </w:pPr>
          <w:hyperlink w:anchor="_Toc70286208" w:history="1">
            <w:r>
              <w:rPr>
                <w:rStyle w:val="Hyperlink"/>
                <w:rFonts w:asciiTheme="minorEastAsia" w:hAnsiTheme="minorEastAsia" w:hint="eastAsia"/>
                <w:sz w:val="24"/>
                <w:szCs w:val="24"/>
              </w:rPr>
              <w:t>（二）</w:t>
            </w:r>
            <w:r>
              <w:rPr>
                <w:rFonts w:asciiTheme="minorEastAsia" w:hAnsiTheme="minorEastAsia" w:hint="eastAsia"/>
                <w:kern w:val="2"/>
                <w:sz w:val="24"/>
                <w:szCs w:val="24"/>
              </w:rPr>
              <w:t xml:space="preserve"> </w:t>
            </w:r>
            <w:r>
              <w:rPr>
                <w:rStyle w:val="Hyperlink"/>
                <w:rFonts w:asciiTheme="minorEastAsia" w:hAnsiTheme="minorEastAsia" w:hint="eastAsia"/>
                <w:sz w:val="24"/>
                <w:szCs w:val="24"/>
              </w:rPr>
              <w:t>研究展望</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_Toc70286208 \h </w:instrText>
            </w:r>
            <w:r>
              <w:rPr>
                <w:rFonts w:asciiTheme="minorEastAsia" w:hAnsiTheme="minorEastAsia"/>
                <w:sz w:val="24"/>
                <w:szCs w:val="24"/>
              </w:rPr>
              <w:fldChar w:fldCharType="separate"/>
            </w:r>
            <w:r>
              <w:rPr>
                <w:rFonts w:asciiTheme="minorEastAsia" w:hAnsiTheme="minorEastAsia"/>
                <w:sz w:val="24"/>
                <w:szCs w:val="24"/>
              </w:rPr>
              <w:t>22</w:t>
            </w:r>
            <w:r>
              <w:rPr>
                <w:rFonts w:asciiTheme="minorEastAsia" w:hAnsiTheme="minorEastAsia"/>
                <w:sz w:val="24"/>
                <w:szCs w:val="24"/>
              </w:rPr>
              <w:fldChar w:fldCharType="end"/>
            </w:r>
          </w:hyperlink>
        </w:p>
        <w:p>
          <w:pPr>
            <w:pStyle w:val="TOC1"/>
            <w:tabs>
              <w:tab w:val="right" w:leader="dot" w:pos="8296"/>
            </w:tabs>
            <w:rPr>
              <w:rFonts w:asciiTheme="minorEastAsia" w:eastAsiaTheme="minorEastAsia" w:hAnsiTheme="minorEastAsia"/>
            </w:rPr>
          </w:pPr>
          <w:hyperlink w:anchor="_Toc70286209" w:history="1">
            <w:r>
              <w:rPr>
                <w:rStyle w:val="Hyperlink"/>
                <w:rFonts w:asciiTheme="minorEastAsia" w:eastAsiaTheme="minorEastAsia" w:hAnsiTheme="minorEastAsia" w:hint="eastAsia"/>
              </w:rPr>
              <w:t>参考文献</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_Toc70286209 \h </w:instrText>
            </w:r>
            <w:r>
              <w:rPr>
                <w:rFonts w:asciiTheme="minorEastAsia" w:eastAsiaTheme="minorEastAsia" w:hAnsiTheme="minorEastAsia"/>
              </w:rPr>
              <w:fldChar w:fldCharType="separate"/>
            </w:r>
            <w:r>
              <w:rPr>
                <w:rFonts w:asciiTheme="minorEastAsia" w:eastAsiaTheme="minorEastAsia" w:hAnsiTheme="minorEastAsia"/>
              </w:rPr>
              <w:t>24</w:t>
            </w:r>
            <w:r>
              <w:rPr>
                <w:rFonts w:asciiTheme="minorEastAsia" w:eastAsiaTheme="minorEastAsia" w:hAnsiTheme="minorEastAsia"/>
              </w:rPr>
              <w:fldChar w:fldCharType="end"/>
            </w:r>
          </w:hyperlink>
        </w:p>
        <w:p>
          <w:pPr>
            <w:pStyle w:val="TOC1"/>
            <w:tabs>
              <w:tab w:val="right" w:leader="dot" w:pos="8296"/>
            </w:tabs>
            <w:rPr>
              <w:rFonts w:asciiTheme="minorEastAsia" w:eastAsiaTheme="minorEastAsia" w:hAnsiTheme="minorEastAsia"/>
            </w:rPr>
          </w:pPr>
          <w:r>
            <w:rPr>
              <w:rFonts w:asciiTheme="minorEastAsia" w:eastAsiaTheme="minorEastAsia" w:hAnsiTheme="minorEastAsia"/>
            </w:rPr>
            <w:fldChar w:fldCharType="end"/>
          </w:r>
        </w:p>
        <w:p>
          <w:pPr>
            <w:rPr>
              <w:rFonts w:asciiTheme="minorEastAsia" w:eastAsiaTheme="minorEastAsia" w:hAnsiTheme="minorEastAsia" w:cs="宋体"/>
            </w:rPr>
          </w:pPr>
        </w:p>
      </w:sdtContent>
    </w:sdt>
    <w:p>
      <w:pPr>
        <w:rPr>
          <w:rFonts w:ascii="宋体" w:hAnsi="宋体" w:cs="宋体"/>
        </w:rPr>
        <w:sectPr>
          <w:type w:val="nextPage"/>
          <w:pgSz w:w="11906" w:h="16838"/>
          <w:pgMar w:top="1440" w:right="1800" w:bottom="1440" w:left="1800" w:header="851" w:footer="992" w:gutter="0"/>
          <w:pgNumType w:start="3"/>
          <w:cols w:num="1" w:space="425"/>
          <w:titlePg w:val="0"/>
          <w:docGrid w:type="lines" w:linePitch="326" w:charSpace="0"/>
        </w:sectPr>
      </w:pPr>
    </w:p>
    <w:p>
      <w:pPr>
        <w:rPr>
          <w:rFonts w:ascii="宋体" w:hAnsi="宋体"/>
        </w:rPr>
      </w:pPr>
      <w:bookmarkStart w:id="1" w:name="_Toc20606"/>
    </w:p>
    <w:p>
      <w:pPr>
        <w:rPr>
          <w:b/>
        </w:rPr>
      </w:pPr>
      <w:bookmarkStart w:id="2" w:name="_Toc4544"/>
      <w:bookmarkStart w:id="3" w:name="_Toc67478292"/>
      <w:bookmarkStart w:id="4" w:name="_Toc67477902"/>
      <w:bookmarkStart w:id="5" w:name="_Toc67478136"/>
      <w:bookmarkStart w:id="6" w:name="_Toc67473280"/>
      <w:bookmarkStart w:id="7" w:name="_Toc67479077"/>
      <w:r>
        <w:rPr>
          <w:rFonts w:ascii="宋体" w:hAnsi="宋体" w:hint="eastAsia"/>
          <w:b/>
        </w:rPr>
        <w:t>【内容摘要】</w:t>
      </w:r>
      <w:bookmarkEnd w:id="2"/>
      <w:r>
        <w:rPr>
          <w:rFonts w:hint="eastAsia"/>
        </w:rPr>
        <w:t>随着我国经济的快速发展，我国金融市场发展也更加完善，企业可用于筹资的工具也越来越多，当前可转换公司债券逐渐被市场所推崇，且也被学术界所广泛关注。可转换公司债券，简称可转债，它的出现一定程度上加快了我国资本市场朝着更多元化的筹资方向发展。海澜之家作为我国服装行业龙头企业，其发展一直受到社会各界的关注，本次研究选取海澜之家作为案例研究对象，在介绍海澜之家发行可转债的基本情况与其进行可转债融资的方案后，从市场反应、财务指标变化对比、股权结构变化三个维度切入，分析总结海澜之家运用可转债融资产生的财务效应，经研究发现发行可转债融资可以使企业的资本结构更为合理，偿债能力得到改善，但同时也出现了盈利能力下滑和对发展能力影响不显著等影响。研究最后得出企业在实施可转债融资应谨慎选择有利的可转债发行时机，并合理使用募集资金，确保成本收益相匹配，同时政府部门也应顺应资本市场发展脚步规范对可转债的监管。此次研究不仅总结了海澜之家发行可转债至今产生的影响，同时也为同行业的其他企业在实施可转债融资前提供可参考的意见。</w:t>
      </w:r>
      <w:bookmarkEnd w:id="3"/>
      <w:bookmarkEnd w:id="4"/>
      <w:bookmarkEnd w:id="5"/>
      <w:bookmarkEnd w:id="6"/>
      <w:bookmarkEnd w:id="7"/>
      <w:r>
        <w:rPr>
          <w:b/>
        </w:rPr>
        <w:t xml:space="preserve"> </w:t>
      </w:r>
    </w:p>
    <w:p>
      <w:bookmarkStart w:id="8" w:name="_Toc67479078"/>
      <w:bookmarkStart w:id="9" w:name="_Toc67478137"/>
      <w:bookmarkStart w:id="10" w:name="_Toc67477903"/>
      <w:bookmarkStart w:id="11" w:name="_Toc67473281"/>
      <w:bookmarkStart w:id="12" w:name="_Toc29006"/>
      <w:bookmarkStart w:id="13" w:name="_Toc67478293"/>
      <w:r>
        <w:rPr>
          <w:rFonts w:hint="eastAsia"/>
          <w:b/>
        </w:rPr>
        <w:t>【关键词】</w:t>
      </w:r>
      <w:r>
        <w:rPr>
          <w:rFonts w:hint="eastAsia"/>
        </w:rPr>
        <w:t>可转债融资；财务效应；海澜之家</w:t>
      </w:r>
      <w:bookmarkEnd w:id="8"/>
      <w:bookmarkEnd w:id="9"/>
      <w:bookmarkEnd w:id="10"/>
      <w:bookmarkEnd w:id="11"/>
      <w:bookmarkEnd w:id="12"/>
      <w:bookmarkEnd w:id="13"/>
    </w:p>
    <w:p>
      <w:pPr>
        <w:pStyle w:val="ListParagraph"/>
        <w:ind w:firstLine="0" w:firstLineChars="0"/>
        <w:outlineLvl w:val="0"/>
        <w:rPr>
          <w:bCs/>
        </w:rPr>
      </w:pPr>
    </w:p>
    <w:p>
      <w:pPr>
        <w:pStyle w:val="ListParagraph"/>
        <w:numPr>
          <w:ilvl w:val="0"/>
          <w:numId w:val="21"/>
        </w:numPr>
        <w:ind w:left="0" w:firstLine="482"/>
        <w:outlineLvl w:val="0"/>
        <w:rPr>
          <w:b/>
        </w:rPr>
      </w:pPr>
      <w:bookmarkStart w:id="14" w:name="_Toc70286150"/>
      <w:bookmarkStart w:id="15" w:name="_Toc69500580"/>
      <w:r>
        <w:rPr>
          <w:rFonts w:hint="eastAsia"/>
          <w:b/>
        </w:rPr>
        <w:t>绪论</w:t>
      </w:r>
      <w:bookmarkEnd w:id="1"/>
      <w:bookmarkEnd w:id="14"/>
      <w:bookmarkEnd w:id="15"/>
    </w:p>
    <w:p>
      <w:pPr>
        <w:pStyle w:val="ListParagraph"/>
        <w:numPr>
          <w:ilvl w:val="0"/>
          <w:numId w:val="2"/>
        </w:numPr>
        <w:ind w:left="0" w:firstLine="482"/>
        <w:outlineLvl w:val="1"/>
        <w:rPr>
          <w:b/>
        </w:rPr>
      </w:pPr>
      <w:bookmarkStart w:id="16" w:name="_Toc32597"/>
      <w:bookmarkStart w:id="17" w:name="_Toc69500581"/>
      <w:bookmarkStart w:id="18" w:name="_Toc70286151"/>
      <w:r>
        <w:rPr>
          <w:rFonts w:hint="eastAsia"/>
          <w:b/>
        </w:rPr>
        <w:t>研究背景及其意义</w:t>
      </w:r>
      <w:bookmarkEnd w:id="16"/>
      <w:bookmarkEnd w:id="17"/>
      <w:bookmarkEnd w:id="18"/>
    </w:p>
    <w:p>
      <w:pPr>
        <w:pStyle w:val="ListParagraph"/>
        <w:numPr>
          <w:ilvl w:val="0"/>
          <w:numId w:val="3"/>
        </w:numPr>
        <w:ind w:left="0" w:firstLine="482"/>
        <w:outlineLvl w:val="2"/>
        <w:rPr>
          <w:b/>
        </w:rPr>
      </w:pPr>
      <w:bookmarkStart w:id="19" w:name="_Toc70286152"/>
      <w:bookmarkStart w:id="20" w:name="_Toc31693"/>
      <w:bookmarkStart w:id="21" w:name="_Toc69500582"/>
      <w:r>
        <w:rPr>
          <w:rFonts w:hint="eastAsia"/>
          <w:b/>
        </w:rPr>
        <w:t>研究背景</w:t>
      </w:r>
      <w:bookmarkEnd w:id="19"/>
      <w:bookmarkEnd w:id="20"/>
      <w:bookmarkEnd w:id="21"/>
    </w:p>
    <w:p>
      <w:pPr>
        <w:ind w:firstLine="480" w:firstLineChars="200"/>
        <w:sectPr>
          <w:footerReference w:type="default" r:id="rId7"/>
          <w:footnotePr>
            <w:numFmt w:val="decimalEnclosedCircleChinese"/>
          </w:footnotePr>
          <w:pgSz w:w="11906" w:h="16838"/>
          <w:pgMar w:top="1440" w:right="1800" w:bottom="1440" w:left="1800" w:header="851" w:footer="992" w:gutter="0"/>
          <w:pgNumType w:start="1"/>
          <w:cols w:num="1" w:space="425"/>
          <w:docGrid w:type="lines" w:linePitch="326" w:charSpace="0"/>
        </w:sectPr>
      </w:pPr>
      <w:r>
        <w:rPr>
          <w:rFonts w:hint="eastAsia"/>
        </w:rPr>
        <w:t>可转债，是可转换公司债券的简称。发行可转债相比于发行一般的债券融资，由于可转债内附有一定的转换期权，企业发行可转债融资比发行一般债券融资节省了融资成本。</w:t>
      </w:r>
      <w:r>
        <w:t>目前全球可转债市场的发行规模已突破近</w:t>
      </w:r>
      <w:r>
        <w:rPr>
          <w:rFonts w:hint="eastAsia"/>
        </w:rPr>
        <w:t>4</w:t>
      </w:r>
      <w:r>
        <w:t>500亿元</w:t>
      </w:r>
      <w:r>
        <w:rPr>
          <w:rFonts w:hint="eastAsia"/>
        </w:rPr>
        <w:t>，</w:t>
      </w:r>
      <w:r>
        <w:t>作为兼具债券、股票和期权多重投资特性的派生金融产品，可转债已经成为</w:t>
      </w:r>
      <w:r>
        <w:rPr>
          <w:rFonts w:hint="eastAsia"/>
        </w:rPr>
        <w:t>国内外企业</w:t>
      </w:r>
      <w:r>
        <w:t>十分重要的融资工具，在国际资本市场中占据了</w:t>
      </w:r>
      <w:r>
        <w:rPr>
          <w:rFonts w:hint="eastAsia"/>
        </w:rPr>
        <w:t>越来越</w:t>
      </w:r>
      <w:r>
        <w:t>重要的地位。</w:t>
      </w:r>
    </w:p>
    <w:p>
      <w:pPr>
        <w:ind w:firstLine="480" w:firstLineChars="200"/>
      </w:pPr>
      <w:r>
        <w:rPr>
          <w:rFonts w:hint="eastAsia"/>
        </w:rPr>
        <w:t>随着我国金融体系的完善和资本市场的进步，融资渠道的类型得以丰富，使企业在面临融资需求时有了更多样的选择。可转债将股权融资与债权融资进行融合形成了一种特殊的融资方式，受到了越来越多企业的青睐，广大投资者也加大了对可转债的关注。但是相比于西方国家，可转债在我国仅有二十余年的发展历史，我国最早的可转债诞生于</w:t>
      </w:r>
      <w:r>
        <w:rPr>
          <w:rFonts w:eastAsiaTheme="minorEastAsia" w:hint="eastAsia"/>
        </w:rPr>
        <w:t>1992</w:t>
      </w:r>
      <w:r>
        <w:rPr>
          <w:rFonts w:hint="eastAsia"/>
        </w:rPr>
        <w:t>年的“宝安转债”，但是由于宝安转债未能成功转股并且其他融资方式的兴起，在后续的较长时间里我国的可转债市场发展相对较为缓慢，直至</w:t>
      </w:r>
      <w:r>
        <w:rPr>
          <w:rFonts w:eastAsiaTheme="minorEastAsia" w:hint="eastAsia"/>
        </w:rPr>
        <w:t>2002</w:t>
      </w:r>
      <w:r>
        <w:rPr>
          <w:rFonts w:hint="eastAsia"/>
        </w:rPr>
        <w:t>年新的融资政策出台促使可转债规模得到进一步的扩大。时至今日，我国可转债市场也逐渐走向成熟，但是依旧存在许多问题值得我们去探讨。</w:t>
      </w:r>
    </w:p>
    <w:p>
      <w:pPr>
        <w:pStyle w:val="ListParagraph"/>
        <w:numPr>
          <w:ilvl w:val="0"/>
          <w:numId w:val="22"/>
        </w:numPr>
        <w:ind w:left="0" w:firstLine="482"/>
        <w:outlineLvl w:val="2"/>
        <w:rPr>
          <w:b/>
        </w:rPr>
      </w:pPr>
      <w:bookmarkStart w:id="22" w:name="_Toc69500583"/>
      <w:bookmarkStart w:id="23" w:name="_Toc70286153"/>
      <w:bookmarkStart w:id="24" w:name="_Toc24794"/>
      <w:r>
        <w:rPr>
          <w:rFonts w:hint="eastAsia"/>
          <w:b/>
        </w:rPr>
        <w:t>研究意义</w:t>
      </w:r>
      <w:bookmarkEnd w:id="22"/>
      <w:bookmarkEnd w:id="23"/>
      <w:bookmarkEnd w:id="24"/>
    </w:p>
    <w:p>
      <w:pPr>
        <w:pStyle w:val="ListParagraph"/>
        <w:ind w:firstLine="480"/>
      </w:pPr>
      <w:r>
        <w:t>可转债在我国的发展历史虽然仅有二十余年</w:t>
      </w:r>
      <w:r>
        <w:rPr>
          <w:rFonts w:hint="eastAsia"/>
        </w:rPr>
        <w:t>，</w:t>
      </w:r>
      <w:r>
        <w:t>但是它的蓬勃生机为我国证券市场注入了新鲜的血液</w:t>
      </w:r>
      <w:r>
        <w:rPr>
          <w:rFonts w:hint="eastAsia"/>
        </w:rPr>
        <w:t>，为面临不同阶段发展需求的上市公司提供了新的再融资手段，新的尝试与探索让那些能够抓住机遇与挑战的企业有了新的发展前景。当前</w:t>
      </w:r>
      <w:r>
        <w:t>国外学者的研究大部分集中在可转债发行动因</w:t>
      </w:r>
      <w:r>
        <w:rPr>
          <w:rFonts w:hint="eastAsia"/>
        </w:rPr>
        <w:t>、发行</w:t>
      </w:r>
      <w:r>
        <w:t>风险等方面的分析，国内学者们对可转债的研究也不够成熟，对某一特定企业发行可转债融资前后财务效应产生的变化关注相对较少。</w:t>
      </w:r>
      <w:r>
        <w:rPr>
          <w:rFonts w:hint="eastAsia"/>
        </w:rPr>
        <w:t>本篇论文选取的案例公司是处于我国纺织服装业的上市公司——海澜之家股份有限公司（以下简称海澜之家），通过对海澜之家发行海澜转债融资行为进行研究，对比其对公司前后财务指标、股权结构等方面产生的影响，总结提炼通过案例得到的启示，</w:t>
      </w:r>
      <w:r>
        <w:t>为服装行业进行可转债融资活动提供有益的建议与参考</w:t>
      </w:r>
      <w:r>
        <w:rPr>
          <w:rFonts w:hint="eastAsia"/>
        </w:rPr>
        <w:t>。</w:t>
      </w:r>
    </w:p>
    <w:p/>
    <w:p>
      <w:pPr>
        <w:pStyle w:val="ListParagraph"/>
        <w:numPr>
          <w:ilvl w:val="0"/>
          <w:numId w:val="2"/>
        </w:numPr>
        <w:ind w:left="0" w:firstLine="482"/>
        <w:outlineLvl w:val="1"/>
        <w:rPr>
          <w:b/>
        </w:rPr>
      </w:pPr>
      <w:bookmarkStart w:id="25" w:name="_Toc70286154"/>
      <w:bookmarkStart w:id="26" w:name="_Toc69500584"/>
      <w:bookmarkStart w:id="27" w:name="_Toc519"/>
      <w:r>
        <w:rPr>
          <w:rFonts w:hint="eastAsia"/>
          <w:b/>
        </w:rPr>
        <w:t>文献综述</w:t>
      </w:r>
      <w:bookmarkEnd w:id="25"/>
      <w:bookmarkEnd w:id="26"/>
      <w:bookmarkEnd w:id="27"/>
    </w:p>
    <w:p>
      <w:pPr>
        <w:pStyle w:val="ListParagraph"/>
        <w:numPr>
          <w:ilvl w:val="0"/>
          <w:numId w:val="4"/>
        </w:numPr>
        <w:ind w:left="0" w:firstLine="482"/>
        <w:outlineLvl w:val="2"/>
        <w:rPr>
          <w:b/>
        </w:rPr>
      </w:pPr>
      <w:bookmarkStart w:id="28" w:name="_Toc70286155"/>
      <w:bookmarkStart w:id="29" w:name="_Toc20084"/>
      <w:bookmarkStart w:id="30" w:name="_Toc69500585"/>
      <w:r>
        <w:rPr>
          <w:rFonts w:hint="eastAsia"/>
          <w:b/>
        </w:rPr>
        <w:t>国外研究综述</w:t>
      </w:r>
      <w:bookmarkEnd w:id="28"/>
      <w:bookmarkEnd w:id="29"/>
      <w:bookmarkEnd w:id="30"/>
    </w:p>
    <w:p>
      <w:pPr>
        <w:pStyle w:val="ListParagraph"/>
        <w:ind w:firstLine="480"/>
      </w:pPr>
      <w:r>
        <w:rPr>
          <w:rFonts w:hint="eastAsia"/>
        </w:rPr>
        <w:t xml:space="preserve"> HuLi， Hong Liu， Antonios Siganos (2016）提出上市公司企业财务会被严格监管，金融机构发行的可转债在三天后的收益比非金融机构发行的高出1.41个百分比，</w:t>
      </w:r>
      <w:r>
        <w:t>市场不会高估可转债发行价格</w:t>
      </w:r>
      <w:r>
        <w:rPr>
          <w:rStyle w:val="FootnoteReference"/>
        </w:rPr>
        <w:footnoteReference w:id="2"/>
      </w:r>
      <w:r>
        <w:rPr>
          <w:rFonts w:hint="eastAsia"/>
        </w:rPr>
        <w:t>。</w:t>
      </w:r>
    </w:p>
    <w:p>
      <w:pPr>
        <w:pStyle w:val="ListParagraph"/>
        <w:ind w:firstLine="480"/>
      </w:pPr>
      <w:r>
        <w:rPr>
          <w:rFonts w:hint="eastAsia"/>
        </w:rPr>
        <w:t xml:space="preserve"> Bruce D. Grundy (2017)提出只要强制转换，历史上就不会存在称其为可转债的债权</w:t>
      </w:r>
      <w:r>
        <w:rPr>
          <w:rStyle w:val="FootnoteReference"/>
        </w:rPr>
        <w:footnoteReference w:id="3"/>
      </w:r>
      <w:r>
        <w:rPr>
          <w:rFonts w:hint="eastAsia"/>
        </w:rPr>
        <w:t>。</w:t>
      </w:r>
    </w:p>
    <w:p>
      <w:pPr>
        <w:pStyle w:val="ListParagraph"/>
        <w:ind w:firstLine="480"/>
        <w:sectPr>
          <w:footerReference w:type="default" r:id="rId8"/>
          <w:footnotePr>
            <w:numFmt w:val="decimalEnclosedCircleChinese"/>
          </w:footnotePr>
          <w:type w:val="nextPage"/>
          <w:pgSz w:w="11906" w:h="16838"/>
          <w:pgMar w:top="1440" w:right="1800" w:bottom="1440" w:left="1800" w:header="851" w:footer="992" w:gutter="0"/>
          <w:pgNumType w:start="2"/>
          <w:cols w:num="1" w:space="425"/>
          <w:titlePg w:val="0"/>
          <w:docGrid w:type="lines" w:linePitch="326" w:charSpace="0"/>
        </w:sectPr>
      </w:pPr>
      <w:r>
        <w:t xml:space="preserve"> </w:t>
      </w:r>
      <w:r>
        <w:rPr>
          <w:rFonts w:hint="eastAsia"/>
        </w:rPr>
        <w:t>Inmoo Lee，Tim Loughran.（</w:t>
      </w:r>
      <w:r>
        <w:t>2016 )</w:t>
      </w:r>
      <w:r>
        <w:rPr>
          <w:rFonts w:hint="eastAsia"/>
        </w:rPr>
        <w:t>在</w:t>
      </w:r>
      <w:r>
        <w:t>研究中指出企业可转债的顺利发行</w:t>
      </w:r>
    </w:p>
    <w:p>
      <w:pPr>
        <w:pStyle w:val="ListParagraph"/>
        <w:ind w:firstLine="480"/>
      </w:pPr>
      <w:r>
        <w:rPr>
          <w:rFonts w:hint="eastAsia"/>
        </w:rPr>
        <w:t>起决定因素的是股票的价格。资本市场发展良好，股票的价值越高，那么可转债的卖出机会也就越大</w:t>
      </w:r>
      <w:r>
        <w:rPr>
          <w:rStyle w:val="FootnoteReference"/>
        </w:rPr>
        <w:footnoteReference w:id="4"/>
      </w:r>
      <w:r>
        <w:rPr>
          <w:rFonts w:hint="eastAsia"/>
        </w:rPr>
        <w:t>。</w:t>
      </w:r>
    </w:p>
    <w:p>
      <w:pPr>
        <w:pStyle w:val="ListParagraph"/>
        <w:numPr>
          <w:ilvl w:val="0"/>
          <w:numId w:val="23"/>
        </w:numPr>
        <w:ind w:left="0" w:firstLine="482"/>
        <w:outlineLvl w:val="2"/>
        <w:rPr>
          <w:b/>
        </w:rPr>
      </w:pPr>
      <w:bookmarkStart w:id="31" w:name="_Toc70286156"/>
      <w:bookmarkStart w:id="32" w:name="_Toc13949"/>
      <w:bookmarkStart w:id="33" w:name="_Toc69500586"/>
      <w:r>
        <w:rPr>
          <w:rFonts w:hint="eastAsia"/>
          <w:b/>
        </w:rPr>
        <w:t>国内研究综述</w:t>
      </w:r>
      <w:bookmarkEnd w:id="31"/>
      <w:bookmarkEnd w:id="32"/>
      <w:bookmarkEnd w:id="33"/>
    </w:p>
    <w:p>
      <w:pPr>
        <w:pStyle w:val="ListParagraph"/>
        <w:ind w:firstLine="480"/>
      </w:pPr>
      <w:r>
        <w:rPr>
          <w:rFonts w:hint="eastAsia"/>
        </w:rPr>
        <w:t>可转债在国内的研究与国外相比起步较晚，且学者们对可转债的研究主要集中在发行的动因、风险、对绩效的影响等。</w:t>
      </w:r>
    </w:p>
    <w:p>
      <w:pPr>
        <w:pStyle w:val="ListParagraph"/>
        <w:ind w:firstLine="480"/>
      </w:pPr>
      <w:r>
        <w:rPr>
          <w:rFonts w:hint="eastAsia"/>
        </w:rPr>
        <w:t>张小兵，刘昌富(2019)在研究中以蓝色光标公司2015年发行的“蓝标转债”为例，探讨企业发行可转债的动因。认为企业通过可转债融资不仅可以降低融资所需成本还可以优化资本结构、增加股东财富</w:t>
      </w:r>
      <w:r>
        <w:rPr>
          <w:rStyle w:val="FootnoteReference"/>
        </w:rPr>
        <w:footnoteReference w:id="5"/>
      </w:r>
      <w:r>
        <w:rPr>
          <w:rFonts w:hint="eastAsia"/>
        </w:rPr>
        <w:t>。</w:t>
      </w:r>
    </w:p>
    <w:p>
      <w:pPr>
        <w:pStyle w:val="ListParagraph"/>
        <w:ind w:firstLine="480"/>
      </w:pPr>
      <w:r>
        <w:rPr>
          <w:rFonts w:hint="eastAsia"/>
        </w:rPr>
        <w:t>马亚萍（2020）在研究中以歌尔股份为例展开研究，认为歌尔股份实施可转债融资最主要的目的就是为了产品的进一步研发，从可转债的财务效应角度来看，不仅优化了企业资本结构，同时也提高了管理层的管理能力</w:t>
      </w:r>
      <w:r>
        <w:rPr>
          <w:rStyle w:val="FootnoteReference"/>
        </w:rPr>
        <w:footnoteReference w:id="6"/>
      </w:r>
      <w:r>
        <w:rPr>
          <w:rFonts w:hint="eastAsia"/>
        </w:rPr>
        <w:t>。</w:t>
      </w:r>
    </w:p>
    <w:p>
      <w:pPr>
        <w:pStyle w:val="ListParagraph"/>
        <w:ind w:firstLine="480"/>
      </w:pPr>
      <w:r>
        <w:rPr>
          <w:rFonts w:hint="eastAsia"/>
        </w:rPr>
        <w:t>邹秉辰等(2020)在2007-2016年的时间区间内，选取74只可转债作为研究对象，认为公司股东财富会因企业发行可转债而受到一定程度的负面影响，且企业的发展能力对这一影响为正</w:t>
      </w:r>
      <w:r>
        <w:rPr>
          <w:rStyle w:val="FootnoteReference"/>
        </w:rPr>
        <w:footnoteReference w:id="7"/>
      </w:r>
      <w:r>
        <w:rPr>
          <w:rFonts w:hint="eastAsia"/>
        </w:rPr>
        <w:t>。</w:t>
      </w:r>
    </w:p>
    <w:p>
      <w:pPr>
        <w:pStyle w:val="ListParagraph"/>
        <w:ind w:firstLine="480"/>
      </w:pPr>
      <w:r>
        <w:rPr>
          <w:rFonts w:hint="eastAsia"/>
        </w:rPr>
        <w:t>衣龙新等(2019)对可转债的发行情况、转股情况展开研究，认为若上市公司对可转债融资行为采取得当，则可转债融资及其转股行为会对企业的经营和成长带来积极的影响</w:t>
      </w:r>
      <w:r>
        <w:rPr>
          <w:rStyle w:val="FootnoteReference"/>
        </w:rPr>
        <w:footnoteReference w:id="8"/>
      </w:r>
      <w:r>
        <w:rPr>
          <w:rFonts w:hint="eastAsia"/>
        </w:rPr>
        <w:t>。</w:t>
      </w:r>
    </w:p>
    <w:p>
      <w:pPr>
        <w:pStyle w:val="ListParagraph"/>
        <w:ind w:firstLine="0" w:firstLineChars="0"/>
        <w:rPr>
          <w:b/>
        </w:rPr>
      </w:pPr>
    </w:p>
    <w:p>
      <w:pPr>
        <w:pStyle w:val="ListParagraph"/>
        <w:numPr>
          <w:ilvl w:val="0"/>
          <w:numId w:val="2"/>
        </w:numPr>
        <w:ind w:left="0" w:firstLine="482"/>
        <w:outlineLvl w:val="1"/>
        <w:rPr>
          <w:b/>
        </w:rPr>
      </w:pPr>
      <w:bookmarkStart w:id="34" w:name="_Toc70286157"/>
      <w:bookmarkStart w:id="35" w:name="_Toc16101"/>
      <w:bookmarkStart w:id="36" w:name="_Toc69500587"/>
      <w:r>
        <w:rPr>
          <w:rFonts w:hint="eastAsia"/>
          <w:b/>
        </w:rPr>
        <w:t>研究内容和方法</w:t>
      </w:r>
      <w:bookmarkEnd w:id="34"/>
      <w:bookmarkEnd w:id="35"/>
      <w:bookmarkEnd w:id="36"/>
    </w:p>
    <w:p>
      <w:pPr>
        <w:pStyle w:val="ListParagraph"/>
        <w:numPr>
          <w:ilvl w:val="0"/>
          <w:numId w:val="5"/>
        </w:numPr>
        <w:ind w:left="0" w:firstLine="482"/>
        <w:outlineLvl w:val="2"/>
        <w:rPr>
          <w:b/>
        </w:rPr>
      </w:pPr>
      <w:bookmarkStart w:id="37" w:name="_Toc10966"/>
      <w:bookmarkStart w:id="38" w:name="_Toc70286158"/>
      <w:bookmarkStart w:id="39" w:name="_Toc69500588"/>
      <w:r>
        <w:rPr>
          <w:rFonts w:hint="eastAsia"/>
          <w:b/>
        </w:rPr>
        <w:t>研究内容</w:t>
      </w:r>
      <w:bookmarkEnd w:id="37"/>
      <w:bookmarkEnd w:id="38"/>
      <w:bookmarkEnd w:id="39"/>
    </w:p>
    <w:p>
      <w:pPr>
        <w:pStyle w:val="ListParagraph"/>
        <w:ind w:firstLine="480"/>
      </w:pPr>
      <w:r>
        <w:rPr>
          <w:rFonts w:hint="eastAsia"/>
        </w:rPr>
        <w:t>本文主要分为六个部分。</w:t>
      </w:r>
    </w:p>
    <w:p>
      <w:pPr>
        <w:pStyle w:val="ListParagraph"/>
        <w:ind w:firstLine="480"/>
        <w:sectPr>
          <w:footerReference w:type="default" r:id="rId9"/>
          <w:footnotePr>
            <w:numFmt w:val="decimalEnclosedCircleChinese"/>
          </w:footnotePr>
          <w:type w:val="nextPage"/>
          <w:pgSz w:w="11906" w:h="16838"/>
          <w:pgMar w:top="1440" w:right="1800" w:bottom="1440" w:left="1800" w:header="851" w:footer="992" w:gutter="0"/>
          <w:pgNumType w:start="3"/>
          <w:cols w:num="1" w:space="425"/>
          <w:titlePg w:val="0"/>
          <w:docGrid w:type="lines" w:linePitch="326" w:charSpace="0"/>
        </w:sectPr>
      </w:pPr>
      <w:r>
        <w:rPr>
          <w:rFonts w:hint="eastAsia"/>
        </w:rPr>
        <w:t>第一部分：绪论。主要内容包括阐明本篇论文的研究背景、研究意义；后对国内外学者关于可转债融资、可转债融资的财务效应等方面的文献进行回顾及整理归纳；最后再对本篇论文的研究内容和方法进行简单的阐述。</w:t>
      </w:r>
    </w:p>
    <w:p>
      <w:pPr>
        <w:pStyle w:val="ListParagraph"/>
        <w:ind w:firstLine="480"/>
      </w:pPr>
      <w:r>
        <w:rPr>
          <w:rFonts w:hint="eastAsia"/>
        </w:rPr>
        <w:t>第二部分：相关理论概述。这一部分主要对可转债（可转换债券融资的简称）、财务效应的相关概念进行简要的解释说明。通过对可转债的基本概念、特性以及发行条件进行介绍有助于对之后的案例介绍以及分析提供理论依据。</w:t>
      </w:r>
    </w:p>
    <w:p>
      <w:pPr>
        <w:pStyle w:val="ListParagraph"/>
        <w:ind w:firstLine="480"/>
      </w:pPr>
      <w:r>
        <w:rPr>
          <w:rFonts w:hint="eastAsia"/>
        </w:rPr>
        <w:t>第三部分：海澜之家可转债融资介绍。这一部分主要从海澜之家可转债融资的背景、方案、动因三个维度进行介绍。背景部分从介绍海澜之家的企业概况、经营状况以及所处服装行业发行可转债融资的现状入手；紧接着从发行规模、募集资金用途、条款设计三个方面对海澜之家可转债融资的方案进行详细的阐述；最后结合相关理论总结概括海澜之家进行可转债融资的动因。</w:t>
      </w:r>
    </w:p>
    <w:p>
      <w:pPr>
        <w:pStyle w:val="ListParagraph"/>
        <w:ind w:firstLine="480"/>
      </w:pPr>
      <w:r>
        <w:rPr>
          <w:rFonts w:hint="eastAsia"/>
        </w:rPr>
        <w:t>第四部分：海澜之家可转债融资的财务效应分析。这一部分为本篇论文的重点章节，从海澜之家进行可转债融资后的市场反应情况、财务指标前后变化对比、股权结构变化三个维度进行研究分析。结合案例企业选取具有代表性的财务指标，从时间以及行业平均水平两个层面进行对比分析；其次从可转债融资转股情况对股权结构方面造成的影响进行分析概括说明对其造成怎样的影响。</w:t>
      </w:r>
    </w:p>
    <w:p>
      <w:pPr>
        <w:pStyle w:val="ListParagraph"/>
        <w:ind w:firstLine="480"/>
      </w:pPr>
      <w:r>
        <w:rPr>
          <w:rFonts w:hint="eastAsia"/>
        </w:rPr>
        <w:t>第五部分：海澜之家可转债融资的总结和启示。通过前文对案例的分析，对海澜之家发行可转债融资产生的财务效应进行总结，并为我国处于服装行业的其他上市公司如何合理使用可转债融资提供启示与建议。</w:t>
      </w:r>
    </w:p>
    <w:p>
      <w:pPr>
        <w:pStyle w:val="ListParagraph"/>
        <w:ind w:firstLine="480"/>
      </w:pPr>
      <w:r>
        <w:rPr>
          <w:rFonts w:hint="eastAsia"/>
        </w:rPr>
        <w:t>第六部分：最后对论文整体的研究进行总结与展望。</w:t>
      </w:r>
    </w:p>
    <w:p>
      <w:pPr>
        <w:pStyle w:val="ListParagraph"/>
        <w:numPr>
          <w:ilvl w:val="0"/>
          <w:numId w:val="24"/>
        </w:numPr>
        <w:ind w:left="0" w:firstLine="482"/>
        <w:outlineLvl w:val="2"/>
        <w:rPr>
          <w:b/>
        </w:rPr>
      </w:pPr>
      <w:bookmarkStart w:id="40" w:name="_Toc69500589"/>
      <w:bookmarkStart w:id="41" w:name="_Toc70286159"/>
      <w:bookmarkStart w:id="42" w:name="_Toc17269"/>
      <w:r>
        <w:rPr>
          <w:rFonts w:hint="eastAsia"/>
          <w:b/>
        </w:rPr>
        <w:t>研究方法</w:t>
      </w:r>
      <w:bookmarkEnd w:id="40"/>
      <w:bookmarkEnd w:id="41"/>
      <w:bookmarkEnd w:id="42"/>
    </w:p>
    <w:p>
      <w:pPr>
        <w:pStyle w:val="ListParagraph"/>
        <w:ind w:firstLine="480"/>
      </w:pPr>
      <w:r>
        <w:rPr>
          <w:rFonts w:hint="eastAsia"/>
        </w:rPr>
        <w:t>文献分析法，通过线上线下方法相结合搜寻研究所需要的文献资料，平台可选择知网官方网站、学校图书馆等，并对其进行归纳分析，为研究提供丰富的可参考资料以及研究思路。</w:t>
      </w:r>
    </w:p>
    <w:p>
      <w:pPr>
        <w:pStyle w:val="ListParagraph"/>
        <w:ind w:firstLine="480"/>
      </w:pPr>
      <w:r>
        <w:rPr>
          <w:rFonts w:hint="eastAsia"/>
        </w:rPr>
        <w:t>案例研究法，主要围绕海澜之家可转债融资案例进行分析，首先介绍企业背景资料，说明公司发行可转债融资的过程，接着分析海澜之家发行可转债之后市场的反映，发行可转债前后财务指标变化以及发行后对股权结构的影响，并得出相关的启示。</w:t>
      </w:r>
    </w:p>
    <w:p>
      <w:pPr>
        <w:pStyle w:val="ListParagraph"/>
        <w:ind w:firstLine="480"/>
      </w:pPr>
      <w:r>
        <w:br/>
      </w:r>
      <w: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https://d.book118.com/196215005101010033</w:t>
        </w:r>
      </w:hyperlink>
    </w:p>
    <w:p>
      <w:pPr>
        <w:pStyle w:val="ListParagraph"/>
        <w:ind w:firstLine="480"/>
      </w:pPr>
    </w:p>
    <w:sectPr>
      <w:footerReference w:type="default" r:id="rId11"/>
      <w:footnotePr>
        <w:numFmt w:val="decimalEnclosedCircleChinese"/>
      </w:footnotePr>
      <w:type w:val="nextPage"/>
      <w:pgSz w:w="11906" w:h="16838"/>
      <w:pgMar w:top="1440" w:right="1800" w:bottom="1440" w:left="1800" w:header="851" w:footer="992" w:gutter="0"/>
      <w:pgNumType w:start="4"/>
      <w:cols w:num="1" w:space="425"/>
      <w:titlePg w:val="0"/>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1</w:t>
                          </w:r>
                          <w:r>
                            <w:rPr>
                              <w:rFonts w:hint="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1</w:t>
                    </w:r>
                    <w:r>
                      <w:rPr>
                        <w:rFonts w:hint="eastAsia"/>
                        <w:sz w:val="21"/>
                        <w:szCs w:val="21"/>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84843110"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3</w:t>
                          </w:r>
                          <w:r>
                            <w:rPr>
                              <w:rFonts w:hint="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3</w:t>
                    </w:r>
                    <w:r>
                      <w:rPr>
                        <w:rFonts w:hint="eastAsia"/>
                        <w:sz w:val="21"/>
                        <w:szCs w:val="21"/>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6358681"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4</w:t>
                          </w:r>
                          <w:r>
                            <w:rPr>
                              <w:rFonts w:hint="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4</w:t>
                    </w:r>
                    <w:r>
                      <w:rPr>
                        <w:rFonts w:hint="eastAsia"/>
                        <w:sz w:val="21"/>
                        <w:szCs w:val="21"/>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5221554"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4</w:t>
                          </w:r>
                          <w:r>
                            <w:rPr>
                              <w:rFonts w:hint="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4</w:t>
                    </w:r>
                    <w:r>
                      <w:rPr>
                        <w:rFonts w:hint="eastAsia"/>
                        <w:sz w:val="21"/>
                        <w:szCs w:val="21"/>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pPr>
      <w:r>
        <w:separator/>
      </w:r>
    </w:p>
  </w:footnote>
  <w:footnote w:type="continuationSeparator" w:id="1">
    <w:p>
      <w:pPr>
        <w:spacing w:line="360" w:lineRule="auto"/>
      </w:pPr>
      <w:r>
        <w:continuationSeparator/>
      </w:r>
    </w:p>
  </w:footnote>
  <w:footnote w:id="2">
    <w:p>
      <w:pPr>
        <w:pStyle w:val="FootnoteText"/>
        <w:autoSpaceDE w:val="0"/>
        <w:autoSpaceDN w:val="0"/>
        <w:spacing w:line="240" w:lineRule="exact"/>
      </w:pPr>
      <w:r>
        <w:rPr>
          <w:rStyle w:val="FootnoteReference"/>
        </w:rPr>
        <w:footnoteRef/>
      </w:r>
      <w:r>
        <w:t xml:space="preserve"> </w:t>
      </w:r>
      <w:r>
        <w:rPr>
          <w:rFonts w:asciiTheme="minorEastAsia" w:eastAsiaTheme="minorEastAsia" w:hAnsiTheme="minorEastAsia" w:hint="eastAsia"/>
        </w:rPr>
        <w:t>Hui Li，Hong Liu，Antonios Siganos. A comparison of the stock market reactions of convertible bond offerings between financial and non-financial institutions: Do theydiffer?[J].International Review of Financial Analysis，2016，10(4):356-366.</w:t>
      </w:r>
    </w:p>
  </w:footnote>
  <w:footnote w:id="3">
    <w:p>
      <w:pPr>
        <w:pStyle w:val="FootnoteText"/>
        <w:spacing w:line="240" w:lineRule="exact"/>
        <w:rPr>
          <w:rFonts w:asciiTheme="minorEastAsia" w:eastAsiaTheme="minorEastAsia" w:hAnsiTheme="minorEastAsia"/>
        </w:rPr>
      </w:pPr>
      <w:r>
        <w:rPr>
          <w:rStyle w:val="FootnoteReference"/>
        </w:rPr>
        <w:footnoteRef/>
      </w:r>
      <w:r>
        <w:t xml:space="preserve"> </w:t>
      </w:r>
      <w:r>
        <w:rPr>
          <w:rFonts w:asciiTheme="minorEastAsia" w:eastAsiaTheme="minorEastAsia" w:hAnsiTheme="minorEastAsia" w:hint="eastAsia"/>
        </w:rPr>
        <w:t>Bruce D. Grundy，Patrick Verwijmeren.The buyers'ective on securitydesign: Hedge funds and convertible bond call provisions.Journal of Financial Economics， 2017， 3:115-136.</w:t>
      </w:r>
    </w:p>
  </w:footnote>
  <w:footnote w:id="4">
    <w:p>
      <w:pPr>
        <w:pStyle w:val="FootnoteText"/>
        <w:spacing w:line="240" w:lineRule="exact"/>
        <w:rPr>
          <w:rFonts w:asciiTheme="minorEastAsia" w:eastAsiaTheme="minorEastAsia" w:hAnsiTheme="minorEastAsia"/>
        </w:rPr>
      </w:pPr>
      <w:r>
        <w:rPr>
          <w:rStyle w:val="FootnoteReference"/>
        </w:rPr>
        <w:footnoteRef/>
      </w:r>
      <w:r>
        <w:t xml:space="preserve"> </w:t>
      </w:r>
      <w:r>
        <w:rPr>
          <w:rFonts w:asciiTheme="minorEastAsia" w:eastAsiaTheme="minorEastAsia" w:hAnsiTheme="minorEastAsia" w:hint="eastAsia"/>
        </w:rPr>
        <w:t>Inmoo Lee，Tim Loughran. Performance following convertible bond issuance[J].Journal of Financial Economics，2016，10(98):185-207.</w:t>
      </w:r>
    </w:p>
  </w:footnote>
  <w:footnote w:id="5">
    <w:p>
      <w:pPr>
        <w:pStyle w:val="FootnoteText"/>
        <w:spacing w:line="240" w:lineRule="exact"/>
      </w:pPr>
      <w:r>
        <w:rPr>
          <w:rStyle w:val="FootnoteReference"/>
        </w:rPr>
        <w:footnoteRef/>
      </w:r>
      <w:r>
        <w:rPr>
          <w:rFonts w:asciiTheme="minorEastAsia" w:eastAsiaTheme="minorEastAsia" w:hAnsiTheme="minorEastAsia" w:hint="eastAsia"/>
        </w:rPr>
        <w:t>张小兵，刘昌富.可转换债券的动因分析——以“蓝标转债”为例[J].现代营销(信息版)，2019(08):9-10.</w:t>
      </w:r>
    </w:p>
  </w:footnote>
  <w:footnote w:id="6">
    <w:p>
      <w:pPr>
        <w:pStyle w:val="FootnoteText"/>
        <w:spacing w:line="240" w:lineRule="exact"/>
        <w:rPr>
          <w:rFonts w:asciiTheme="minorEastAsia" w:eastAsiaTheme="minorEastAsia" w:hAnsiTheme="minorEastAsia"/>
        </w:rPr>
      </w:pPr>
      <w:r>
        <w:rPr>
          <w:rStyle w:val="FootnoteReference"/>
          <w:rFonts w:asciiTheme="minorEastAsia" w:eastAsiaTheme="minorEastAsia" w:hAnsiTheme="minorEastAsia"/>
        </w:rPr>
        <w:footnoteRef/>
      </w:r>
      <w:r>
        <w:rPr>
          <w:rFonts w:asciiTheme="minorEastAsia" w:eastAsiaTheme="minorEastAsia" w:hAnsiTheme="minorEastAsia" w:hint="eastAsia"/>
        </w:rPr>
        <w:t>马亚萍.歌尔股份发行可转换债券的动因及效应分析[J].河北企业，2020(02):105-106.</w:t>
      </w:r>
    </w:p>
  </w:footnote>
  <w:footnote w:id="7">
    <w:p>
      <w:pPr>
        <w:pStyle w:val="FootnoteText"/>
        <w:spacing w:line="240" w:lineRule="exact"/>
      </w:pPr>
      <w:r>
        <w:rPr>
          <w:rStyle w:val="FootnoteReference"/>
          <w:rFonts w:asciiTheme="minorEastAsia" w:eastAsiaTheme="minorEastAsia" w:hAnsiTheme="minorEastAsia"/>
        </w:rPr>
        <w:footnoteRef/>
      </w:r>
      <w:r>
        <w:rPr>
          <w:rFonts w:asciiTheme="minorEastAsia" w:eastAsiaTheme="minorEastAsia" w:hAnsiTheme="minorEastAsia" w:hint="eastAsia"/>
        </w:rPr>
        <w:t>邹秉辰，王玉龙，章卫东.上市公司发行可转换债券的股东财富效应及其影响因素[J].中国注册会计师，2020(01):49-54.</w:t>
      </w:r>
    </w:p>
  </w:footnote>
  <w:footnote w:id="8">
    <w:p>
      <w:pPr>
        <w:pStyle w:val="FootnoteText"/>
        <w:spacing w:line="240" w:lineRule="exact"/>
      </w:pPr>
      <w:r>
        <w:rPr>
          <w:rStyle w:val="FootnoteReference"/>
        </w:rPr>
        <w:footnoteRef/>
      </w:r>
      <w:r>
        <w:rPr>
          <w:rFonts w:asciiTheme="minorEastAsia" w:eastAsiaTheme="minorEastAsia" w:hAnsiTheme="minorEastAsia" w:hint="eastAsia"/>
        </w:rPr>
        <w:t>衣龙新;巫凯平.可转债转股结果对公司财务状况影响分析[J].特区经济，2019，No.366，146-148.</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6CC72AF"/>
    <w:multiLevelType w:val="singleLevel"/>
    <w:tmpl w:val="96CC72AF"/>
    <w:lvl w:ilvl="0">
      <w:start w:val="1"/>
      <w:numFmt w:val="decimal"/>
      <w:lvlText w:val="%1."/>
      <w:lvlJc w:val="left"/>
      <w:pPr>
        <w:tabs>
          <w:tab w:val="left" w:pos="312"/>
        </w:tabs>
      </w:pPr>
    </w:lvl>
  </w:abstractNum>
  <w:abstractNum w:abstractNumId="1">
    <w:nsid w:val="A1229FB6"/>
    <w:multiLevelType w:val="singleLevel"/>
    <w:tmpl w:val="A1229FB6"/>
    <w:lvl w:ilvl="0">
      <w:start w:val="1"/>
      <w:numFmt w:val="decimal"/>
      <w:lvlText w:val="%1."/>
      <w:lvlJc w:val="left"/>
      <w:pPr>
        <w:tabs>
          <w:tab w:val="left" w:pos="312"/>
        </w:tabs>
      </w:pPr>
    </w:lvl>
  </w:abstractNum>
  <w:abstractNum w:abstractNumId="2">
    <w:nsid w:val="BA06BA4F"/>
    <w:multiLevelType w:val="singleLevel"/>
    <w:tmpl w:val="BA06BA4F"/>
    <w:lvl w:ilvl="0">
      <w:start w:val="1"/>
      <w:numFmt w:val="decimal"/>
      <w:suff w:val="nothing"/>
      <w:lvlText w:val="（%1）"/>
      <w:lvlJc w:val="left"/>
    </w:lvl>
  </w:abstractNum>
  <w:abstractNum w:abstractNumId="3">
    <w:nsid w:val="D62D45B1"/>
    <w:multiLevelType w:val="singleLevel"/>
    <w:tmpl w:val="D62D45B1"/>
    <w:lvl w:ilvl="0">
      <w:start w:val="1"/>
      <w:numFmt w:val="decimal"/>
      <w:lvlText w:val="%1."/>
      <w:lvlJc w:val="left"/>
      <w:pPr>
        <w:tabs>
          <w:tab w:val="left" w:pos="312"/>
        </w:tabs>
      </w:pPr>
    </w:lvl>
  </w:abstractNum>
  <w:abstractNum w:abstractNumId="4">
    <w:nsid w:val="E3A7F346"/>
    <w:multiLevelType w:val="singleLevel"/>
    <w:tmpl w:val="E3A7F346"/>
    <w:lvl w:ilvl="0">
      <w:start w:val="1"/>
      <w:numFmt w:val="decimal"/>
      <w:lvlText w:val="%1."/>
      <w:lvlJc w:val="left"/>
      <w:pPr>
        <w:tabs>
          <w:tab w:val="left" w:pos="312"/>
        </w:tabs>
      </w:pPr>
    </w:lvl>
  </w:abstractNum>
  <w:abstractNum w:abstractNumId="5">
    <w:nsid w:val="00883D90"/>
    <w:multiLevelType w:val="multilevel"/>
    <w:tmpl w:val="3382480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795774E"/>
    <w:multiLevelType w:val="multilevel"/>
    <w:tmpl w:val="2C31114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935F0B0"/>
    <w:multiLevelType w:val="singleLevel"/>
    <w:tmpl w:val="0935F0B0"/>
    <w:lvl w:ilvl="0">
      <w:start w:val="1"/>
      <w:numFmt w:val="decimal"/>
      <w:lvlText w:val="%1."/>
      <w:lvlJc w:val="left"/>
      <w:pPr>
        <w:tabs>
          <w:tab w:val="left" w:pos="312"/>
        </w:tabs>
      </w:pPr>
    </w:lvl>
  </w:abstractNum>
  <w:abstractNum w:abstractNumId="8">
    <w:nsid w:val="1716A565"/>
    <w:multiLevelType w:val="multilevel"/>
    <w:tmpl w:val="347C473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1A479D91"/>
    <w:multiLevelType w:val="singleLevel"/>
    <w:tmpl w:val="1A479D91"/>
    <w:lvl w:ilvl="0">
      <w:start w:val="1"/>
      <w:numFmt w:val="chineseCounting"/>
      <w:suff w:val="nothing"/>
      <w:lvlText w:val="（%1）"/>
      <w:lvlJc w:val="left"/>
      <w:rPr>
        <w:rFonts w:hint="eastAsia"/>
      </w:rPr>
    </w:lvl>
  </w:abstractNum>
  <w:abstractNum w:abstractNumId="10">
    <w:nsid w:val="1B400B49"/>
    <w:multiLevelType w:val="multilevel"/>
    <w:tmpl w:val="1B400B49"/>
    <w:lvl w:ilvl="0">
      <w:start w:val="1"/>
      <w:numFmt w:val="japaneseCounting"/>
      <w:lvlText w:val="（%1）"/>
      <w:lvlJc w:val="left"/>
      <w:pPr>
        <w:ind w:left="765" w:hanging="76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1B94394E"/>
    <w:multiLevelType w:val="multilevel"/>
    <w:tmpl w:val="1B94394E"/>
    <w:lvl w:ilvl="0">
      <w:start w:val="1"/>
      <w:numFmt w:val="japaneseCounting"/>
      <w:lvlText w:val="（%1）"/>
      <w:lvlJc w:val="left"/>
      <w:pPr>
        <w:ind w:left="765" w:hanging="76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22039D01"/>
    <w:multiLevelType w:val="singleLevel"/>
    <w:tmpl w:val="22039D01"/>
    <w:lvl w:ilvl="0">
      <w:start w:val="1"/>
      <w:numFmt w:val="chineseCounting"/>
      <w:suff w:val="nothing"/>
      <w:lvlText w:val="（%1）"/>
      <w:lvlJc w:val="left"/>
      <w:rPr>
        <w:rFonts w:hint="eastAsia"/>
      </w:rPr>
    </w:lvl>
  </w:abstractNum>
  <w:abstractNum w:abstractNumId="13">
    <w:nsid w:val="23D429A9"/>
    <w:multiLevelType w:val="multilevel"/>
    <w:tmpl w:val="23D429A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2B0D47F6"/>
    <w:multiLevelType w:val="multilevel"/>
    <w:tmpl w:val="2B0D47F6"/>
    <w:lvl w:ilvl="0">
      <w:start w:val="1"/>
      <w:numFmt w:val="japaneseCounting"/>
      <w:lvlText w:val="（%1）"/>
      <w:lvlJc w:val="left"/>
      <w:pPr>
        <w:ind w:left="885" w:hanging="88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2C31114E"/>
    <w:multiLevelType w:val="multilevel"/>
    <w:tmpl w:val="2C31114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3382480E"/>
    <w:multiLevelType w:val="multilevel"/>
    <w:tmpl w:val="3382480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34710EB0"/>
    <w:multiLevelType w:val="multilevel"/>
    <w:tmpl w:val="34710EB0"/>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347C4731"/>
    <w:multiLevelType w:val="multilevel"/>
    <w:tmpl w:val="347C473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411748CF"/>
    <w:multiLevelType w:val="singleLevel"/>
    <w:tmpl w:val="411748CF"/>
    <w:lvl w:ilvl="0">
      <w:start w:val="1"/>
      <w:numFmt w:val="decimal"/>
      <w:lvlText w:val="%1."/>
      <w:lvlJc w:val="left"/>
      <w:pPr>
        <w:tabs>
          <w:tab w:val="left" w:pos="312"/>
        </w:tabs>
      </w:pPr>
    </w:lvl>
  </w:abstractNum>
  <w:abstractNum w:abstractNumId="20">
    <w:nsid w:val="6B02FF58"/>
    <w:multiLevelType w:val="multilevel"/>
    <w:tmpl w:val="34710EB0"/>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nsid w:val="706C05B2"/>
    <w:multiLevelType w:val="singleLevel"/>
    <w:tmpl w:val="706C05B2"/>
    <w:lvl w:ilvl="0">
      <w:start w:val="1"/>
      <w:numFmt w:val="chineseCounting"/>
      <w:suff w:val="nothing"/>
      <w:lvlText w:val="（%1）"/>
      <w:lvlJc w:val="left"/>
      <w:rPr>
        <w:rFonts w:hint="eastAsia"/>
      </w:rPr>
    </w:lvl>
  </w:abstractNum>
  <w:abstractNum w:abstractNumId="22">
    <w:nsid w:val="7BA25546"/>
    <w:multiLevelType w:val="multilevel"/>
    <w:tmpl w:val="7BA25546"/>
    <w:lvl w:ilvl="0">
      <w:start w:val="1"/>
      <w:numFmt w:val="japaneseCounting"/>
      <w:lvlText w:val="（%1）"/>
      <w:lvlJc w:val="left"/>
      <w:pPr>
        <w:ind w:left="765" w:hanging="76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7D8E0F49"/>
    <w:multiLevelType w:val="multilevel"/>
    <w:tmpl w:val="7D8E0F4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7"/>
  </w:num>
  <w:num w:numId="2">
    <w:abstractNumId w:val="10"/>
  </w:num>
  <w:num w:numId="3">
    <w:abstractNumId w:val="16"/>
  </w:num>
  <w:num w:numId="4">
    <w:abstractNumId w:val="18"/>
  </w:num>
  <w:num w:numId="5">
    <w:abstractNumId w:val="15"/>
  </w:num>
  <w:num w:numId="6">
    <w:abstractNumId w:val="11"/>
  </w:num>
  <w:num w:numId="7">
    <w:abstractNumId w:val="13"/>
  </w:num>
  <w:num w:numId="8">
    <w:abstractNumId w:val="2"/>
  </w:num>
  <w:num w:numId="9">
    <w:abstractNumId w:val="23"/>
  </w:num>
  <w:num w:numId="10">
    <w:abstractNumId w:val="12"/>
  </w:num>
  <w:num w:numId="11">
    <w:abstractNumId w:val="1"/>
  </w:num>
  <w:num w:numId="12">
    <w:abstractNumId w:val="0"/>
  </w:num>
  <w:num w:numId="13">
    <w:abstractNumId w:val="21"/>
  </w:num>
  <w:num w:numId="14">
    <w:abstractNumId w:val="3"/>
  </w:num>
  <w:num w:numId="15">
    <w:abstractNumId w:val="4"/>
  </w:num>
  <w:num w:numId="16">
    <w:abstractNumId w:val="7"/>
  </w:num>
  <w:num w:numId="17">
    <w:abstractNumId w:val="9"/>
  </w:num>
  <w:num w:numId="18">
    <w:abstractNumId w:val="19"/>
  </w:num>
  <w:num w:numId="19">
    <w:abstractNumId w:val="22"/>
  </w:num>
  <w:num w:numId="20">
    <w:abstractNumId w:val="14"/>
  </w:num>
  <w:num w:numId="21">
    <w:abstractNumId w:val="20"/>
  </w:num>
  <w:num w:numId="22">
    <w:abstractNumId w:val="5"/>
  </w:num>
  <w:num w:numId="23">
    <w:abstractNumId w:val="8"/>
  </w:num>
  <w:num w:numId="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hideGrammaticalErrors/>
  <w:zoom w:percent="90"/>
  <w:bordersDoNotSurroundHeader/>
  <w:bordersDoNotSurroundFooter/>
  <w:defaultTabStop w:val="0"/>
  <w:drawingGridHorizontalSpacing w:val="120"/>
  <w:drawingGridVerticalSpacing w:val="163"/>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5DE3"/>
    <w:rsid w:val="000071EB"/>
    <w:rsid w:val="00015AC6"/>
    <w:rsid w:val="00030B24"/>
    <w:rsid w:val="0004439C"/>
    <w:rsid w:val="00070D33"/>
    <w:rsid w:val="000750B0"/>
    <w:rsid w:val="00082DAF"/>
    <w:rsid w:val="00090A90"/>
    <w:rsid w:val="000972EC"/>
    <w:rsid w:val="000A076E"/>
    <w:rsid w:val="000A1557"/>
    <w:rsid w:val="000A79EB"/>
    <w:rsid w:val="000B07D2"/>
    <w:rsid w:val="000B1041"/>
    <w:rsid w:val="000B211A"/>
    <w:rsid w:val="000B71DA"/>
    <w:rsid w:val="000C328E"/>
    <w:rsid w:val="000C38D2"/>
    <w:rsid w:val="000C50DA"/>
    <w:rsid w:val="000D2CB4"/>
    <w:rsid w:val="000D4C3A"/>
    <w:rsid w:val="000D6D86"/>
    <w:rsid w:val="000E14A0"/>
    <w:rsid w:val="000E2674"/>
    <w:rsid w:val="000E2D08"/>
    <w:rsid w:val="000E5070"/>
    <w:rsid w:val="000E52B9"/>
    <w:rsid w:val="000E7489"/>
    <w:rsid w:val="000F73F3"/>
    <w:rsid w:val="0010217C"/>
    <w:rsid w:val="00104167"/>
    <w:rsid w:val="001166D2"/>
    <w:rsid w:val="00117182"/>
    <w:rsid w:val="0013023B"/>
    <w:rsid w:val="001303BA"/>
    <w:rsid w:val="00130E81"/>
    <w:rsid w:val="00142E16"/>
    <w:rsid w:val="00142F84"/>
    <w:rsid w:val="0014333C"/>
    <w:rsid w:val="00153D41"/>
    <w:rsid w:val="001604E3"/>
    <w:rsid w:val="0016357A"/>
    <w:rsid w:val="00163DE7"/>
    <w:rsid w:val="001646FB"/>
    <w:rsid w:val="00170C6F"/>
    <w:rsid w:val="001731E8"/>
    <w:rsid w:val="001736F9"/>
    <w:rsid w:val="0017523A"/>
    <w:rsid w:val="00182F59"/>
    <w:rsid w:val="0018430F"/>
    <w:rsid w:val="00194173"/>
    <w:rsid w:val="001A1CF0"/>
    <w:rsid w:val="001A36BE"/>
    <w:rsid w:val="001A3708"/>
    <w:rsid w:val="001A629D"/>
    <w:rsid w:val="001B276E"/>
    <w:rsid w:val="001C003C"/>
    <w:rsid w:val="001C3E95"/>
    <w:rsid w:val="001C4796"/>
    <w:rsid w:val="001D1A65"/>
    <w:rsid w:val="001D1CA3"/>
    <w:rsid w:val="001D4A75"/>
    <w:rsid w:val="001E4290"/>
    <w:rsid w:val="001F00D1"/>
    <w:rsid w:val="001F400B"/>
    <w:rsid w:val="001F5738"/>
    <w:rsid w:val="00200062"/>
    <w:rsid w:val="002015C4"/>
    <w:rsid w:val="00205508"/>
    <w:rsid w:val="00207A4F"/>
    <w:rsid w:val="002133F5"/>
    <w:rsid w:val="00221A84"/>
    <w:rsid w:val="00230B5A"/>
    <w:rsid w:val="00233A07"/>
    <w:rsid w:val="002407CC"/>
    <w:rsid w:val="00243604"/>
    <w:rsid w:val="00243E8D"/>
    <w:rsid w:val="00251180"/>
    <w:rsid w:val="00251BD0"/>
    <w:rsid w:val="002532D5"/>
    <w:rsid w:val="002543B7"/>
    <w:rsid w:val="00260A38"/>
    <w:rsid w:val="00262BF1"/>
    <w:rsid w:val="00267C2B"/>
    <w:rsid w:val="00275013"/>
    <w:rsid w:val="00277AE2"/>
    <w:rsid w:val="002813D6"/>
    <w:rsid w:val="002830EC"/>
    <w:rsid w:val="00283F66"/>
    <w:rsid w:val="00284608"/>
    <w:rsid w:val="00286BC4"/>
    <w:rsid w:val="0029444E"/>
    <w:rsid w:val="00296B44"/>
    <w:rsid w:val="002A2010"/>
    <w:rsid w:val="002A4CE4"/>
    <w:rsid w:val="002B22EA"/>
    <w:rsid w:val="002B5D6D"/>
    <w:rsid w:val="002C0E6F"/>
    <w:rsid w:val="002C23B4"/>
    <w:rsid w:val="002C3ECF"/>
    <w:rsid w:val="002D0B23"/>
    <w:rsid w:val="002D13FD"/>
    <w:rsid w:val="002D69E9"/>
    <w:rsid w:val="002E1465"/>
    <w:rsid w:val="002E3242"/>
    <w:rsid w:val="002F5AB1"/>
    <w:rsid w:val="00306421"/>
    <w:rsid w:val="00313508"/>
    <w:rsid w:val="00317723"/>
    <w:rsid w:val="0032537E"/>
    <w:rsid w:val="00343AD8"/>
    <w:rsid w:val="00344472"/>
    <w:rsid w:val="0034699A"/>
    <w:rsid w:val="0035032D"/>
    <w:rsid w:val="003520A8"/>
    <w:rsid w:val="00357A90"/>
    <w:rsid w:val="00371E74"/>
    <w:rsid w:val="00372245"/>
    <w:rsid w:val="00374E6B"/>
    <w:rsid w:val="00394D6B"/>
    <w:rsid w:val="003A3F74"/>
    <w:rsid w:val="003B3BFB"/>
    <w:rsid w:val="003B6619"/>
    <w:rsid w:val="003B68A9"/>
    <w:rsid w:val="003B6F3C"/>
    <w:rsid w:val="003C2451"/>
    <w:rsid w:val="003C27BD"/>
    <w:rsid w:val="003D35F1"/>
    <w:rsid w:val="003D6AA3"/>
    <w:rsid w:val="003E4720"/>
    <w:rsid w:val="003E65DF"/>
    <w:rsid w:val="003F7842"/>
    <w:rsid w:val="00402B77"/>
    <w:rsid w:val="00420F56"/>
    <w:rsid w:val="00421092"/>
    <w:rsid w:val="00424BE0"/>
    <w:rsid w:val="00424BF8"/>
    <w:rsid w:val="004273EA"/>
    <w:rsid w:val="0043283E"/>
    <w:rsid w:val="00441D73"/>
    <w:rsid w:val="004428BC"/>
    <w:rsid w:val="00442A20"/>
    <w:rsid w:val="00445C55"/>
    <w:rsid w:val="0045119B"/>
    <w:rsid w:val="004752C2"/>
    <w:rsid w:val="004753AA"/>
    <w:rsid w:val="00480803"/>
    <w:rsid w:val="00480EE9"/>
    <w:rsid w:val="00485355"/>
    <w:rsid w:val="00491B4D"/>
    <w:rsid w:val="004A0E70"/>
    <w:rsid w:val="004A31BD"/>
    <w:rsid w:val="004D45A8"/>
    <w:rsid w:val="004D5662"/>
    <w:rsid w:val="004D65A8"/>
    <w:rsid w:val="004E49DC"/>
    <w:rsid w:val="004F0441"/>
    <w:rsid w:val="004F34D4"/>
    <w:rsid w:val="004F35A7"/>
    <w:rsid w:val="004F37D5"/>
    <w:rsid w:val="004F6F5E"/>
    <w:rsid w:val="004F717C"/>
    <w:rsid w:val="00501709"/>
    <w:rsid w:val="00506151"/>
    <w:rsid w:val="00511D7A"/>
    <w:rsid w:val="00512850"/>
    <w:rsid w:val="00513382"/>
    <w:rsid w:val="00524734"/>
    <w:rsid w:val="0052622B"/>
    <w:rsid w:val="00526240"/>
    <w:rsid w:val="005327DA"/>
    <w:rsid w:val="0053559E"/>
    <w:rsid w:val="00536F15"/>
    <w:rsid w:val="00540757"/>
    <w:rsid w:val="00545667"/>
    <w:rsid w:val="00547023"/>
    <w:rsid w:val="005558CE"/>
    <w:rsid w:val="005612A1"/>
    <w:rsid w:val="0056427D"/>
    <w:rsid w:val="00566745"/>
    <w:rsid w:val="00566BFD"/>
    <w:rsid w:val="00566DCD"/>
    <w:rsid w:val="0057733A"/>
    <w:rsid w:val="005A00C2"/>
    <w:rsid w:val="005A1155"/>
    <w:rsid w:val="005A3000"/>
    <w:rsid w:val="005A5462"/>
    <w:rsid w:val="005B3C19"/>
    <w:rsid w:val="005B4658"/>
    <w:rsid w:val="005B64EB"/>
    <w:rsid w:val="005C4560"/>
    <w:rsid w:val="005C4809"/>
    <w:rsid w:val="005C5FE7"/>
    <w:rsid w:val="005D68B4"/>
    <w:rsid w:val="005E5D2B"/>
    <w:rsid w:val="005F08BF"/>
    <w:rsid w:val="005F1AE6"/>
    <w:rsid w:val="00600265"/>
    <w:rsid w:val="00612202"/>
    <w:rsid w:val="00636C01"/>
    <w:rsid w:val="00637B6D"/>
    <w:rsid w:val="00641E25"/>
    <w:rsid w:val="00645587"/>
    <w:rsid w:val="0064720F"/>
    <w:rsid w:val="00653143"/>
    <w:rsid w:val="0065432E"/>
    <w:rsid w:val="00657441"/>
    <w:rsid w:val="00661ED4"/>
    <w:rsid w:val="006645D1"/>
    <w:rsid w:val="00671B29"/>
    <w:rsid w:val="006764BA"/>
    <w:rsid w:val="006826A0"/>
    <w:rsid w:val="00682DE5"/>
    <w:rsid w:val="006844F0"/>
    <w:rsid w:val="00684DB0"/>
    <w:rsid w:val="00691E52"/>
    <w:rsid w:val="00693A3C"/>
    <w:rsid w:val="006970BC"/>
    <w:rsid w:val="0069712A"/>
    <w:rsid w:val="006C120B"/>
    <w:rsid w:val="006D157B"/>
    <w:rsid w:val="006D1D50"/>
    <w:rsid w:val="006D4A80"/>
    <w:rsid w:val="006E3D14"/>
    <w:rsid w:val="006E3FBA"/>
    <w:rsid w:val="006E4D50"/>
    <w:rsid w:val="006E61DE"/>
    <w:rsid w:val="007000D8"/>
    <w:rsid w:val="00703E8D"/>
    <w:rsid w:val="0070643E"/>
    <w:rsid w:val="007108A1"/>
    <w:rsid w:val="00720D3E"/>
    <w:rsid w:val="00722570"/>
    <w:rsid w:val="0073393B"/>
    <w:rsid w:val="0073728E"/>
    <w:rsid w:val="00741335"/>
    <w:rsid w:val="00741719"/>
    <w:rsid w:val="00743515"/>
    <w:rsid w:val="00746569"/>
    <w:rsid w:val="007466F0"/>
    <w:rsid w:val="00752609"/>
    <w:rsid w:val="007532C5"/>
    <w:rsid w:val="00753452"/>
    <w:rsid w:val="007535AB"/>
    <w:rsid w:val="00754173"/>
    <w:rsid w:val="0076651B"/>
    <w:rsid w:val="00771F63"/>
    <w:rsid w:val="00780F38"/>
    <w:rsid w:val="00785B34"/>
    <w:rsid w:val="00786798"/>
    <w:rsid w:val="007902DB"/>
    <w:rsid w:val="00791972"/>
    <w:rsid w:val="00795E73"/>
    <w:rsid w:val="007A1682"/>
    <w:rsid w:val="007A47D4"/>
    <w:rsid w:val="007B10C6"/>
    <w:rsid w:val="007B3856"/>
    <w:rsid w:val="007C0421"/>
    <w:rsid w:val="007C15B2"/>
    <w:rsid w:val="007C5F2C"/>
    <w:rsid w:val="007C6A3B"/>
    <w:rsid w:val="007D255F"/>
    <w:rsid w:val="007E1C7F"/>
    <w:rsid w:val="007E784C"/>
    <w:rsid w:val="007F4CBB"/>
    <w:rsid w:val="007F653B"/>
    <w:rsid w:val="0080555B"/>
    <w:rsid w:val="00805BAB"/>
    <w:rsid w:val="0081531D"/>
    <w:rsid w:val="008162C7"/>
    <w:rsid w:val="00825F29"/>
    <w:rsid w:val="00826490"/>
    <w:rsid w:val="00833B52"/>
    <w:rsid w:val="00836009"/>
    <w:rsid w:val="00836FAE"/>
    <w:rsid w:val="00840263"/>
    <w:rsid w:val="008407AF"/>
    <w:rsid w:val="0084086A"/>
    <w:rsid w:val="00843F5A"/>
    <w:rsid w:val="00846DD6"/>
    <w:rsid w:val="008507D0"/>
    <w:rsid w:val="00857DE5"/>
    <w:rsid w:val="00861725"/>
    <w:rsid w:val="0086425B"/>
    <w:rsid w:val="00871911"/>
    <w:rsid w:val="0088282F"/>
    <w:rsid w:val="00882E20"/>
    <w:rsid w:val="00883871"/>
    <w:rsid w:val="008A05E4"/>
    <w:rsid w:val="008A1B62"/>
    <w:rsid w:val="008A4D5F"/>
    <w:rsid w:val="008A5B7A"/>
    <w:rsid w:val="008B3974"/>
    <w:rsid w:val="008C152C"/>
    <w:rsid w:val="008C3D62"/>
    <w:rsid w:val="008C503D"/>
    <w:rsid w:val="008E00D0"/>
    <w:rsid w:val="008E7C87"/>
    <w:rsid w:val="008F05AF"/>
    <w:rsid w:val="008F1D1D"/>
    <w:rsid w:val="008F68F8"/>
    <w:rsid w:val="008F779D"/>
    <w:rsid w:val="00900C10"/>
    <w:rsid w:val="00903816"/>
    <w:rsid w:val="0090695B"/>
    <w:rsid w:val="00911F2F"/>
    <w:rsid w:val="009274FB"/>
    <w:rsid w:val="00932E6B"/>
    <w:rsid w:val="009348A7"/>
    <w:rsid w:val="00935508"/>
    <w:rsid w:val="009443AF"/>
    <w:rsid w:val="00960F33"/>
    <w:rsid w:val="00966AB2"/>
    <w:rsid w:val="009705DA"/>
    <w:rsid w:val="00976EEE"/>
    <w:rsid w:val="009771A1"/>
    <w:rsid w:val="009908C5"/>
    <w:rsid w:val="009922DF"/>
    <w:rsid w:val="00993C60"/>
    <w:rsid w:val="009A322C"/>
    <w:rsid w:val="009A3445"/>
    <w:rsid w:val="009B570C"/>
    <w:rsid w:val="009B62BA"/>
    <w:rsid w:val="009B79CE"/>
    <w:rsid w:val="009C125A"/>
    <w:rsid w:val="009C279A"/>
    <w:rsid w:val="009D078E"/>
    <w:rsid w:val="009D11B7"/>
    <w:rsid w:val="009D4E5C"/>
    <w:rsid w:val="009E67A3"/>
    <w:rsid w:val="009E7944"/>
    <w:rsid w:val="009F685E"/>
    <w:rsid w:val="009F726F"/>
    <w:rsid w:val="00A0227C"/>
    <w:rsid w:val="00A03086"/>
    <w:rsid w:val="00A03E3D"/>
    <w:rsid w:val="00A03F16"/>
    <w:rsid w:val="00A04585"/>
    <w:rsid w:val="00A07A68"/>
    <w:rsid w:val="00A10E39"/>
    <w:rsid w:val="00A13470"/>
    <w:rsid w:val="00A17E2E"/>
    <w:rsid w:val="00A201C7"/>
    <w:rsid w:val="00A23B40"/>
    <w:rsid w:val="00A25EBF"/>
    <w:rsid w:val="00A27458"/>
    <w:rsid w:val="00A370A7"/>
    <w:rsid w:val="00A620CB"/>
    <w:rsid w:val="00A8507E"/>
    <w:rsid w:val="00A920A9"/>
    <w:rsid w:val="00A93E23"/>
    <w:rsid w:val="00A953AE"/>
    <w:rsid w:val="00AA2123"/>
    <w:rsid w:val="00AA698A"/>
    <w:rsid w:val="00AB4762"/>
    <w:rsid w:val="00AB7A5F"/>
    <w:rsid w:val="00AC080F"/>
    <w:rsid w:val="00AC438C"/>
    <w:rsid w:val="00AC4446"/>
    <w:rsid w:val="00AC52F5"/>
    <w:rsid w:val="00AC5C01"/>
    <w:rsid w:val="00AD271C"/>
    <w:rsid w:val="00AD6C95"/>
    <w:rsid w:val="00AE0F3D"/>
    <w:rsid w:val="00AE18A4"/>
    <w:rsid w:val="00AE37F2"/>
    <w:rsid w:val="00AF5517"/>
    <w:rsid w:val="00B1195E"/>
    <w:rsid w:val="00B12324"/>
    <w:rsid w:val="00B20CC0"/>
    <w:rsid w:val="00B242F8"/>
    <w:rsid w:val="00B27172"/>
    <w:rsid w:val="00B35E79"/>
    <w:rsid w:val="00B40A19"/>
    <w:rsid w:val="00B42194"/>
    <w:rsid w:val="00B462A7"/>
    <w:rsid w:val="00B47E0D"/>
    <w:rsid w:val="00B5365F"/>
    <w:rsid w:val="00B55896"/>
    <w:rsid w:val="00B57764"/>
    <w:rsid w:val="00B57E74"/>
    <w:rsid w:val="00B63DC9"/>
    <w:rsid w:val="00B663D1"/>
    <w:rsid w:val="00B66569"/>
    <w:rsid w:val="00B671DC"/>
    <w:rsid w:val="00B74E7C"/>
    <w:rsid w:val="00B76D3F"/>
    <w:rsid w:val="00B808BA"/>
    <w:rsid w:val="00B81AA8"/>
    <w:rsid w:val="00B843CA"/>
    <w:rsid w:val="00B85049"/>
    <w:rsid w:val="00B93555"/>
    <w:rsid w:val="00BA15C7"/>
    <w:rsid w:val="00BA29B8"/>
    <w:rsid w:val="00BA7A56"/>
    <w:rsid w:val="00BB26F8"/>
    <w:rsid w:val="00BC3D1D"/>
    <w:rsid w:val="00BC4AF5"/>
    <w:rsid w:val="00BD009B"/>
    <w:rsid w:val="00BE282F"/>
    <w:rsid w:val="00BE4D65"/>
    <w:rsid w:val="00BF2DE9"/>
    <w:rsid w:val="00BF32AD"/>
    <w:rsid w:val="00BF720B"/>
    <w:rsid w:val="00C04D5C"/>
    <w:rsid w:val="00C070FA"/>
    <w:rsid w:val="00C072C9"/>
    <w:rsid w:val="00C0741A"/>
    <w:rsid w:val="00C07F71"/>
    <w:rsid w:val="00C10ADF"/>
    <w:rsid w:val="00C130C2"/>
    <w:rsid w:val="00C17E45"/>
    <w:rsid w:val="00C22F5F"/>
    <w:rsid w:val="00C2716B"/>
    <w:rsid w:val="00C31106"/>
    <w:rsid w:val="00C32DAC"/>
    <w:rsid w:val="00C3344E"/>
    <w:rsid w:val="00C3391E"/>
    <w:rsid w:val="00C3454A"/>
    <w:rsid w:val="00C3641F"/>
    <w:rsid w:val="00C4308A"/>
    <w:rsid w:val="00C447AA"/>
    <w:rsid w:val="00C447C0"/>
    <w:rsid w:val="00C519F9"/>
    <w:rsid w:val="00C64382"/>
    <w:rsid w:val="00C7522F"/>
    <w:rsid w:val="00C76108"/>
    <w:rsid w:val="00C80870"/>
    <w:rsid w:val="00C8106D"/>
    <w:rsid w:val="00C82F86"/>
    <w:rsid w:val="00C86E57"/>
    <w:rsid w:val="00C90002"/>
    <w:rsid w:val="00C96CFF"/>
    <w:rsid w:val="00CA4F30"/>
    <w:rsid w:val="00CB1B0E"/>
    <w:rsid w:val="00CB77DE"/>
    <w:rsid w:val="00CC4184"/>
    <w:rsid w:val="00CC647A"/>
    <w:rsid w:val="00CC6DAF"/>
    <w:rsid w:val="00CD4C97"/>
    <w:rsid w:val="00CD762F"/>
    <w:rsid w:val="00CE4DA1"/>
    <w:rsid w:val="00CE6A0B"/>
    <w:rsid w:val="00D14D61"/>
    <w:rsid w:val="00D235A0"/>
    <w:rsid w:val="00D336F0"/>
    <w:rsid w:val="00D352C6"/>
    <w:rsid w:val="00D40DFB"/>
    <w:rsid w:val="00D52DEA"/>
    <w:rsid w:val="00D57AFB"/>
    <w:rsid w:val="00D6093F"/>
    <w:rsid w:val="00D62702"/>
    <w:rsid w:val="00D679FC"/>
    <w:rsid w:val="00D70152"/>
    <w:rsid w:val="00D722BE"/>
    <w:rsid w:val="00D76763"/>
    <w:rsid w:val="00D84849"/>
    <w:rsid w:val="00D9028E"/>
    <w:rsid w:val="00D9392A"/>
    <w:rsid w:val="00D97418"/>
    <w:rsid w:val="00DA68F9"/>
    <w:rsid w:val="00DA7FDF"/>
    <w:rsid w:val="00DC63F4"/>
    <w:rsid w:val="00DD1148"/>
    <w:rsid w:val="00DD2383"/>
    <w:rsid w:val="00DE0061"/>
    <w:rsid w:val="00DE5D7B"/>
    <w:rsid w:val="00DE635E"/>
    <w:rsid w:val="00DF1634"/>
    <w:rsid w:val="00DF3A47"/>
    <w:rsid w:val="00DF41F1"/>
    <w:rsid w:val="00DF4510"/>
    <w:rsid w:val="00DF7BEA"/>
    <w:rsid w:val="00E032DF"/>
    <w:rsid w:val="00E03A81"/>
    <w:rsid w:val="00E10423"/>
    <w:rsid w:val="00E14EF1"/>
    <w:rsid w:val="00E155AF"/>
    <w:rsid w:val="00E17469"/>
    <w:rsid w:val="00E177A5"/>
    <w:rsid w:val="00E20724"/>
    <w:rsid w:val="00E21967"/>
    <w:rsid w:val="00E22A85"/>
    <w:rsid w:val="00E2448F"/>
    <w:rsid w:val="00E2613D"/>
    <w:rsid w:val="00E262CE"/>
    <w:rsid w:val="00E2671E"/>
    <w:rsid w:val="00E3458A"/>
    <w:rsid w:val="00E379BC"/>
    <w:rsid w:val="00E502A4"/>
    <w:rsid w:val="00E55CD6"/>
    <w:rsid w:val="00E671E9"/>
    <w:rsid w:val="00E7050A"/>
    <w:rsid w:val="00E711CB"/>
    <w:rsid w:val="00E722AA"/>
    <w:rsid w:val="00E773E5"/>
    <w:rsid w:val="00E81688"/>
    <w:rsid w:val="00E839FC"/>
    <w:rsid w:val="00E84A0C"/>
    <w:rsid w:val="00E852C2"/>
    <w:rsid w:val="00E875E4"/>
    <w:rsid w:val="00E9024F"/>
    <w:rsid w:val="00E932CF"/>
    <w:rsid w:val="00E9475B"/>
    <w:rsid w:val="00E96DE3"/>
    <w:rsid w:val="00EB0377"/>
    <w:rsid w:val="00EC2101"/>
    <w:rsid w:val="00ED026A"/>
    <w:rsid w:val="00EE573E"/>
    <w:rsid w:val="00EF0519"/>
    <w:rsid w:val="00EF15A4"/>
    <w:rsid w:val="00EF4556"/>
    <w:rsid w:val="00F0488B"/>
    <w:rsid w:val="00F059AF"/>
    <w:rsid w:val="00F14EB2"/>
    <w:rsid w:val="00F31104"/>
    <w:rsid w:val="00F3263D"/>
    <w:rsid w:val="00F333F9"/>
    <w:rsid w:val="00F33BEE"/>
    <w:rsid w:val="00F35FB1"/>
    <w:rsid w:val="00F43971"/>
    <w:rsid w:val="00F44E93"/>
    <w:rsid w:val="00F5281A"/>
    <w:rsid w:val="00F53C09"/>
    <w:rsid w:val="00F55DE3"/>
    <w:rsid w:val="00F63EF2"/>
    <w:rsid w:val="00F7143D"/>
    <w:rsid w:val="00F85D7F"/>
    <w:rsid w:val="00F86DA9"/>
    <w:rsid w:val="00F9176B"/>
    <w:rsid w:val="00FA4C83"/>
    <w:rsid w:val="00FA6B8D"/>
    <w:rsid w:val="00FB3763"/>
    <w:rsid w:val="00FB5717"/>
    <w:rsid w:val="00FB6C95"/>
    <w:rsid w:val="00FC3505"/>
    <w:rsid w:val="00FC43AE"/>
    <w:rsid w:val="00FC6AA2"/>
    <w:rsid w:val="00FD1DCC"/>
    <w:rsid w:val="00FD2244"/>
    <w:rsid w:val="00FD6AF5"/>
    <w:rsid w:val="00FE2370"/>
    <w:rsid w:val="00FE56CC"/>
    <w:rsid w:val="00FF46E3"/>
    <w:rsid w:val="00FF6D3C"/>
    <w:rsid w:val="0C847F36"/>
    <w:rsid w:val="1450786C"/>
    <w:rsid w:val="197B796C"/>
    <w:rsid w:val="1D9D0087"/>
    <w:rsid w:val="20D97133"/>
    <w:rsid w:val="60B9616D"/>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lsdException w:name="footnote text" w:qFormat="1"/>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qFormat="1"/>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qFormat="1"/>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jc w:val="both"/>
    </w:pPr>
    <w:rPr>
      <w:rFonts w:ascii="Times New Roman" w:eastAsia="宋体" w:hAnsi="Times New Roman" w:cstheme="minorBidi"/>
      <w:kern w:val="2"/>
      <w:sz w:val="24"/>
      <w:szCs w:val="24"/>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b/>
      <w:bCs/>
      <w:kern w:val="44"/>
      <w:sz w:val="44"/>
      <w:szCs w:val="44"/>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7">
    <w:name w:val="toc 7"/>
    <w:basedOn w:val="Normal"/>
    <w:next w:val="Normal"/>
    <w:autoRedefine/>
    <w:uiPriority w:val="39"/>
    <w:unhideWhenUsed/>
    <w:qFormat/>
    <w:pPr>
      <w:spacing w:line="240" w:lineRule="auto"/>
      <w:ind w:left="2520" w:leftChars="1200"/>
    </w:pPr>
    <w:rPr>
      <w:rFonts w:asciiTheme="minorHAnsi" w:eastAsiaTheme="minorEastAsia" w:hAnsiTheme="minorHAnsi"/>
      <w:sz w:val="21"/>
      <w:szCs w:val="22"/>
    </w:rPr>
  </w:style>
  <w:style w:type="paragraph" w:styleId="TOC5">
    <w:name w:val="toc 5"/>
    <w:basedOn w:val="Normal"/>
    <w:next w:val="Normal"/>
    <w:autoRedefine/>
    <w:uiPriority w:val="39"/>
    <w:unhideWhenUsed/>
    <w:qFormat/>
    <w:pPr>
      <w:spacing w:line="240" w:lineRule="auto"/>
      <w:ind w:left="1680" w:leftChars="800"/>
    </w:pPr>
    <w:rPr>
      <w:rFonts w:asciiTheme="minorHAnsi" w:eastAsiaTheme="minorEastAsia" w:hAnsiTheme="minorHAnsi"/>
      <w:sz w:val="21"/>
      <w:szCs w:val="22"/>
    </w:rPr>
  </w:style>
  <w:style w:type="paragraph" w:styleId="TOC3">
    <w:name w:val="toc 3"/>
    <w:basedOn w:val="Normal"/>
    <w:next w:val="Normal"/>
    <w:autoRedefine/>
    <w:uiPriority w:val="39"/>
    <w:unhideWhenUsed/>
    <w:qFormat/>
    <w:pPr>
      <w:widowControl/>
      <w:spacing w:after="100" w:line="276" w:lineRule="auto"/>
      <w:ind w:left="440"/>
      <w:jc w:val="left"/>
    </w:pPr>
    <w:rPr>
      <w:rFonts w:asciiTheme="minorHAnsi" w:eastAsiaTheme="minorEastAsia" w:hAnsiTheme="minorHAnsi"/>
      <w:kern w:val="0"/>
      <w:sz w:val="22"/>
      <w:szCs w:val="22"/>
    </w:rPr>
  </w:style>
  <w:style w:type="paragraph" w:styleId="TOC8">
    <w:name w:val="toc 8"/>
    <w:basedOn w:val="Normal"/>
    <w:next w:val="Normal"/>
    <w:autoRedefine/>
    <w:uiPriority w:val="39"/>
    <w:unhideWhenUsed/>
    <w:qFormat/>
    <w:pPr>
      <w:spacing w:line="240" w:lineRule="auto"/>
      <w:ind w:left="2940" w:leftChars="1400"/>
    </w:pPr>
    <w:rPr>
      <w:rFonts w:asciiTheme="minorHAnsi" w:eastAsiaTheme="minorEastAsia" w:hAnsiTheme="minorHAnsi"/>
      <w:sz w:val="21"/>
      <w:szCs w:val="22"/>
    </w:rPr>
  </w:style>
  <w:style w:type="paragraph" w:styleId="BalloonText">
    <w:name w:val="Balloon Text"/>
    <w:basedOn w:val="Normal"/>
    <w:link w:val="Char1"/>
    <w:uiPriority w:val="99"/>
    <w:semiHidden/>
    <w:unhideWhenUsed/>
    <w:qFormat/>
    <w:pPr>
      <w:spacing w:line="240" w:lineRule="auto"/>
    </w:pPr>
    <w:rPr>
      <w:sz w:val="18"/>
      <w:szCs w:val="18"/>
    </w:rPr>
  </w:style>
  <w:style w:type="paragraph" w:styleId="Footer">
    <w:name w:val="footer"/>
    <w:basedOn w:val="Normal"/>
    <w:link w:val="Char0"/>
    <w:autoRedefine/>
    <w:uiPriority w:val="99"/>
    <w:unhideWhenUsed/>
    <w:qFormat/>
    <w:pPr>
      <w:tabs>
        <w:tab w:val="center" w:pos="4153"/>
        <w:tab w:val="right" w:pos="8306"/>
      </w:tabs>
      <w:snapToGrid w:val="0"/>
      <w:spacing w:line="240" w:lineRule="auto"/>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Normal"/>
    <w:next w:val="Normal"/>
    <w:autoRedefine/>
    <w:uiPriority w:val="39"/>
    <w:qFormat/>
  </w:style>
  <w:style w:type="paragraph" w:styleId="TOC4">
    <w:name w:val="toc 4"/>
    <w:basedOn w:val="Normal"/>
    <w:next w:val="Normal"/>
    <w:autoRedefine/>
    <w:uiPriority w:val="39"/>
    <w:unhideWhenUsed/>
    <w:qFormat/>
    <w:pPr>
      <w:spacing w:line="240" w:lineRule="auto"/>
      <w:ind w:left="1260" w:leftChars="600"/>
    </w:pPr>
    <w:rPr>
      <w:rFonts w:asciiTheme="minorHAnsi" w:eastAsiaTheme="minorEastAsia" w:hAnsiTheme="minorHAnsi"/>
      <w:sz w:val="21"/>
      <w:szCs w:val="22"/>
    </w:rPr>
  </w:style>
  <w:style w:type="paragraph" w:styleId="FootnoteText">
    <w:name w:val="footnote text"/>
    <w:basedOn w:val="Normal"/>
    <w:link w:val="Char2"/>
    <w:autoRedefine/>
    <w:uiPriority w:val="99"/>
    <w:semiHidden/>
    <w:unhideWhenUsed/>
    <w:qFormat/>
    <w:pPr>
      <w:snapToGrid w:val="0"/>
      <w:jc w:val="left"/>
    </w:pPr>
    <w:rPr>
      <w:sz w:val="18"/>
      <w:szCs w:val="18"/>
    </w:rPr>
  </w:style>
  <w:style w:type="paragraph" w:styleId="TOC6">
    <w:name w:val="toc 6"/>
    <w:basedOn w:val="Normal"/>
    <w:next w:val="Normal"/>
    <w:autoRedefine/>
    <w:uiPriority w:val="39"/>
    <w:unhideWhenUsed/>
    <w:qFormat/>
    <w:pPr>
      <w:spacing w:line="240" w:lineRule="auto"/>
      <w:ind w:left="2100" w:leftChars="1000"/>
    </w:pPr>
    <w:rPr>
      <w:rFonts w:asciiTheme="minorHAnsi" w:eastAsiaTheme="minorEastAsia" w:hAnsiTheme="minorHAnsi"/>
      <w:sz w:val="21"/>
      <w:szCs w:val="22"/>
    </w:rPr>
  </w:style>
  <w:style w:type="paragraph" w:styleId="TOC2">
    <w:name w:val="toc 2"/>
    <w:basedOn w:val="Normal"/>
    <w:next w:val="Normal"/>
    <w:autoRedefine/>
    <w:uiPriority w:val="39"/>
    <w:unhideWhenUsed/>
    <w:qFormat/>
    <w:pPr>
      <w:widowControl/>
      <w:spacing w:after="100" w:line="276" w:lineRule="auto"/>
      <w:ind w:left="220"/>
      <w:jc w:val="left"/>
    </w:pPr>
    <w:rPr>
      <w:rFonts w:asciiTheme="minorHAnsi" w:eastAsiaTheme="minorEastAsia" w:hAnsiTheme="minorHAnsi"/>
      <w:kern w:val="0"/>
      <w:sz w:val="22"/>
      <w:szCs w:val="22"/>
    </w:rPr>
  </w:style>
  <w:style w:type="paragraph" w:styleId="TOC9">
    <w:name w:val="toc 9"/>
    <w:basedOn w:val="Normal"/>
    <w:next w:val="Normal"/>
    <w:autoRedefine/>
    <w:uiPriority w:val="39"/>
    <w:unhideWhenUsed/>
    <w:qFormat/>
    <w:pPr>
      <w:spacing w:line="240" w:lineRule="auto"/>
      <w:ind w:left="3360" w:leftChars="1600"/>
    </w:pPr>
    <w:rPr>
      <w:rFonts w:asciiTheme="minorHAnsi" w:eastAsiaTheme="minorEastAsia" w:hAnsiTheme="minorHAnsi"/>
      <w:sz w:val="21"/>
      <w:szCs w:val="22"/>
    </w:rPr>
  </w:style>
  <w:style w:type="table" w:styleId="TableGrid">
    <w:name w:val="Table Grid"/>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1">
    <w:name w:val="Light Shading Accent 1"/>
    <w:basedOn w:val="TableNormal"/>
    <w:autoRedefine/>
    <w:uiPriority w:val="60"/>
    <w:qFormat/>
    <w:rPr>
      <w:rFonts w:ascii="Times New Roman" w:eastAsia="宋体" w:hAnsi="Times New Roman" w:cs="Times New Roman"/>
      <w:color w:val="2E75B6" w:themeColor="accent1" w:themeShade="BF"/>
    </w:rPr>
    <w:tblPr>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ghtListAccent3">
    <w:name w:val="Light List Accent 3"/>
    <w:basedOn w:val="TableNormal"/>
    <w:autoRedefine/>
    <w:uiPriority w:val="61"/>
    <w:qFormat/>
    <w:rPr>
      <w:sz w:val="22"/>
      <w:szCs w:val="22"/>
    </w:rPr>
    <w:tblPr>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styleId="Hyperlink">
    <w:name w:val="Hyperlink"/>
    <w:basedOn w:val="DefaultParagraphFont"/>
    <w:autoRedefine/>
    <w:uiPriority w:val="99"/>
    <w:unhideWhenUsed/>
    <w:qFormat/>
    <w:rPr>
      <w:color w:val="0563C1" w:themeColor="hyperlink"/>
      <w:u w:val="single"/>
      <w14:textFill>
        <w14:solidFill>
          <w14:schemeClr w14:val="hlink"/>
        </w14:solidFill>
      </w14:textFill>
    </w:rPr>
  </w:style>
  <w:style w:type="character" w:styleId="FootnoteReference">
    <w:name w:val="footnote reference"/>
    <w:basedOn w:val="DefaultParagraphFont"/>
    <w:uiPriority w:val="99"/>
    <w:semiHidden/>
    <w:unhideWhenUsed/>
    <w:qFormat/>
    <w:rPr>
      <w:vertAlign w:val="superscript"/>
    </w:rPr>
  </w:style>
  <w:style w:type="character" w:customStyle="1" w:styleId="Char">
    <w:name w:val="页眉 Char"/>
    <w:basedOn w:val="DefaultParagraphFont"/>
    <w:link w:val="Header"/>
    <w:autoRedefine/>
    <w:uiPriority w:val="99"/>
    <w:qFormat/>
    <w:rPr>
      <w:rFonts w:ascii="Times New Roman" w:eastAsia="宋体" w:hAnsi="Times New Roman"/>
      <w:sz w:val="18"/>
      <w:szCs w:val="18"/>
    </w:rPr>
  </w:style>
  <w:style w:type="character" w:customStyle="1" w:styleId="Char0">
    <w:name w:val="页脚 Char"/>
    <w:basedOn w:val="DefaultParagraphFont"/>
    <w:link w:val="Footer"/>
    <w:autoRedefine/>
    <w:uiPriority w:val="99"/>
    <w:qFormat/>
    <w:rPr>
      <w:rFonts w:ascii="Times New Roman" w:eastAsia="宋体" w:hAnsi="Times New Roman"/>
      <w:sz w:val="18"/>
      <w:szCs w:val="18"/>
    </w:rPr>
  </w:style>
  <w:style w:type="character" w:customStyle="1" w:styleId="Char1">
    <w:name w:val="批注框文本 Char"/>
    <w:basedOn w:val="DefaultParagraphFont"/>
    <w:link w:val="BalloonText"/>
    <w:autoRedefine/>
    <w:uiPriority w:val="99"/>
    <w:semiHidden/>
    <w:qFormat/>
    <w:rPr>
      <w:rFonts w:ascii="Times New Roman" w:eastAsia="宋体" w:hAnsi="Times New Roman"/>
      <w:sz w:val="18"/>
      <w:szCs w:val="18"/>
    </w:rPr>
  </w:style>
  <w:style w:type="character" w:customStyle="1" w:styleId="1Char">
    <w:name w:val="标题 1 Char"/>
    <w:basedOn w:val="DefaultParagraphFont"/>
    <w:link w:val="Heading1"/>
    <w:autoRedefine/>
    <w:uiPriority w:val="9"/>
    <w:qFormat/>
    <w:rPr>
      <w:rFonts w:ascii="Times New Roman" w:eastAsia="宋体" w:hAnsi="Times New Roman"/>
      <w:b/>
      <w:bCs/>
      <w:kern w:val="44"/>
      <w:sz w:val="44"/>
      <w:szCs w:val="44"/>
    </w:rPr>
  </w:style>
  <w:style w:type="paragraph" w:customStyle="1" w:styleId="TOC10">
    <w:name w:val="TOC 标题1"/>
    <w:basedOn w:val="Heading1"/>
    <w:next w:val="Normal"/>
    <w:autoRedefine/>
    <w:uiPriority w:val="39"/>
    <w:semiHidden/>
    <w:unhideWhenUsed/>
    <w:qFormat/>
    <w:pPr>
      <w:widowControl/>
      <w:spacing w:before="480" w:after="0" w:line="276" w:lineRule="auto"/>
      <w:jc w:val="left"/>
      <w:outlineLvl w:val="9"/>
    </w:pPr>
    <w:rPr>
      <w:rFonts w:asciiTheme="majorHAnsi" w:eastAsiaTheme="majorEastAsia" w:hAnsiTheme="majorHAnsi" w:cstheme="majorBidi"/>
      <w:color w:val="2E75B6" w:themeColor="accent1" w:themeShade="BF"/>
      <w:kern w:val="0"/>
      <w:sz w:val="28"/>
      <w:szCs w:val="28"/>
    </w:rPr>
  </w:style>
  <w:style w:type="paragraph" w:styleId="ListParagraph">
    <w:name w:val="List Paragraph"/>
    <w:basedOn w:val="Normal"/>
    <w:autoRedefine/>
    <w:uiPriority w:val="34"/>
    <w:qFormat/>
    <w:pPr>
      <w:ind w:firstLine="420" w:firstLineChars="200"/>
    </w:pPr>
  </w:style>
  <w:style w:type="paragraph" w:customStyle="1" w:styleId="WPSOffice1">
    <w:name w:val="WPSOffice手动目录 1"/>
    <w:autoRedefine/>
    <w:qFormat/>
    <w:rPr>
      <w:rFonts w:asciiTheme="minorHAnsi" w:eastAsiaTheme="minorEastAsia" w:hAnsiTheme="minorHAnsi" w:cstheme="minorBidi"/>
      <w:lang w:val="en-US" w:eastAsia="zh-CN" w:bidi="ar-SA"/>
    </w:rPr>
  </w:style>
  <w:style w:type="paragraph" w:customStyle="1" w:styleId="WPSOffice2">
    <w:name w:val="WPSOffice手动目录 2"/>
    <w:autoRedefine/>
    <w:qFormat/>
    <w:pPr>
      <w:ind w:left="200" w:leftChars="200"/>
    </w:pPr>
    <w:rPr>
      <w:rFonts w:asciiTheme="minorHAnsi" w:eastAsiaTheme="minorEastAsia" w:hAnsiTheme="minorHAnsi" w:cstheme="minorBidi"/>
      <w:lang w:val="en-US" w:eastAsia="zh-CN" w:bidi="ar-SA"/>
    </w:rPr>
  </w:style>
  <w:style w:type="paragraph" w:customStyle="1" w:styleId="WPSOffice3">
    <w:name w:val="WPSOffice手动目录 3"/>
    <w:autoRedefine/>
    <w:qFormat/>
    <w:pPr>
      <w:ind w:left="400" w:leftChars="400"/>
    </w:pPr>
    <w:rPr>
      <w:rFonts w:asciiTheme="minorHAnsi" w:eastAsiaTheme="minorEastAsia" w:hAnsiTheme="minorHAnsi" w:cstheme="minorBidi"/>
      <w:lang w:val="en-US" w:eastAsia="zh-CN" w:bidi="ar-SA"/>
    </w:rPr>
  </w:style>
  <w:style w:type="table" w:customStyle="1" w:styleId="1">
    <w:name w:val="网格型1"/>
    <w:basedOn w:val="TableNormal"/>
    <w:autoRedefine/>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Heading1"/>
    <w:next w:val="Normal"/>
    <w:autoRedefine/>
    <w:uiPriority w:val="39"/>
    <w:semiHidden/>
    <w:unhideWhenUsed/>
    <w:qFormat/>
    <w:pPr>
      <w:widowControl/>
      <w:spacing w:before="480" w:after="0" w:line="276" w:lineRule="auto"/>
      <w:jc w:val="left"/>
      <w:outlineLvl w:val="9"/>
    </w:pPr>
    <w:rPr>
      <w:rFonts w:asciiTheme="majorHAnsi" w:eastAsiaTheme="majorEastAsia" w:hAnsiTheme="majorHAnsi" w:cstheme="majorBidi"/>
      <w:color w:val="2E75B6" w:themeColor="accent1" w:themeShade="BF"/>
      <w:kern w:val="0"/>
      <w:sz w:val="28"/>
      <w:szCs w:val="28"/>
    </w:rPr>
  </w:style>
  <w:style w:type="character" w:customStyle="1" w:styleId="Char2">
    <w:name w:val="脚注文本 Char"/>
    <w:basedOn w:val="DefaultParagraphFont"/>
    <w:link w:val="FootnoteText"/>
    <w:autoRedefine/>
    <w:uiPriority w:val="99"/>
    <w:semiHidden/>
    <w:qFormat/>
    <w:rPr>
      <w:rFonts w:ascii="Times New Roman" w:eastAsia="宋体"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yperlink" Target="https://d.book118.com/196215005101010033" TargetMode="External" /><Relationship Id="rId11" Type="http://schemas.openxmlformats.org/officeDocument/2006/relationships/footer" Target="footer4.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customXml" Target="../customXml/item1.xml" /><Relationship Id="rId6" Type="http://schemas.openxmlformats.org/officeDocument/2006/relationships/customXml" Target="../customXml/item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92CC27-EB37-4220-8CA5-05D64FB73E84}">
  <ds:schemaRefs/>
</ds:datastoreItem>
</file>

<file path=docProps/app.xml><?xml version="1.0" encoding="utf-8"?>
<Properties xmlns="http://schemas.openxmlformats.org/officeDocument/2006/extended-properties" xmlns:vt="http://schemas.openxmlformats.org/officeDocument/2006/docPropsVTypes">
  <Template>Normal</Template>
  <TotalTime>357</TotalTime>
  <Pages>9</Pages>
  <Words>3970</Words>
  <Characters>22634</Characters>
  <Application>Microsoft Office Word</Application>
  <DocSecurity>0</DocSecurity>
  <Lines>188</Lines>
  <Paragraphs>53</Paragraphs>
  <ScaleCrop>false</ScaleCrop>
  <Company/>
  <LinksUpToDate>false</LinksUpToDate>
  <CharactersWithSpaces>26551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唐晓琳</dc:creator>
  <cp:lastModifiedBy>ABEEL</cp:lastModifiedBy>
  <cp:revision>11</cp:revision>
  <dcterms:created xsi:type="dcterms:W3CDTF">2021-04-21T16:02:00Z</dcterms:created>
  <dcterms:modified xsi:type="dcterms:W3CDTF">2024-01-11T05:53:49Z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46B53BE3C5E24EA2A6BA95EC88985C6C_13</vt:lpwstr>
  </property>
  <property fmtid="{D5CDD505-2E9C-101B-9397-08002B2CF9AE}" pid="3" name="KSOProductBuildVer">
    <vt:lpwstr>2052-12.1.0.16120</vt:lpwstr>
  </property>
</Properties>
</file>