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E2F73" w:rsidP="004E2F73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E2F73">
        <w:rPr>
          <w:rFonts w:ascii="华文中宋" w:eastAsia="华文中宋" w:hAnsi="华文中宋"/>
          <w:b/>
          <w:sz w:val="30"/>
        </w:rPr>
        <w:t>2023</w:t>
      </w:r>
      <w:r w:rsidRPr="004E2F73">
        <w:rPr>
          <w:rFonts w:ascii="华文中宋" w:eastAsia="华文中宋" w:hAnsi="华文中宋"/>
          <w:b/>
          <w:sz w:val="30"/>
        </w:rPr>
        <w:t>年广西壮族自治区烟草专卖局人员招聘考试试题及答案解析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在这里，历史是可以被享受的。在广阔无垠的大地之上，</w:t>
      </w:r>
      <w:r w:rsidRPr="003F588C">
        <w:rPr>
          <w:rFonts w:ascii="Times New Roman" w:eastAsia="微软雅黑" w:hAnsi="微软雅黑" w:cs="宋体" w:hint="eastAsia"/>
          <w:szCs w:val="18"/>
        </w:rPr>
        <w:t>____________</w:t>
      </w:r>
      <w:r w:rsidRPr="003F588C">
        <w:rPr>
          <w:rFonts w:ascii="Times New Roman" w:eastAsia="微软雅黑" w:hAnsi="微软雅黑" w:cs="宋体" w:hint="eastAsia"/>
          <w:szCs w:val="18"/>
        </w:rPr>
        <w:t>、物华天宝，大工山古铜矿遗址、牯牛山古城址、千峰山土墩墓群等历史的遗迹星罗棋布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流传千年的神怪、劝善的戏种《十兽灯》、《目连戏》、《送春》等非物质文化遗产品牌，凝聚着丰厚的文化底蕴。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、群英荟萃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、钟灵毓秀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、山清水秀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、藏龙卧虎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项错误，“群英荟萃”比喻许多才能出众的人聚集在一起，侧重讲人，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项错误，“山清水秀”侧重讲山水风景，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项错误，“藏龙卧虎”是指隐藏着未被发现的人才，也指深藏不露的人才，侧重讲深藏不露，与文意不符。题意是广阔无垠的大地上人杰地灵，用“钟灵毓秀”较合适。故选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治疗类风湿关节炎的目的不仅仅是控制疾病症状，更重要的是阻止炎症对关节造成的结构性损害，最大程度的提高患者的生活质量。类风湿关节炎的治疗强调早期、个体化、联合用药。传统药物主要包括非甾体类抗炎药、皮质类固醇激素和传统改善病情的抗风湿药物。近些年兴起的生物制剂具有革命性意义，不亚于当初青霉素的发明，能迅速起效，有效缓解疾病的症状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根据这段文字下列说法不正确的是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、治疗类风湿关节炎，控制疾病症状，阻止炎症对关节造成结构性损害是可能的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、治疗类风湿关节炎的重要目的是最大程度地提高患者的生活质量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、治疗类风湿关节炎可使用三类传统药物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、用青霉素治疗类风湿关节炎能迅速起效，有效缓解疾病的症状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由“治疗类风湿关节炎的目的不仅仅是控制疾病症状，更重要的是阻止炎症对关节造成的结构性损害，最大程度的提高患者的生活质量”可知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项符合文意。由“传统药物主要包括非甾体类抗炎药、皮质类固醇激素和传统改善病情的抗风湿药物”可知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项符合文意。由“近些年兴起的生物制剂具有革命性意义，不亚于当初青霉素的发明，能迅速起效，有效缓解疾病的症状。”可知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项不符合文意。故选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134" w:right="1474" w:bottom="1134" w:left="1474" w:header="708" w:footer="708" w:gutter="0"/>
          <w:pgNumType w:start="3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介入现代婚姻争夺”出现在文段结尾。根据“而爱情作为现代婚姻的基石，也介入到各种权利和不同传统对婚姻的争夺中来”，可知“爱情”“权利”和“传统”是“介入现代婚姻争夺的因素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项“法律”不是“介入现代婚姻争夺的因素</w:t>
      </w:r>
      <w:r w:rsidRPr="00E0697D">
        <w:rPr>
          <w:rFonts w:ascii="Times New Roman" w:eastAsia="微软雅黑" w:hAnsi="微软雅黑" w:cs="宋体" w:hint="eastAsia"/>
          <w:szCs w:val="18"/>
        </w:rPr>
        <w:t>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重建人与自然关系的愿望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、对自然共同体的义务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134" w:right="1474" w:bottom="1134" w:left="1474" w:header="708" w:footer="708" w:gutter="0"/>
          <w:pgNumType w:start="4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第一步，定位原文，“这”出现在最后一句。分析语境，尾句的“这”指的是“只有树立了这样的一种道德意识”，“这样一种道德意识”指的是“自然共同体的意识”。所以尾句的“这”指代的内容是“树立自然共同体的意识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6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①面对空旷的公园，游人只能望洋兴叹，“大饱眼福”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②这些草场公园除人行道外，到处是“小草在成长，不要踩踏我”的标牌，不准游人进入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③以铺草为主的绿化导致了“有绿无荫”的后果，有的城市绿地草坪比例</w:t>
      </w:r>
      <w:r w:rsidRPr="00E0697D">
        <w:rPr>
          <w:rFonts w:ascii="Times New Roman" w:eastAsia="微软雅黑" w:hAnsi="微软雅黑" w:cs="宋体" w:hint="eastAsia"/>
          <w:szCs w:val="18"/>
        </w:rPr>
        <w:t>过大，在炎炎烈日之下，行人却找不到遮阳的树木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④我国人口密度大，特别是城市人均占有可活动空间小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⑤但现在全国城市的新开垦区，新建公园占地面积都很大，有的几百亩，甚至上千亩、数千亩，平原做成人工丘陵，耕地做成人工草场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⑥数以万计的城市居住小区，大片的空旷地，也被草场占据将以上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、①⑥③④⑤②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、④①⑤⑥③②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、④⑤②①⑥③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、①③⑤④②⑥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134" w:right="1474" w:bottom="1134" w:left="1474" w:header="708" w:footer="708" w:gutter="0"/>
          <w:pgNumType w:start="5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②句中有代词“这些”，描述的是“草场公园”，⑤句也提及公园和草场，所以②应该在⑤的后面。⑤句中有转折词“但”</w:t>
      </w:r>
      <w:r w:rsidRPr="00E0697D">
        <w:rPr>
          <w:rFonts w:ascii="Times New Roman" w:eastAsia="微软雅黑" w:hAnsi="微软雅黑" w:cs="宋体" w:hint="eastAsia"/>
          <w:szCs w:val="18"/>
        </w:rPr>
        <w:t>，其中“占地面积都很大”，与④句中“人均占有可活动空间小”形成鲜明对比，故④⑤相连。①句作为首句有些突兀，④作为首句比较自然。故选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7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学习悖论”是古希腊有名的悖论之一，其内容是：人们在学习时通常会面临两种情况，一是不知道要学习的内容，二是已经知道了要学习的内容。在这两种情况下，学习都是无意义的，因为前者学习没有目标，后者学习没有必要。其实破解这个悖论并不难，用我国古语中</w:t>
      </w:r>
      <w:r w:rsidRPr="00E0697D">
        <w:rPr>
          <w:rFonts w:ascii="Times New Roman" w:eastAsia="微软雅黑" w:hAnsi="微软雅黑" w:cs="宋体" w:hint="eastAsia"/>
          <w:szCs w:val="18"/>
        </w:rPr>
        <w:t>______________________________</w:t>
      </w:r>
      <w:r w:rsidRPr="00E0697D">
        <w:rPr>
          <w:rFonts w:ascii="Times New Roman" w:eastAsia="微软雅黑" w:hAnsi="微软雅黑" w:cs="宋体" w:hint="eastAsia"/>
          <w:szCs w:val="18"/>
        </w:rPr>
        <w:t>的道理就能做到。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、“谦受益”与“</w:t>
      </w:r>
      <w:r w:rsidRPr="00E0697D">
        <w:rPr>
          <w:rFonts w:ascii="Times New Roman" w:eastAsia="微软雅黑" w:hAnsi="微软雅黑" w:cs="宋体" w:hint="eastAsia"/>
          <w:szCs w:val="18"/>
        </w:rPr>
        <w:t>满招损”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、“知其然”与“知其所以然”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、“博观而约取”与“厚积而薄发”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、“学而不思则罔”与“思而不学则殆”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文中的悖论是：①不知道学习的内容，②已经知道学习的内容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最后一句话提到“破解这个悖论”，则填入横线处的语句应该是与悖论的两个内容相对应的解决方法。“不知道学习的内容”，则要去尝试知道，要“知其然”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“已经知道学习内容”，还要了解内容的原因，要“知其所以然”。故选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134" w:right="1474" w:bottom="1134" w:left="1474" w:header="708" w:footer="708" w:gutter="0"/>
          <w:pgNumType w:start="6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8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这样的考证、新解，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不是牵强附会，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是以牺牲诗的艺术为代价的。填入横线部分最恰当的一项是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、既然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、即使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所以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、既然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那么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ACD</w:t>
      </w:r>
      <w:r w:rsidRPr="00E0697D">
        <w:rPr>
          <w:rFonts w:ascii="Times New Roman" w:eastAsia="微软雅黑" w:hAnsi="微软雅黑" w:cs="宋体" w:hint="eastAsia"/>
          <w:szCs w:val="18"/>
        </w:rPr>
        <w:t>三项错误，由题意可知，“不是牵强附会”和“是以牺牲诗的艺术为代价”不是因果关系，三项都是表因果关系的关联词，不符合题意。这两个分句是让步假设的关系，“不是牵强附会”是假设承认这一情况为真，而“是以牺牲诗的艺术为代价”表示与前面假设相应的事实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9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文化认同作为小到一个群体、大到一个民族向心力的有机“粘合剂”，是凝聚这个群体和民族伟大精神力量的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。文化认同如果缺失，社会语境便趋于焦虑，人们的价值取向便会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 w:rsidRPr="00E0697D">
        <w:rPr>
          <w:rFonts w:ascii="Times New Roman" w:eastAsia="微软雅黑" w:hAnsi="微软雅黑" w:cs="宋体" w:hint="eastAsia"/>
          <w:szCs w:val="18"/>
        </w:rPr>
        <w:t>因为，文化认同，相对于政治认同和社会认同，具有更深远的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、根基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迷失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内涵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、基础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失落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后盾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、基础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丧失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意义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、根本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丢失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价值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134" w:right="1474" w:bottom="1134" w:left="1474" w:header="708" w:footer="708" w:gutter="0"/>
          <w:pgNumType w:start="7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本题考查近义实词不同侧重点的辨析和语境搭配。先看第二空，需要搭配“人们的价值取向”，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项的“迷失”最符合语意，‘迷失”指丢失了方向。“失落”一方面指遗失、丢失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另一方面指精神上的空虚或失去寄托。这两个方面的含义放在此处都不能与“人们的价值取向“搭配。相对于“迷失”来讲，“丢失”的表述略显苍白，故更加倾向于“迷失”</w:t>
      </w:r>
      <w:r w:rsidRPr="00E0697D">
        <w:rPr>
          <w:rFonts w:ascii="Times New Roman" w:eastAsia="微软雅黑" w:hAnsi="微软雅黑" w:cs="宋体" w:hint="eastAsia"/>
          <w:szCs w:val="18"/>
        </w:rPr>
        <w:t>，故排除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三项。答案锁定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。以第一空进行验证，根据文意，其强调的是文化对于凝聚群体和民族精神力量的重要作用，“根基”的词义程度最深，最符合语意。“根基”指根本、基础。第三空，将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项的“内涵“代入句中，符合语意。故选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10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长期以来，政府对公共事务的处理处于相对垄断状态。随着社会转型加剧，社会治理遇到的挑战越来越多，政府已无力也没有必要去处理诸多繁杂的社会性事务。这一局面的出现，迫切要求厘清政府与社会的关系，社会能处理的交给社会，政府只是进行宏观调控和监督等必须由政府自身完成的事务，也就是从全能型</w:t>
      </w:r>
      <w:r w:rsidRPr="00E0697D">
        <w:rPr>
          <w:rFonts w:ascii="Times New Roman" w:eastAsia="微软雅黑" w:hAnsi="微软雅黑" w:cs="宋体" w:hint="eastAsia"/>
          <w:szCs w:val="18"/>
        </w:rPr>
        <w:t>政府转变为服务型政府。政府购买公共服务，有助于剥离政府的一部分职能，扩大社会自我服务的空间，使社会有能力进行自我管理和自我服务，最终促进社会整体效率的提高。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、政府对公共事务的垄断阻碍了社会效率的提高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、社会转型弱化了政府在处理公共事务中的作用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、政府职能向服务型转变是社会转型的内在要求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、购买公共服务是今后政府提高效率的首要方式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134" w:right="1474" w:bottom="1134" w:left="1474" w:header="708" w:footer="708" w:gutter="0"/>
          <w:pgNumType w:start="8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第一步，分析文段。文段开头以“长期以来”“随着”引导背景铺垫，说明政府无力也没必要处理繁杂的社会性事物。接着通过“迫切要求”</w:t>
      </w:r>
      <w:r w:rsidRPr="00E0697D">
        <w:rPr>
          <w:rFonts w:ascii="Times New Roman" w:eastAsia="微软雅黑" w:hAnsi="微软雅黑" w:cs="宋体" w:hint="eastAsia"/>
          <w:szCs w:val="18"/>
        </w:rPr>
        <w:t>引出对策：“厘清政府与社会的关系……也就是从全能型政府转变为服务型政府”。最后阐述了这样做的好处。文段为“分—总—分”结构，主要论述了社会转型要求政府从全能型政府转变为服务型政府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0000FF"/>
          <w:szCs w:val="14"/>
        </w:rPr>
        <w:t>11</w:t>
      </w:r>
      <w:r w:rsidRPr="007675BD">
        <w:rPr>
          <w:rFonts w:ascii="Times New Roman" w:eastAsia="微软雅黑" w:cs="宋体"/>
          <w:color w:val="0000FF"/>
          <w:szCs w:val="14"/>
        </w:rPr>
        <w:t>．</w:t>
      </w:r>
      <w:r w:rsidRPr="007675BD">
        <w:rPr>
          <w:rFonts w:ascii="Times New Roman" w:eastAsia="微软雅黑" w:cs="宋体"/>
          <w:szCs w:val="14"/>
        </w:rPr>
        <w:t>做一件事，往往有利也有弊，只有利而无弊的事情几乎是没有的，《淮南子</w:t>
      </w:r>
      <w:r w:rsidRPr="007675BD">
        <w:rPr>
          <w:rFonts w:ascii="Times New Roman" w:eastAsia="微软雅黑" w:cs="宋体"/>
          <w:szCs w:val="14"/>
        </w:rPr>
        <w:t>·</w:t>
      </w:r>
      <w:r w:rsidRPr="007675BD">
        <w:rPr>
          <w:rFonts w:ascii="Times New Roman" w:eastAsia="微软雅黑" w:cs="宋体"/>
          <w:szCs w:val="14"/>
        </w:rPr>
        <w:t>人间训》云：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众人皆知利利而病病，唯圣人知病之为利，利之为病也。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看来古人已经注意到利弊的辩证关系。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下列表述符合文意的是</w:t>
      </w:r>
      <w:r w:rsidRPr="007675BD">
        <w:rPr>
          <w:rFonts w:ascii="Times New Roman" w:eastAsia="微软雅黑" w:cs="宋体"/>
          <w:szCs w:val="14"/>
        </w:rPr>
        <w:t>( )</w:t>
      </w:r>
      <w:r w:rsidRPr="007675BD">
        <w:rPr>
          <w:rFonts w:ascii="Times New Roman" w:eastAsia="微软雅黑" w:cs="宋体"/>
          <w:szCs w:val="14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我们应当努力争取做到有利无弊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现实生活中的事情都由利与弊组成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利与弊不是绝对的，是可以转化的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要善于分析，争取做到利大于弊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b/>
          <w:color w:val="228B22"/>
          <w:szCs w:val="14"/>
        </w:rPr>
        <w:t>答案：</w:t>
      </w:r>
      <w:r w:rsidRPr="007675BD">
        <w:rPr>
          <w:rFonts w:ascii="Times New Roman" w:eastAsia="微软雅黑" w:cs="宋体"/>
          <w:szCs w:val="14"/>
        </w:rPr>
        <w:t>C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228B22"/>
          <w:szCs w:val="14"/>
        </w:rPr>
        <w:t>解析：</w:t>
      </w:r>
      <w:r w:rsidRPr="007675BD">
        <w:rPr>
          <w:rFonts w:ascii="Times New Roman" w:eastAsia="微软雅黑" w:cs="宋体"/>
          <w:szCs w:val="14"/>
        </w:rPr>
        <w:t>由提问可知本题为细节判断题。</w:t>
      </w:r>
    </w:p>
    <w:p w:rsidR="007675BD">
      <w:pPr>
        <w:pStyle w:val="NormalWeb"/>
        <w:widowControl/>
        <w:spacing w:beforeAutospacing="0" w:after="260" w:afterAutospacing="0" w:line="360" w:lineRule="auto"/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134" w:right="1474" w:bottom="1134" w:left="1474" w:header="708" w:footer="708" w:gutter="0"/>
          <w:pgNumType w:start="9"/>
          <w:cols w:sep="1" w:space="708"/>
          <w:titlePg w:val="0"/>
          <w:docGrid w:linePitch="360"/>
        </w:sectPr>
      </w:pPr>
      <w:r w:rsidRPr="007675BD">
        <w:rPr>
          <w:rFonts w:ascii="Times New Roman" w:eastAsia="微软雅黑" w:cs="宋体"/>
          <w:szCs w:val="14"/>
        </w:rPr>
        <w:t>阅读可知，材料整体上属于总</w:t>
      </w:r>
      <w:r w:rsidRPr="007675BD">
        <w:rPr>
          <w:rFonts w:ascii="Times New Roman" w:eastAsia="微软雅黑" w:cs="宋体"/>
          <w:szCs w:val="14"/>
        </w:rPr>
        <w:t>—</w:t>
      </w:r>
      <w:r w:rsidRPr="007675BD">
        <w:rPr>
          <w:rFonts w:ascii="Times New Roman" w:eastAsia="微软雅黑" w:cs="宋体"/>
          <w:szCs w:val="14"/>
        </w:rPr>
        <w:t>分</w:t>
      </w:r>
      <w:r w:rsidRPr="007675BD">
        <w:rPr>
          <w:rFonts w:ascii="Times New Roman" w:eastAsia="微软雅黑" w:cs="宋体"/>
          <w:szCs w:val="14"/>
        </w:rPr>
        <w:t>—</w:t>
      </w:r>
      <w:r w:rsidRPr="007675BD">
        <w:rPr>
          <w:rFonts w:ascii="Times New Roman" w:eastAsia="微软雅黑" w:cs="宋体"/>
          <w:szCs w:val="14"/>
        </w:rPr>
        <w:t>总结构。材料首先指出一件事往往有利也有弊，接下来引用《淮南子》中的话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病之为利，利之为病也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来进一步说明利弊相互转化的问题。由此可知，</w:t>
      </w: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项表述符合文意。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都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说法过于绝对，材料中说只有利无弊的事情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几乎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是没有，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几乎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是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将近于、接近于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的意思，不等同于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都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;A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项属于过度引申，在材料中没有依据。</w:t>
      </w:r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</w:pPr>
      <w:r w:rsidRPr="007675BD">
        <w:rPr>
          <w:rFonts w:ascii="Times New Roman" w:eastAsia="微软雅黑" w:cs="宋体"/>
          <w:szCs w:val="14"/>
        </w:rPr>
        <w:t>故正确答案为</w:t>
      </w: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0000FF"/>
          <w:szCs w:val="14"/>
        </w:rPr>
        <w:t>12</w:t>
      </w:r>
      <w:r w:rsidRPr="007675BD">
        <w:rPr>
          <w:rFonts w:ascii="Times New Roman" w:eastAsia="微软雅黑" w:cs="宋体"/>
          <w:color w:val="0000FF"/>
          <w:szCs w:val="14"/>
        </w:rPr>
        <w:t>．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人们听音时，首先是要用耳朵去听而不是用仪器去测量，如何判断，依靠的就是人们的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②</w:t>
      </w:r>
      <w:r w:rsidRPr="007675BD">
        <w:rPr>
          <w:rFonts w:ascii="Times New Roman" w:eastAsia="微软雅黑" w:cs="宋体"/>
          <w:szCs w:val="14"/>
        </w:rPr>
        <w:t>这种音准有着精确的物理意义，音是由物体的震动产生的，每个乐音震动的频率就是它的物理属性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另一种音准指的是人们对于音高的一种听力反应，严格来讲应该叫做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④</w:t>
      </w:r>
      <w:r w:rsidRPr="007675BD">
        <w:rPr>
          <w:rFonts w:ascii="Times New Roman" w:eastAsia="微软雅黑" w:cs="宋体"/>
          <w:szCs w:val="14"/>
        </w:rPr>
        <w:t>而在音乐中使用的音并不是随意产生的，是人们在长期实践过程中挑选出来的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我们通常所说的音准，一般有两种含义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⑥</w:t>
      </w:r>
      <w:r w:rsidRPr="007675BD">
        <w:rPr>
          <w:rFonts w:ascii="Times New Roman" w:eastAsia="微软雅黑" w:cs="宋体"/>
          <w:szCs w:val="14"/>
        </w:rPr>
        <w:t>一种是音乐中的音高要遵循一定的规律，那就是音高的准确性，即音准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请将上述语句重新排列，语序正确的是：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⑤⑥④①③②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①③②⑤⑥④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①⑤⑥③②④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⑤⑥②④③①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b/>
          <w:color w:val="228B22"/>
          <w:szCs w:val="14"/>
        </w:rPr>
        <w:t>答案：</w:t>
      </w:r>
      <w:r w:rsidRPr="007675BD">
        <w:rPr>
          <w:rFonts w:ascii="Times New Roman" w:eastAsia="微软雅黑" w:cs="宋体"/>
          <w:szCs w:val="14"/>
        </w:rPr>
        <w:t>D</w:t>
      </w:r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134" w:right="1474" w:bottom="1134" w:left="1474" w:header="708" w:footer="708" w:gutter="0"/>
          <w:pgNumType w:start="10"/>
          <w:cols w:sep="1" w:space="708"/>
          <w:titlePg w:val="0"/>
          <w:docGrid w:linePitch="360"/>
        </w:sectPr>
      </w:pPr>
      <w:r w:rsidRPr="007675BD">
        <w:rPr>
          <w:rFonts w:ascii="Times New Roman" w:eastAsia="微软雅黑" w:cs="宋体"/>
          <w:color w:val="228B22"/>
          <w:szCs w:val="14"/>
        </w:rPr>
        <w:t>解析：</w:t>
      </w:r>
      <w:r w:rsidRPr="007675BD">
        <w:rPr>
          <w:rFonts w:ascii="Times New Roman" w:eastAsia="微软雅黑" w:cs="宋体"/>
          <w:szCs w:val="14"/>
        </w:rPr>
        <w:t>根据选项判断首句，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句介绍人们听音时依靠的就是人们的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句最先引出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，强调它有两种含义。对比之下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句更适合作首句，排除</w:t>
      </w:r>
      <w:r w:rsidRPr="007675BD">
        <w:rPr>
          <w:rFonts w:ascii="Times New Roman" w:eastAsia="微软雅黑" w:cs="宋体"/>
          <w:szCs w:val="14"/>
        </w:rPr>
        <w:t>B.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C.</w:t>
      </w:r>
      <w:r w:rsidRPr="007675BD">
        <w:rPr>
          <w:rFonts w:ascii="Times New Roman" w:eastAsia="微软雅黑" w:cs="宋体"/>
          <w:szCs w:val="14"/>
        </w:rPr>
        <w:t>两项。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句引出了音准的另一种含义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句和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句有共同信息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</w:pPr>
      <w:r w:rsidRPr="007675BD">
        <w:rPr>
          <w:rFonts w:ascii="Times New Roman" w:eastAsia="微软雅黑" w:cs="宋体"/>
          <w:szCs w:val="14"/>
        </w:rPr>
        <w:t>，因此</w:t>
      </w:r>
      <w:r w:rsidRPr="007675BD">
        <w:rPr>
          <w:rFonts w:ascii="Times New Roman" w:eastAsia="微软雅黑" w:cs="宋体"/>
          <w:szCs w:val="14"/>
        </w:rPr>
        <w:t>③①</w:t>
      </w:r>
      <w:r w:rsidRPr="007675BD">
        <w:rPr>
          <w:rFonts w:ascii="Times New Roman" w:eastAsia="微软雅黑" w:cs="宋体"/>
          <w:szCs w:val="14"/>
        </w:rPr>
        <w:t>两句捆绑，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句强调的是人们听音时依靠的就是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句最先引出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，所以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句在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句之后，对应</w:t>
      </w: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项。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故正确答案为</w:t>
      </w: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0000FF"/>
          <w:szCs w:val="14"/>
        </w:rPr>
        <w:t>13</w:t>
      </w:r>
      <w:r w:rsidRPr="007675BD">
        <w:rPr>
          <w:rFonts w:ascii="Times New Roman" w:eastAsia="微软雅黑" w:cs="宋体"/>
          <w:color w:val="0000FF"/>
          <w:szCs w:val="14"/>
        </w:rPr>
        <w:t>．</w:t>
      </w:r>
      <w:r w:rsidRPr="007675BD">
        <w:rPr>
          <w:rFonts w:ascii="Times New Roman" w:eastAsia="微软雅黑" w:cs="宋体"/>
          <w:szCs w:val="14"/>
        </w:rPr>
        <w:t>原创是作品的生命力之源，抄袭无异于</w:t>
      </w:r>
      <w:r w:rsidRPr="007675BD">
        <w:rPr>
          <w:rFonts w:ascii="Times New Roman" w:eastAsia="微软雅黑" w:cs="宋体"/>
          <w:szCs w:val="14"/>
        </w:rPr>
        <w:t xml:space="preserve">________ </w:t>
      </w:r>
      <w:r w:rsidRPr="007675BD">
        <w:rPr>
          <w:rFonts w:ascii="Times New Roman" w:eastAsia="微软雅黑" w:cs="宋体"/>
          <w:szCs w:val="14"/>
        </w:rPr>
        <w:t>。影视行业想要成为常青树，优质的原创作品是根基</w:t>
      </w:r>
      <w:r w:rsidRPr="007675BD">
        <w:rPr>
          <w:rFonts w:ascii="Times New Roman" w:eastAsia="微软雅黑" w:cs="宋体"/>
          <w:szCs w:val="14"/>
        </w:rPr>
        <w:t>。如果任由抄袭之风盛行，</w:t>
      </w:r>
      <w:r w:rsidRPr="007675BD">
        <w:rPr>
          <w:rFonts w:ascii="Times New Roman" w:eastAsia="微软雅黑" w:cs="宋体"/>
          <w:szCs w:val="14"/>
        </w:rPr>
        <w:t xml:space="preserve">____ </w:t>
      </w:r>
      <w:r w:rsidRPr="007675BD">
        <w:rPr>
          <w:rFonts w:ascii="Times New Roman" w:eastAsia="微软雅黑" w:cs="宋体"/>
          <w:szCs w:val="14"/>
        </w:rPr>
        <w:t>抄袭作者活跃在屏幕上，将</w:t>
      </w:r>
      <w:r w:rsidRPr="007675BD">
        <w:rPr>
          <w:rFonts w:ascii="Times New Roman" w:eastAsia="微软雅黑" w:cs="宋体"/>
          <w:szCs w:val="14"/>
        </w:rPr>
        <w:t xml:space="preserve">____ </w:t>
      </w:r>
      <w:r w:rsidRPr="007675BD">
        <w:rPr>
          <w:rFonts w:ascii="Times New Roman" w:eastAsia="微软雅黑" w:cs="宋体"/>
          <w:szCs w:val="14"/>
        </w:rPr>
        <w:t>从业者的生存环境，消耗整个行业的未来前景。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依次填入画横线部分最恰当的一项是：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、自相残杀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放纵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剥蚀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、自掘坟墓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纵容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腐蚀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、自投罗网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放任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消蚀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、自欺欺人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容许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磨蚀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b/>
          <w:color w:val="228B22"/>
          <w:szCs w:val="14"/>
        </w:rPr>
        <w:t>答案：</w:t>
      </w:r>
      <w:r w:rsidRPr="007675BD">
        <w:rPr>
          <w:rFonts w:ascii="Times New Roman" w:eastAsia="微软雅黑" w:cs="宋体"/>
          <w:szCs w:val="14"/>
        </w:rPr>
        <w:t>B</w:t>
      </w:r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</w:pPr>
      <w:r w:rsidRPr="007675BD">
        <w:rPr>
          <w:rFonts w:ascii="Times New Roman" w:eastAsia="微软雅黑" w:cs="宋体"/>
          <w:color w:val="228B22"/>
          <w:szCs w:val="14"/>
        </w:rPr>
        <w:t>解析：</w:t>
      </w:r>
      <w:r w:rsidRPr="007675BD">
        <w:rPr>
          <w:rFonts w:ascii="Times New Roman" w:eastAsia="微软雅黑" w:cs="宋体"/>
          <w:szCs w:val="14"/>
        </w:rPr>
        <w:t>第一空，根据横线前的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无异于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可知，横线处所填词语是对前文的解释说明。由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原创是作品的生命力之源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可知，抄袭则会让作品失去生命。</w:t>
      </w: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自掘坟墓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是指自己的所作所为就像在替自己挖掘坟墓一样，比喻自寻死路，符合文意，保留。</w:t>
      </w: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自投罗网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指自己投到罗网里去，比喻自己送死，也可以体现让作品失去生命，保留。</w:t>
      </w: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自相残杀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指自己人互相杀害，文段未提及互相杀害，排除。</w:t>
      </w: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自欺欺人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指欺骗自己，也欺骗别人，文段未提及欺骗自己和欺骗别人，与文意无关，排除。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第二空，根据横线前的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任由抄袭之风盛行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可知，横线处表示对抄袭</w:t>
      </w:r>
      <w:r w:rsidRPr="007675BD">
        <w:rPr>
          <w:rFonts w:ascii="Times New Roman" w:eastAsia="微软雅黑" w:cs="宋体"/>
          <w:szCs w:val="14"/>
        </w:rPr>
        <w:t>作者不加约束，任由其发展，</w:t>
      </w: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纵容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指对错误行为不加制止、任其发展，</w:t>
      </w: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放任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指听其自然，不加约束或干涉，两项均符合文意，保留。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第三空，搭配</w:t>
      </w:r>
      <w:r w:rsidRPr="007675BD">
        <w:rPr>
          <w:rFonts w:ascii="Times New Roman" w:eastAsia="微软雅黑" w:cs="宋体"/>
          <w:szCs w:val="14"/>
        </w:rPr>
        <w:t>“</w:t>
      </w:r>
      <w:r>
        <w:rPr>
          <w:b/>
          <w:color w:val="4066F4"/>
        </w:rPr>
        <w:br/>
      </w:r>
      <w:r>
        <w:rPr>
          <w:b/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https://d.book118.com/197022046053006030</w:t>
        </w:r>
      </w:hyperlink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</w:pPr>
    </w:p>
    <w:sectPr>
      <w:headerReference w:type="even" r:id="rId65"/>
      <w:headerReference w:type="default" r:id="rId66"/>
      <w:footerReference w:type="even" r:id="rId67"/>
      <w:footerReference w:type="default" r:id="rId68"/>
      <w:headerReference w:type="first" r:id="rId69"/>
      <w:footerReference w:type="first" r:id="rId70"/>
      <w:type w:val="nextPage"/>
      <w:pgSz w:w="11906" w:h="16838"/>
      <w:pgMar w:top="1134" w:right="1474" w:bottom="1134" w:left="1474" w:header="708" w:footer="708" w:gutter="0"/>
      <w:pgNumType w:start="11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4E2F73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F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E2F73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DC69160"/>
  <w15:docId w15:val="{02F3F2B8-9819-4BF2-B04D-0B02F37E2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4E2F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E2F73"/>
    <w:rPr>
      <w:sz w:val="18"/>
      <w:szCs w:val="18"/>
    </w:rPr>
  </w:style>
  <w:style w:type="paragraph" w:styleId="Footer">
    <w:name w:val="footer"/>
    <w:basedOn w:val="Normal"/>
    <w:link w:val="a0"/>
    <w:unhideWhenUsed/>
    <w:rsid w:val="004E2F7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E2F73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4E2F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yperlink" Target="https://d.book118.com/197022046053006030" TargetMode="External" /><Relationship Id="rId65" Type="http://schemas.openxmlformats.org/officeDocument/2006/relationships/header" Target="header31.xml" /><Relationship Id="rId66" Type="http://schemas.openxmlformats.org/officeDocument/2006/relationships/header" Target="header32.xml" /><Relationship Id="rId67" Type="http://schemas.openxmlformats.org/officeDocument/2006/relationships/footer" Target="footer31.xml" /><Relationship Id="rId68" Type="http://schemas.openxmlformats.org/officeDocument/2006/relationships/footer" Target="footer32.xml" /><Relationship Id="rId69" Type="http://schemas.openxmlformats.org/officeDocument/2006/relationships/header" Target="header33.xml" /><Relationship Id="rId7" Type="http://schemas.openxmlformats.org/officeDocument/2006/relationships/footer" Target="footer2.xml" /><Relationship Id="rId70" Type="http://schemas.openxmlformats.org/officeDocument/2006/relationships/footer" Target="footer33.xm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4192</Words>
  <Characters>23899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2024-01-11T10:21:00Z</dcterms:created>
  <dcterms:modified xsi:type="dcterms:W3CDTF">2024-01-11T10:21:00Z</dcterms:modified>
</cp:coreProperties>
</file>