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2018-2023年枣庄职业学院高职单招（数学／语文／英语）历年常考试题库含答案解析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下列诗作中，属于乐府旧题的是（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A.《关山月》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在思想内容和艺术成就方面都堪称中国古代长篇小说高峰的作品是（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A.《三国演义》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B.《红楼梦》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C.《水浒传》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D.《儒林外史》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《张中丞传后叙》歌颂的三个人物是（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A.张巡、张籍、南霁云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B.张巡、许远、于嵩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C.许远、张巡、南霁云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D.张巡、许远、雷万春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下列哪位词人的风格是“雄劲豪迈，悲壮沉郁”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被人称为“七绝圣手”的诗人是（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A.王之涣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《日出》的背景是（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A.20世纪30年代中国的农村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B.20世纪30年代中国的城市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C.20世纪20年代中国的城市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D.20世纪40年代中国的乡村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韩愈的作品集是（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A.《饮冰室文集》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B.《临川先生文集》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C.《昌黎先生集》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D.《柳河东集》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《马伶传》中“以分宜教分宜”的意思是（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A.用现实生活中的严嵩教舞台上的严嵩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B.用现实生活中的分宜人教舞台上的分宜人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C.用现实生活中的顾秉谦教舞台上的顾秉谦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D.用现实生活中的奸臣（顾秉谦）教舞台上的奸臣（严嵩）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《爱尔克的灯光》中故居照壁上的四个大字是（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A.“家门和顺”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B.“长宜子孙”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C.“光明正大”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D.“顽廉懦立”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战国后期产生的一种新诗体是（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A.骚赋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B.骈赋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D.大赋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沈从文是以什么样的独特视角和叙述主体来观照人生的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A.都市人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C.关东人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D.岭南人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下列句中，“所以”可译成“用来”的是（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A.以其所以至之鲜也。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B.此五帝三王之所以无敌也。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C.祸莫大于杀已降，此乃将军所以不得侯者也。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D.此非所以跨海内、制诸侯之术也。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https://d.book118.com/197025045162006044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97025045162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