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37" w:lineRule="exact"/>
        <w:ind w:left="1637"/>
        <w:rPr>
          <w:rFonts w:ascii="Times New Roman"/>
          <w:sz w:val="3"/>
        </w:rPr>
      </w:pPr>
      <w:r>
        <w:rPr>
          <w:rFonts w:ascii="Times New Roman"/>
          <w:position w:val="0"/>
          <w:sz w:val="3"/>
        </w:rPr>
        <w:drawing>
          <wp:inline distT="0" distB="0" distL="0" distR="0">
            <wp:extent cx="12071062" cy="2400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1062" cy="24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9"/>
        </w:rPr>
      </w:pPr>
    </w:p>
    <w:p>
      <w:pPr>
        <w:pStyle w:val="Title"/>
        <w:spacing w:line="1541" w:lineRule="exact"/>
      </w:pPr>
      <w:r>
        <w:t>喷漆房有机废气</w:t>
      </w:r>
    </w:p>
    <w:p>
      <w:pPr>
        <w:pStyle w:val="BodyText"/>
        <w:spacing w:before="2"/>
        <w:rPr>
          <w:sz w:val="168"/>
        </w:rPr>
      </w:pPr>
    </w:p>
    <w:p>
      <w:pPr>
        <w:pStyle w:val="Title"/>
        <w:spacing w:line="561" w:lineRule="auto"/>
        <w:ind w:left="10975" w:right="10130"/>
        <w:jc w:val="both"/>
      </w:pPr>
      <w:r>
        <w:t>处理方案</w:t>
      </w:r>
    </w:p>
    <w:p>
      <w:pPr>
        <w:spacing w:after="0" w:line="561" w:lineRule="auto"/>
        <w:jc w:val="both"/>
        <w:sectPr>
          <w:type w:val="continuous"/>
          <w:pgSz w:w="22380" w:h="31660"/>
          <w:pgMar w:top="40" w:right="0" w:bottom="280" w:left="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tabs>
          <w:tab w:val="left" w:pos="2906"/>
        </w:tabs>
        <w:spacing w:before="0" w:line="956" w:lineRule="exact"/>
        <w:ind w:left="845" w:right="0" w:firstLine="0"/>
        <w:jc w:val="center"/>
        <w:rPr>
          <w:sz w:val="75"/>
        </w:rPr>
      </w:pPr>
      <w:r>
        <w:rPr>
          <w:sz w:val="75"/>
        </w:rPr>
        <w:t>目</w:t>
        <w:tab/>
        <w:t>录</w:t>
      </w:r>
    </w:p>
    <w:p>
      <w:pPr>
        <w:pStyle w:val="BodyText"/>
        <w:rPr>
          <w:sz w:val="74"/>
        </w:rPr>
      </w:pPr>
    </w:p>
    <w:p>
      <w:pPr>
        <w:pStyle w:val="BodyText"/>
        <w:spacing w:before="1"/>
        <w:rPr>
          <w:sz w:val="59"/>
        </w:rPr>
      </w:pPr>
    </w:p>
    <w:p>
      <w:pPr>
        <w:pStyle w:val="BodyText"/>
        <w:tabs>
          <w:tab w:val="right" w:pos="17532"/>
        </w:tabs>
        <w:spacing w:line="562" w:lineRule="exact"/>
        <w:ind w:left="950"/>
        <w:jc w:val="center"/>
        <w:rPr>
          <w:rFonts w:ascii="Arial" w:eastAsia="Arial"/>
        </w:rPr>
      </w:pPr>
      <w:r>
        <w:t>一、项目概况</w:t>
        <w:tab/>
      </w:r>
      <w:r>
        <w:rPr>
          <w:rFonts w:ascii="Arial" w:eastAsia="Arial"/>
        </w:rPr>
        <w:t>2</w:t>
      </w:r>
    </w:p>
    <w:p>
      <w:pPr>
        <w:spacing w:before="0" w:line="199" w:lineRule="exact"/>
        <w:ind w:left="6377" w:right="0" w:firstLine="0"/>
        <w:jc w:val="left"/>
        <w:rPr>
          <w:rFonts w:ascii="Arial"/>
          <w:sz w:val="23"/>
        </w:rPr>
      </w:pPr>
      <w:r>
        <w:rPr>
          <w:rFonts w:ascii="Arial"/>
          <w:sz w:val="23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rPr>
          <w:rFonts w:ascii="Arial"/>
          <w:sz w:val="58"/>
        </w:rPr>
      </w:pPr>
    </w:p>
    <w:p>
      <w:pPr>
        <w:pStyle w:val="BodyText"/>
        <w:spacing w:before="6"/>
        <w:rPr>
          <w:rFonts w:ascii="Arial"/>
          <w:sz w:val="86"/>
        </w:rPr>
      </w:pPr>
    </w:p>
    <w:p>
      <w:pPr>
        <w:pStyle w:val="ListParagraph"/>
        <w:numPr>
          <w:ilvl w:val="0"/>
          <w:numId w:val="10"/>
        </w:numPr>
        <w:tabs>
          <w:tab w:val="left" w:pos="4794"/>
          <w:tab w:val="left" w:leader="dot" w:pos="19706"/>
        </w:tabs>
        <w:spacing w:before="0" w:after="0" w:line="240" w:lineRule="auto"/>
        <w:ind w:left="4793" w:right="0" w:hanging="630"/>
        <w:jc w:val="left"/>
        <w:rPr>
          <w:rFonts w:ascii="Arial" w:eastAsia="Arial" w:hAnsi="Arial"/>
          <w:sz w:val="49"/>
        </w:rPr>
      </w:pPr>
      <w:r>
        <w:pict>
          <v:group id="_x0000_s1025" style="width:1118.6pt;height:747.5pt;margin-top:-762.5pt;margin-left:0;mso-position-horizontal-relative:page;position:absolute;z-index:251658240" coordorigin="0,-15250" coordsize="22372,1495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2372;height:14759;position:absolute;top:-15059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443;height:492;left:3370;position:absolute;top:-15193" filled="f" stroked="f">
              <v:textbox inset="0,0,0,0">
                <w:txbxContent>
                  <w:p>
                    <w:pPr>
                      <w:spacing w:before="0" w:line="491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sz w:val="49"/>
                      </w:rPr>
                      <w:t>二、标准喷漆房概况</w:t>
                    </w:r>
                  </w:p>
                </w:txbxContent>
              </v:textbox>
            </v:shape>
            <v:shape id="_x0000_s1028" type="#_x0000_t202" style="width:266;height:492;left:19706;position:absolute;top:-15250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2</w:t>
                    </w:r>
                  </w:p>
                </w:txbxContent>
              </v:textbox>
            </v:shape>
            <v:shape id="_x0000_s1029" type="#_x0000_t202" style="width:11732;height:234;left:7851;position:absolute;top:-14776" filled="f" stroked="f">
              <v:textbox inset="0,0,0,0">
                <w:txbxContent>
                  <w:p>
                    <w:pPr>
                      <w:spacing w:before="11" w:line="221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.........................................................................................................................................................................................................</w:t>
                    </w:r>
                  </w:p>
                </w:txbxContent>
              </v:textbox>
            </v:shape>
            <v:shape id="_x0000_s1030" type="#_x0000_t202" style="width:4934;height:492;left:3370;position:absolute;top:-14044" filled="f" stroked="f">
              <v:textbox inset="0,0,0,0">
                <w:txbxContent>
                  <w:p>
                    <w:pPr>
                      <w:spacing w:before="0" w:line="491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sz w:val="49"/>
                      </w:rPr>
                      <w:t>三、污染物及其危害性</w:t>
                    </w:r>
                  </w:p>
                </w:txbxContent>
              </v:textbox>
            </v:shape>
            <v:shape id="_x0000_s1031" type="#_x0000_t202" style="width:266;height:492;left:19706;position:absolute;top:-14101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3</w:t>
                    </w:r>
                  </w:p>
                </w:txbxContent>
              </v:textbox>
            </v:shape>
            <v:shape id="_x0000_s1032" type="#_x0000_t202" style="width:11266;height:234;left:8343;position:absolute;top:-13627" filled="f" stroked="f">
              <v:textbox inset="0,0,0,0">
                <w:txbxContent>
                  <w:p>
                    <w:pPr>
                      <w:spacing w:before="11" w:line="221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.................................................................................................................................................................................................</w:t>
                    </w:r>
                  </w:p>
                </w:txbxContent>
              </v:textbox>
            </v:shape>
            <v:shape id="_x0000_s1033" type="#_x0000_t202" style="width:4690;height:492;left:3370;position:absolute;top:-12851" filled="f" stroked="f">
              <v:textbox inset="0,0,0,0">
                <w:txbxContent>
                  <w:p>
                    <w:pPr>
                      <w:spacing w:before="0" w:line="491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sz w:val="49"/>
                      </w:rPr>
                      <w:t>四、 设计依据及原则</w:t>
                    </w:r>
                  </w:p>
                </w:txbxContent>
              </v:textbox>
            </v:shape>
            <v:shape id="_x0000_s1034" type="#_x0000_t202" style="width:266;height:492;left:19706;position:absolute;top:-12908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4</w:t>
                    </w:r>
                  </w:p>
                </w:txbxContent>
              </v:textbox>
            </v:shape>
            <v:shape id="_x0000_s1035" type="#_x0000_t202" style="width:11499;height:234;left:8098;position:absolute;top:-12434" filled="f" stroked="f">
              <v:textbox inset="0,0,0,0">
                <w:txbxContent>
                  <w:p>
                    <w:pPr>
                      <w:spacing w:before="11" w:line="221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.....................................................................................................................................................................................................</w:t>
                    </w:r>
                  </w:p>
                </w:txbxContent>
              </v:textbox>
            </v:shape>
            <v:shape id="_x0000_s1036" type="#_x0000_t202" style="width:2997;height:549;left:4164;position:absolute;top:-11740" filled="f" stroked="f">
              <v:textbox inset="0,0,0,0">
                <w:txbxContent>
                  <w:p>
                    <w:pPr>
                      <w:spacing w:before="0" w:line="549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rFonts w:ascii="Arial" w:eastAsia="Arial"/>
                        <w:sz w:val="49"/>
                      </w:rPr>
                      <w:t>1</w:t>
                    </w:r>
                    <w:r>
                      <w:rPr>
                        <w:sz w:val="49"/>
                      </w:rPr>
                      <w:t>、 设计依据</w:t>
                    </w:r>
                  </w:p>
                </w:txbxContent>
              </v:textbox>
            </v:shape>
            <v:shape id="_x0000_s1037" type="#_x0000_t202" style="width:266;height:492;left:19706;position:absolute;top:-11740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4</w:t>
                    </w:r>
                  </w:p>
                </w:txbxContent>
              </v:textbox>
            </v:shape>
            <v:shape id="_x0000_s1038" type="#_x0000_t202" style="width:12373;height:234;left:7200;position:absolute;top:-11266" filled="f" stroked="f">
              <v:textbox inset="0,0,0,0">
                <w:txbxContent>
                  <w:p>
                    <w:pPr>
                      <w:spacing w:before="11" w:line="221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....................................................................................................................................................................................................................</w:t>
                    </w:r>
                  </w:p>
                </w:txbxContent>
              </v:textbox>
            </v:shape>
            <v:shape id="_x0000_s1039" type="#_x0000_t202" style="width:2997;height:549;left:4164;position:absolute;top:-10546" filled="f" stroked="f">
              <v:textbox inset="0,0,0,0">
                <w:txbxContent>
                  <w:p>
                    <w:pPr>
                      <w:spacing w:before="0" w:line="549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rFonts w:ascii="Arial" w:eastAsia="Arial"/>
                        <w:sz w:val="49"/>
                      </w:rPr>
                      <w:t>2</w:t>
                    </w:r>
                    <w:r>
                      <w:rPr>
                        <w:sz w:val="49"/>
                      </w:rPr>
                      <w:t>、 设计原则</w:t>
                    </w:r>
                  </w:p>
                </w:txbxContent>
              </v:textbox>
            </v:shape>
            <v:shape id="_x0000_s1040" type="#_x0000_t202" style="width:266;height:492;left:19706;position:absolute;top:-10546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4</w:t>
                    </w:r>
                  </w:p>
                </w:txbxContent>
              </v:textbox>
            </v:shape>
            <v:shape id="_x0000_s1041" type="#_x0000_t202" style="width:12373;height:234;left:7200;position:absolute;top:-10072" filled="f" stroked="f">
              <v:textbox inset="0,0,0,0">
                <w:txbxContent>
                  <w:p>
                    <w:pPr>
                      <w:spacing w:before="11" w:line="221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....................................................................................................................................................................................................................</w:t>
                    </w:r>
                  </w:p>
                </w:txbxContent>
              </v:textbox>
            </v:shape>
            <v:shape id="_x0000_s1042" type="#_x0000_t202" style="width:2997;height:549;left:4164;position:absolute;top:-9375" filled="f" stroked="f">
              <v:textbox inset="0,0,0,0">
                <w:txbxContent>
                  <w:p>
                    <w:pPr>
                      <w:spacing w:before="0" w:line="549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rFonts w:ascii="Arial" w:eastAsia="Arial"/>
                        <w:sz w:val="49"/>
                      </w:rPr>
                      <w:t>3</w:t>
                    </w:r>
                    <w:r>
                      <w:rPr>
                        <w:sz w:val="49"/>
                      </w:rPr>
                      <w:t>、 工程范围</w:t>
                    </w:r>
                  </w:p>
                </w:txbxContent>
              </v:textbox>
            </v:shape>
            <v:shape id="_x0000_s1043" type="#_x0000_t202" style="width:266;height:492;left:19706;position:absolute;top:-9375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5</w:t>
                    </w:r>
                  </w:p>
                </w:txbxContent>
              </v:textbox>
            </v:shape>
            <v:shape id="_x0000_s1044" type="#_x0000_t202" style="width:12373;height:234;left:7200;position:absolute;top:-8901" filled="f" stroked="f">
              <v:textbox inset="0,0,0,0">
                <w:txbxContent>
                  <w:p>
                    <w:pPr>
                      <w:spacing w:before="11" w:line="221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....................................................................................................................................................................................................................</w:t>
                    </w:r>
                  </w:p>
                </w:txbxContent>
              </v:textbox>
            </v:shape>
            <v:shape id="_x0000_s1045" type="#_x0000_t202" style="width:3952;height:492;left:3370;position:absolute;top:-8172" filled="f" stroked="f">
              <v:textbox inset="0,0,0,0">
                <w:txbxContent>
                  <w:p>
                    <w:pPr>
                      <w:spacing w:before="0" w:line="491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sz w:val="49"/>
                      </w:rPr>
                      <w:t>五、处理排放标准</w:t>
                    </w:r>
                  </w:p>
                </w:txbxContent>
              </v:textbox>
            </v:shape>
            <v:shape id="_x0000_s1046" type="#_x0000_t202" style="width:266;height:492;left:19706;position:absolute;top:-8229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5</w:t>
                    </w:r>
                  </w:p>
                </w:txbxContent>
              </v:textbox>
            </v:shape>
            <v:shape id="_x0000_s1047" type="#_x0000_t202" style="width:12257;height:234;left:7313;position:absolute;top:-7755" filled="f" stroked="f">
              <v:textbox inset="0,0,0,0">
                <w:txbxContent>
                  <w:p>
                    <w:pPr>
                      <w:spacing w:before="11" w:line="221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..................................................................................................................................................................................................................</w:t>
                    </w:r>
                  </w:p>
                </w:txbxContent>
              </v:textbox>
            </v:shape>
            <v:shape id="_x0000_s1048" type="#_x0000_t202" style="width:3216;height:492;left:3370;position:absolute;top:-6979" filled="f" stroked="f">
              <v:textbox inset="0,0,0,0">
                <w:txbxContent>
                  <w:p>
                    <w:pPr>
                      <w:spacing w:before="0" w:line="491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sz w:val="49"/>
                      </w:rPr>
                      <w:t>六、 处理工艺</w:t>
                    </w:r>
                  </w:p>
                </w:txbxContent>
              </v:textbox>
            </v:shape>
            <v:shape id="_x0000_s1049" type="#_x0000_t202" style="width:266;height:492;left:19706;position:absolute;top:-7036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5</w:t>
                    </w:r>
                  </w:p>
                </w:txbxContent>
              </v:textbox>
            </v:shape>
            <v:shape id="_x0000_s1050" type="#_x0000_t202" style="width:12955;height:234;left:6624;position:absolute;top:-6562" filled="f" stroked="f">
              <v:textbox inset="0,0,0,0">
                <w:txbxContent>
                  <w:p>
                    <w:pPr>
                      <w:spacing w:before="11" w:line="221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..............................................................................................................................................................................................................................</w:t>
                    </w:r>
                  </w:p>
                </w:txbxContent>
              </v:textbox>
            </v:shape>
            <v:shape id="_x0000_s1051" type="#_x0000_t202" style="width:3106;height:492;left:4164;position:absolute;top:-5808" filled="f" stroked="f">
              <v:textbox inset="0,0,0,0">
                <w:txbxContent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629"/>
                      </w:tabs>
                      <w:spacing w:before="0" w:line="491" w:lineRule="exact"/>
                      <w:ind w:left="628" w:right="0" w:hanging="629"/>
                      <w:jc w:val="left"/>
                      <w:rPr>
                        <w:sz w:val="49"/>
                      </w:rPr>
                    </w:pPr>
                    <w:r>
                      <w:rPr>
                        <w:sz w:val="49"/>
                      </w:rPr>
                      <w:t>工艺说明：</w:t>
                    </w:r>
                  </w:p>
                </w:txbxContent>
              </v:textbox>
            </v:shape>
            <v:shape id="_x0000_s1052" type="#_x0000_t202" style="width:266;height:492;left:19706;position:absolute;top:-5865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5</w:t>
                    </w:r>
                  </w:p>
                </w:txbxContent>
              </v:textbox>
            </v:shape>
            <v:shape id="_x0000_s1053" type="#_x0000_t202" style="width:12315;height:234;left:7254;position:absolute;top:-5391" filled="f" stroked="f">
              <v:textbox inset="0,0,0,0">
                <w:txbxContent>
                  <w:p>
                    <w:pPr>
                      <w:spacing w:before="11" w:line="221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...................................................................................................................................................................................................................</w:t>
                    </w:r>
                  </w:p>
                </w:txbxContent>
              </v:textbox>
            </v:shape>
            <v:shape id="_x0000_s1054" type="#_x0000_t202" style="width:5698;height:549;left:4164;position:absolute;top:-4672" filled="f" stroked="f">
              <v:textbox inset="0,0,0,0">
                <w:txbxContent>
                  <w:p>
                    <w:pPr>
                      <w:spacing w:before="0" w:line="549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rFonts w:ascii="Arial" w:eastAsia="Arial"/>
                        <w:sz w:val="49"/>
                      </w:rPr>
                      <w:t>1</w:t>
                    </w:r>
                    <w:r>
                      <w:rPr>
                        <w:sz w:val="49"/>
                      </w:rPr>
                      <w:t>、干式漆雾过滤净化装置</w:t>
                    </w:r>
                  </w:p>
                </w:txbxContent>
              </v:textbox>
            </v:shape>
            <v:shape id="_x0000_s1055" type="#_x0000_t202" style="width:266;height:492;left:19706;position:absolute;top:-4672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6</w:t>
                    </w:r>
                  </w:p>
                </w:txbxContent>
              </v:textbox>
            </v:shape>
            <v:shape id="_x0000_s1056" type="#_x0000_t202" style="width:9751;height:234;left:9848;position:absolute;top:-4198" filled="f" stroked="f">
              <v:textbox inset="0,0,0,0">
                <w:txbxContent>
                  <w:p>
                    <w:pPr>
                      <w:spacing w:before="11" w:line="221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.......................................................................................................................................................................</w:t>
                    </w:r>
                  </w:p>
                </w:txbxContent>
              </v:textbox>
            </v:shape>
            <v:shape id="_x0000_s1057" type="#_x0000_t202" style="width:6190;height:549;left:4164;position:absolute;top:-3501" filled="f" stroked="f">
              <v:textbox inset="0,0,0,0">
                <w:txbxContent>
                  <w:p>
                    <w:pPr>
                      <w:spacing w:before="0" w:line="549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rFonts w:ascii="Arial" w:eastAsia="Arial"/>
                        <w:sz w:val="49"/>
                      </w:rPr>
                      <w:t>2</w:t>
                    </w:r>
                    <w:r>
                      <w:rPr>
                        <w:sz w:val="49"/>
                      </w:rPr>
                      <w:t>、活性碳废气净化处理装置</w:t>
                    </w:r>
                  </w:p>
                </w:txbxContent>
              </v:textbox>
            </v:shape>
            <v:shape id="_x0000_s1058" type="#_x0000_t202" style="width:266;height:492;left:19706;position:absolute;top:-3501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6</w:t>
                    </w:r>
                  </w:p>
                </w:txbxContent>
              </v:textbox>
            </v:shape>
            <v:shape id="_x0000_s1059" type="#_x0000_t202" style="width:9226;height:234;left:10393;position:absolute;top:-3027" filled="f" stroked="f">
              <v:textbox inset="0,0,0,0">
                <w:txbxContent>
                  <w:p>
                    <w:pPr>
                      <w:spacing w:before="11" w:line="221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..............................................................................................................................................................</w:t>
                    </w:r>
                  </w:p>
                </w:txbxContent>
              </v:textbox>
            </v:shape>
            <v:shape id="_x0000_s1060" type="#_x0000_t202" style="width:5698;height:549;left:4164;position:absolute;top:-2354" filled="f" stroked="f">
              <v:textbox inset="0,0,0,0">
                <w:txbxContent>
                  <w:p>
                    <w:pPr>
                      <w:spacing w:before="0" w:line="549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rFonts w:ascii="Arial" w:eastAsia="Arial"/>
                        <w:sz w:val="49"/>
                      </w:rPr>
                      <w:t>3</w:t>
                    </w:r>
                    <w:r>
                      <w:rPr>
                        <w:sz w:val="49"/>
                      </w:rPr>
                      <w:t>、紫外光解有机废气技术</w:t>
                    </w:r>
                  </w:p>
                </w:txbxContent>
              </v:textbox>
            </v:shape>
            <v:shape id="_x0000_s1061" type="#_x0000_t202" style="width:266;height:492;left:19706;position:absolute;top:-2354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7</w:t>
                    </w:r>
                  </w:p>
                </w:txbxContent>
              </v:textbox>
            </v:shape>
            <v:shape id="_x0000_s1062" type="#_x0000_t202" style="width:9751;height:234;left:9848;position:absolute;top:-1880" filled="f" stroked="f">
              <v:textbox inset="0,0,0,0">
                <w:txbxContent>
                  <w:p>
                    <w:pPr>
                      <w:spacing w:before="11" w:line="221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.......................................................................................................................................................................</w:t>
                    </w:r>
                  </w:p>
                </w:txbxContent>
              </v:textbox>
            </v:shape>
            <v:shape id="_x0000_s1063" type="#_x0000_t202" style="width:4715;height:549;left:4164;position:absolute;top:-1161" filled="f" stroked="f">
              <v:textbox inset="0,0,0,0">
                <w:txbxContent>
                  <w:p>
                    <w:pPr>
                      <w:spacing w:before="0" w:line="549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rFonts w:ascii="Arial" w:eastAsia="Arial"/>
                        <w:w w:val="95"/>
                        <w:sz w:val="49"/>
                      </w:rPr>
                      <w:t>4</w:t>
                    </w:r>
                    <w:r>
                      <w:rPr>
                        <w:w w:val="95"/>
                        <w:sz w:val="49"/>
                      </w:rPr>
                      <w:t>、低温等离子体技术</w:t>
                    </w:r>
                  </w:p>
                </w:txbxContent>
              </v:textbox>
            </v:shape>
            <v:shape id="_x0000_s1064" type="#_x0000_t202" style="width:266;height:492;left:19706;position:absolute;top:-1161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7</w:t>
                    </w:r>
                  </w:p>
                </w:txbxContent>
              </v:textbox>
            </v:shape>
            <v:shape id="_x0000_s1065" type="#_x0000_t202" style="width:10683;height:234;left:8918;position:absolute;top:-687" filled="f" stroked="f">
              <v:textbox inset="0,0,0,0">
                <w:txbxContent>
                  <w:p>
                    <w:pPr>
                      <w:spacing w:before="11" w:line="221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.......................................................................................................................................................................................</w:t>
                    </w:r>
                  </w:p>
                </w:txbxContent>
              </v:textbox>
            </v:shape>
          </v:group>
        </w:pict>
      </w:r>
      <w:r>
        <w:rPr>
          <w:sz w:val="49"/>
        </w:rPr>
        <w:t>工艺对比</w:t>
        <w:tab/>
      </w:r>
      <w:r>
        <w:rPr>
          <w:rFonts w:ascii="Arial" w:eastAsia="Arial" w:hAnsi="Arial"/>
          <w:sz w:val="49"/>
        </w:rPr>
        <w:t>8</w:t>
      </w:r>
    </w:p>
    <w:p>
      <w:pPr>
        <w:pStyle w:val="BodyText"/>
        <w:tabs>
          <w:tab w:val="right" w:leader="dot" w:pos="19952"/>
        </w:tabs>
        <w:spacing w:before="566"/>
        <w:ind w:left="4164"/>
        <w:rPr>
          <w:rFonts w:ascii="Arial" w:eastAsia="Arial"/>
        </w:rPr>
      </w:pPr>
      <w:r>
        <w:rPr>
          <w:rFonts w:ascii="Arial" w:eastAsia="Arial"/>
          <w:spacing w:val="26"/>
        </w:rPr>
        <w:t>1</w:t>
      </w:r>
      <w:r>
        <w:t>、处理工艺对比</w:t>
        <w:tab/>
      </w:r>
      <w:r>
        <w:rPr>
          <w:rFonts w:ascii="Arial" w:eastAsia="Arial"/>
        </w:rPr>
        <w:t>8</w:t>
      </w:r>
    </w:p>
    <w:p>
      <w:pPr>
        <w:pStyle w:val="BodyText"/>
        <w:tabs>
          <w:tab w:val="right" w:leader="dot" w:pos="19952"/>
        </w:tabs>
        <w:spacing w:before="540"/>
        <w:ind w:left="4164"/>
        <w:rPr>
          <w:rFonts w:ascii="Arial" w:eastAsia="Arial"/>
        </w:rPr>
      </w:pPr>
      <w:r>
        <w:rPr>
          <w:rFonts w:ascii="Arial" w:eastAsia="Arial"/>
          <w:spacing w:val="26"/>
        </w:rPr>
        <w:t>2</w:t>
      </w:r>
      <w:r>
        <w:t>、漆雾处理器与油帘、水帘的对比</w:t>
        <w:tab/>
      </w:r>
      <w:r>
        <w:rPr>
          <w:rFonts w:ascii="Arial" w:eastAsia="Arial"/>
        </w:rPr>
        <w:t>9</w:t>
      </w:r>
    </w:p>
    <w:p>
      <w:pPr>
        <w:pStyle w:val="BodyText"/>
        <w:tabs>
          <w:tab w:val="right" w:leader="dot" w:pos="19943"/>
        </w:tabs>
        <w:spacing w:before="544"/>
        <w:ind w:left="3370"/>
        <w:rPr>
          <w:rFonts w:ascii="Arial" w:eastAsia="Arial"/>
        </w:rPr>
      </w:pPr>
      <w:r>
        <w:t>七、</w:t>
      </w:r>
      <w:r>
        <w:rPr>
          <w:spacing w:val="1"/>
        </w:rPr>
        <w:t xml:space="preserve"> </w:t>
      </w:r>
      <w:r>
        <w:t>工艺流程图及说明</w:t>
        <w:tab/>
      </w:r>
      <w:r>
        <w:rPr>
          <w:rFonts w:ascii="Arial" w:eastAsia="Arial"/>
          <w:spacing w:val="13"/>
        </w:rPr>
        <w:t>10</w:t>
      </w:r>
    </w:p>
    <w:p>
      <w:pPr>
        <w:pStyle w:val="BodyText"/>
        <w:tabs>
          <w:tab w:val="right" w:leader="dot" w:pos="19943"/>
        </w:tabs>
        <w:spacing w:before="543"/>
        <w:ind w:left="4164"/>
        <w:rPr>
          <w:rFonts w:ascii="Arial" w:eastAsia="Arial"/>
        </w:rPr>
      </w:pPr>
      <w:r>
        <w:rPr>
          <w:rFonts w:ascii="Arial" w:eastAsia="Arial"/>
          <w:spacing w:val="26"/>
        </w:rPr>
        <w:t>1</w:t>
      </w:r>
      <w:r>
        <w:t>、 处理工艺选定</w:t>
        <w:tab/>
      </w:r>
      <w:r>
        <w:rPr>
          <w:rFonts w:ascii="Arial" w:eastAsia="Arial"/>
          <w:spacing w:val="13"/>
        </w:rPr>
        <w:t>10</w:t>
      </w:r>
    </w:p>
    <w:p>
      <w:pPr>
        <w:spacing w:after="0"/>
        <w:rPr>
          <w:rFonts w:ascii="Arial" w:eastAsia="Arial"/>
        </w:rPr>
        <w:sectPr>
          <w:headerReference w:type="default" r:id="rId6"/>
          <w:pgSz w:w="22380" w:h="31660"/>
          <w:pgMar w:top="140" w:right="0" w:bottom="280" w:left="0" w:header="0" w:footer="0"/>
          <w:pgNumType w:start="2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9"/>
        </w:rPr>
      </w:pPr>
    </w:p>
    <w:p>
      <w:pPr>
        <w:pStyle w:val="BodyText"/>
        <w:tabs>
          <w:tab w:val="right" w:pos="19943"/>
        </w:tabs>
        <w:spacing w:before="90" w:line="562" w:lineRule="exact"/>
        <w:ind w:left="4164"/>
        <w:rPr>
          <w:rFonts w:ascii="Arial" w:eastAsia="Arial"/>
        </w:rPr>
      </w:pPr>
      <w:r>
        <w:rPr>
          <w:rFonts w:ascii="Arial" w:eastAsia="Arial"/>
          <w:spacing w:val="26"/>
        </w:rPr>
        <w:t>2</w:t>
      </w:r>
      <w:r>
        <w:t>、 流程图</w:t>
        <w:tab/>
      </w:r>
      <w:r>
        <w:rPr>
          <w:rFonts w:ascii="Arial" w:eastAsia="Arial"/>
          <w:spacing w:val="13"/>
        </w:rPr>
        <w:t>11</w:t>
      </w:r>
    </w:p>
    <w:p>
      <w:pPr>
        <w:spacing w:before="0" w:line="199" w:lineRule="exact"/>
        <w:ind w:left="0" w:right="3118" w:firstLine="0"/>
        <w:jc w:val="right"/>
        <w:rPr>
          <w:rFonts w:ascii="Arial"/>
          <w:sz w:val="23"/>
        </w:rPr>
      </w:pPr>
      <w:r>
        <w:rPr>
          <w:rFonts w:ascii="Arial"/>
          <w:w w:val="90"/>
          <w:sz w:val="23"/>
        </w:rPr>
        <w:t>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tabs>
          <w:tab w:val="right" w:pos="19943"/>
        </w:tabs>
        <w:spacing w:before="432" w:line="562" w:lineRule="exact"/>
        <w:ind w:left="4164"/>
        <w:rPr>
          <w:rFonts w:ascii="Arial" w:eastAsia="Arial"/>
        </w:rPr>
      </w:pPr>
      <w:r>
        <w:rPr>
          <w:rFonts w:ascii="Arial" w:eastAsia="Arial"/>
          <w:spacing w:val="26"/>
        </w:rPr>
        <w:t>3</w:t>
      </w:r>
      <w:r>
        <w:t>、 工艺说明</w:t>
        <w:tab/>
      </w:r>
      <w:r>
        <w:rPr>
          <w:rFonts w:ascii="Arial" w:eastAsia="Arial"/>
          <w:spacing w:val="13"/>
        </w:rPr>
        <w:t>11</w:t>
      </w:r>
    </w:p>
    <w:p>
      <w:pPr>
        <w:spacing w:before="0" w:line="199" w:lineRule="exact"/>
        <w:ind w:left="0" w:right="3108" w:firstLine="0"/>
        <w:jc w:val="right"/>
        <w:rPr>
          <w:rFonts w:ascii="Arial"/>
          <w:sz w:val="23"/>
        </w:rPr>
      </w:pPr>
      <w:r>
        <w:rPr>
          <w:rFonts w:ascii="Arial"/>
          <w:w w:val="90"/>
          <w:sz w:val="23"/>
        </w:rPr>
        <w:t>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rPr>
          <w:rFonts w:ascii="Arial"/>
          <w:sz w:val="58"/>
        </w:rPr>
      </w:pPr>
    </w:p>
    <w:p>
      <w:pPr>
        <w:pStyle w:val="BodyText"/>
        <w:spacing w:before="5"/>
        <w:rPr>
          <w:rFonts w:ascii="Arial"/>
          <w:sz w:val="81"/>
        </w:rPr>
      </w:pPr>
    </w:p>
    <w:p>
      <w:pPr>
        <w:pStyle w:val="BodyText"/>
        <w:tabs>
          <w:tab w:val="left" w:leader="dot" w:pos="19425"/>
        </w:tabs>
        <w:ind w:left="4164"/>
        <w:rPr>
          <w:rFonts w:ascii="Arial" w:eastAsia="Arial"/>
        </w:rPr>
      </w:pPr>
      <w:r>
        <w:pict>
          <v:group id="_x0000_s1066" style="width:1118.6pt;height:45.1pt;margin-top:-59.14pt;margin-left:0;mso-position-horizontal-relative:page;position:absolute;z-index:251659264" coordorigin="0,-1183" coordsize="22372,902">
            <v:shape id="_x0000_s1067" type="#_x0000_t75" style="width:22372;height:702;position:absolute;top:-984" stroked="f">
              <v:imagedata r:id="rId7" o:title=""/>
            </v:shape>
            <v:shape id="_x0000_s1068" type="#_x0000_t202" style="width:5426;height:492;left:3370;position:absolute;top:-1126" filled="f" stroked="f">
              <v:textbox inset="0,0,0,0">
                <w:txbxContent>
                  <w:p>
                    <w:pPr>
                      <w:spacing w:before="0" w:line="491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sz w:val="49"/>
                      </w:rPr>
                      <w:t>八、技术及主要设备简介</w:t>
                    </w:r>
                  </w:p>
                </w:txbxContent>
              </v:textbox>
            </v:shape>
            <v:shape id="_x0000_s1069" type="#_x0000_t202" style="width:539;height:492;left:19425;position:absolute;top:-1183" filled="f" stroked="f">
              <v:textbox inset="0,0,0,0">
                <w:txbxContent>
                  <w:p>
                    <w:pPr>
                      <w:spacing w:before="20" w:line="472" w:lineRule="exact"/>
                      <w:ind w:left="0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w w:val="90"/>
                        <w:sz w:val="49"/>
                      </w:rPr>
                      <w:t>11</w:t>
                    </w:r>
                  </w:p>
                </w:txbxContent>
              </v:textbox>
            </v:shape>
            <v:shape id="_x0000_s1070" type="#_x0000_t202" style="width:10509;height:234;left:8787;position:absolute;top:-709" filled="f" stroked="f">
              <v:textbox inset="0,0,0,0">
                <w:txbxContent>
                  <w:p>
                    <w:pPr>
                      <w:spacing w:before="11" w:line="221" w:lineRule="exact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....................................................................................................................................................................................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  <w:spacing w:val="26"/>
        </w:rPr>
        <w:t>1</w:t>
      </w:r>
      <w:r>
        <w:t>、主要设备</w:t>
        <w:tab/>
      </w:r>
      <w:r>
        <w:rPr>
          <w:rFonts w:ascii="Arial" w:eastAsia="Arial"/>
          <w:spacing w:val="13"/>
        </w:rPr>
        <w:t>12</w:t>
      </w:r>
    </w:p>
    <w:sdt>
      <w:sdtPr>
        <w:id w:val="1778371867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right" w:leader="dot" w:pos="19943"/>
            </w:tabs>
            <w:spacing w:before="544"/>
            <w:rPr>
              <w:rFonts w:ascii="Arial" w:eastAsia="Arial"/>
            </w:rPr>
          </w:pPr>
          <w:hyperlink w:anchor="_TOC_250003" w:history="1">
            <w:r>
              <w:rPr>
                <w:rFonts w:ascii="Arial" w:eastAsia="Arial"/>
                <w:spacing w:val="26"/>
              </w:rPr>
              <w:t>2</w:t>
            </w:r>
            <w:r>
              <w:t>、 工艺特点</w:t>
              <w:tab/>
            </w:r>
            <w:r>
              <w:rPr>
                <w:rFonts w:ascii="Arial" w:eastAsia="Arial"/>
                <w:spacing w:val="13"/>
              </w:rPr>
              <w:t>13</w:t>
            </w:r>
          </w:hyperlink>
        </w:p>
        <w:p>
          <w:pPr>
            <w:pStyle w:val="TOC1"/>
            <w:tabs>
              <w:tab w:val="right" w:leader="dot" w:pos="19943"/>
            </w:tabs>
            <w:rPr>
              <w:rFonts w:ascii="Arial" w:eastAsia="Arial"/>
            </w:rPr>
          </w:pPr>
          <w:hyperlink w:anchor="_TOC_250002" w:history="1">
            <w:r>
              <w:t>九、</w:t>
            </w:r>
            <w:r>
              <w:rPr>
                <w:spacing w:val="1"/>
              </w:rPr>
              <w:t xml:space="preserve"> </w:t>
            </w:r>
            <w:r>
              <w:t>废气的风量及污染物浓度</w:t>
              <w:tab/>
            </w:r>
            <w:r>
              <w:rPr>
                <w:rFonts w:ascii="Arial" w:eastAsia="Arial"/>
                <w:spacing w:val="13"/>
              </w:rPr>
              <w:t>13</w:t>
            </w:r>
          </w:hyperlink>
        </w:p>
        <w:p>
          <w:pPr>
            <w:pStyle w:val="TOC2"/>
            <w:tabs>
              <w:tab w:val="right" w:leader="dot" w:pos="19943"/>
            </w:tabs>
            <w:spacing w:before="566"/>
            <w:rPr>
              <w:rFonts w:ascii="Arial" w:eastAsia="Arial"/>
            </w:rPr>
          </w:pPr>
          <w:r>
            <w:rPr>
              <w:rFonts w:ascii="Arial" w:eastAsia="Arial"/>
              <w:spacing w:val="26"/>
            </w:rPr>
            <w:t>1</w:t>
          </w:r>
          <w:r>
            <w:t>、 风管管径（多大风量）</w:t>
            <w:tab/>
          </w:r>
          <w:r>
            <w:rPr>
              <w:rFonts w:ascii="Arial" w:eastAsia="Arial"/>
              <w:spacing w:val="13"/>
            </w:rPr>
            <w:t>13</w:t>
          </w:r>
        </w:p>
        <w:p>
          <w:pPr>
            <w:pStyle w:val="TOC2"/>
            <w:tabs>
              <w:tab w:val="right" w:leader="dot" w:pos="19943"/>
            </w:tabs>
            <w:spacing w:before="543"/>
            <w:rPr>
              <w:rFonts w:ascii="Arial" w:eastAsia="Arial"/>
            </w:rPr>
          </w:pPr>
          <w:r>
            <w:rPr>
              <w:rFonts w:ascii="Arial" w:eastAsia="Arial"/>
              <w:spacing w:val="26"/>
            </w:rPr>
            <w:t>2</w:t>
          </w:r>
          <w:r>
            <w:t>、 干式漆雾过滤器</w:t>
            <w:tab/>
          </w:r>
          <w:r>
            <w:rPr>
              <w:rFonts w:ascii="Arial" w:eastAsia="Arial"/>
              <w:spacing w:val="13"/>
            </w:rPr>
            <w:t>13</w:t>
          </w:r>
        </w:p>
        <w:p>
          <w:pPr>
            <w:pStyle w:val="TOC2"/>
            <w:tabs>
              <w:tab w:val="right" w:leader="dot" w:pos="19943"/>
            </w:tabs>
            <w:spacing w:before="565"/>
            <w:rPr>
              <w:rFonts w:ascii="Arial" w:eastAsia="Arial"/>
            </w:rPr>
          </w:pPr>
          <w:r>
            <w:rPr>
              <w:rFonts w:ascii="Arial" w:eastAsia="Arial"/>
              <w:spacing w:val="26"/>
            </w:rPr>
            <w:t>3</w:t>
          </w:r>
          <w:r>
            <w:t>、 活性炭吸附塔</w:t>
            <w:tab/>
          </w:r>
          <w:r>
            <w:rPr>
              <w:rFonts w:ascii="Arial" w:eastAsia="Arial"/>
              <w:spacing w:val="13"/>
            </w:rPr>
            <w:t>14</w:t>
          </w:r>
        </w:p>
        <w:p>
          <w:pPr>
            <w:pStyle w:val="TOC2"/>
            <w:tabs>
              <w:tab w:val="right" w:leader="dot" w:pos="19943"/>
            </w:tabs>
            <w:rPr>
              <w:rFonts w:ascii="Arial" w:eastAsia="Arial"/>
            </w:rPr>
          </w:pPr>
          <w:r>
            <w:rPr>
              <w:rFonts w:ascii="Arial" w:eastAsia="Arial"/>
              <w:spacing w:val="26"/>
            </w:rPr>
            <w:t>4</w:t>
          </w:r>
          <w:r>
            <w:t>、风机的选定</w:t>
            <w:tab/>
          </w:r>
          <w:r>
            <w:rPr>
              <w:rFonts w:ascii="Arial" w:eastAsia="Arial"/>
              <w:spacing w:val="13"/>
            </w:rPr>
            <w:t>15</w:t>
          </w:r>
        </w:p>
        <w:p>
          <w:pPr>
            <w:pStyle w:val="TOC1"/>
            <w:tabs>
              <w:tab w:val="right" w:leader="dot" w:pos="19943"/>
            </w:tabs>
            <w:spacing w:before="521"/>
            <w:rPr>
              <w:rFonts w:ascii="Arial" w:eastAsia="Arial"/>
            </w:rPr>
          </w:pPr>
          <w:hyperlink w:anchor="_TOC_250001" w:history="1">
            <w:r>
              <w:t>十一、工期</w:t>
              <w:tab/>
            </w:r>
            <w:r>
              <w:rPr>
                <w:rFonts w:ascii="Arial" w:eastAsia="Arial"/>
                <w:spacing w:val="13"/>
              </w:rPr>
              <w:t>16</w:t>
            </w:r>
          </w:hyperlink>
        </w:p>
        <w:p>
          <w:pPr>
            <w:pStyle w:val="TOC1"/>
            <w:tabs>
              <w:tab w:val="right" w:leader="dot" w:pos="19943"/>
            </w:tabs>
            <w:spacing w:before="565"/>
            <w:rPr>
              <w:rFonts w:ascii="Arial" w:eastAsia="Arial"/>
            </w:rPr>
          </w:pPr>
          <w:hyperlink w:anchor="_TOC_250000" w:history="1">
            <w:r>
              <w:t>十二、设备运行费用</w:t>
              <w:tab/>
            </w:r>
            <w:r>
              <w:rPr>
                <w:rFonts w:ascii="Arial" w:eastAsia="Arial"/>
                <w:spacing w:val="13"/>
              </w:rPr>
              <w:t>16</w:t>
            </w:r>
          </w:hyperlink>
        </w:p>
      </w:sdtContent>
    </w:sdt>
    <w:p>
      <w:pPr>
        <w:tabs>
          <w:tab w:val="left" w:pos="16802"/>
        </w:tabs>
        <w:spacing w:before="571"/>
        <w:ind w:left="3370" w:right="0" w:firstLine="0"/>
        <w:jc w:val="left"/>
        <w:rPr>
          <w:rFonts w:ascii="Arial" w:eastAsia="Arial"/>
          <w:sz w:val="49"/>
        </w:rPr>
      </w:pPr>
      <w:r>
        <w:rPr>
          <w:w w:val="95"/>
          <w:position w:val="22"/>
          <w:sz w:val="49"/>
        </w:rPr>
        <w:t>十三、投资预</w:t>
      </w:r>
      <w:r>
        <w:rPr>
          <w:spacing w:val="59"/>
          <w:w w:val="95"/>
          <w:position w:val="22"/>
          <w:sz w:val="49"/>
        </w:rPr>
        <w:t>算</w:t>
      </w:r>
      <w:r>
        <w:rPr>
          <w:rFonts w:ascii="Arial" w:eastAsia="Arial"/>
          <w:w w:val="95"/>
          <w:sz w:val="23"/>
        </w:rPr>
        <w:t>.............................................................................................................................................</w:t>
      </w:r>
      <w:r>
        <w:rPr>
          <w:rFonts w:ascii="Arial" w:eastAsia="Arial"/>
          <w:spacing w:val="28"/>
          <w:w w:val="95"/>
          <w:sz w:val="23"/>
        </w:rPr>
        <w:t xml:space="preserve"> </w:t>
      </w:r>
      <w:r>
        <w:rPr>
          <w:w w:val="95"/>
          <w:position w:val="22"/>
          <w:sz w:val="49"/>
        </w:rPr>
        <w:t>错误</w:t>
      </w:r>
      <w:r>
        <w:rPr>
          <w:spacing w:val="-19"/>
          <w:w w:val="95"/>
          <w:position w:val="22"/>
          <w:sz w:val="49"/>
        </w:rPr>
        <w:t xml:space="preserve"> </w:t>
      </w:r>
      <w:r>
        <w:rPr>
          <w:rFonts w:ascii="Arial" w:eastAsia="Arial"/>
          <w:w w:val="95"/>
          <w:position w:val="22"/>
          <w:sz w:val="49"/>
        </w:rPr>
        <w:t>!</w:t>
        <w:tab/>
      </w:r>
      <w:r>
        <w:rPr>
          <w:position w:val="22"/>
          <w:sz w:val="49"/>
        </w:rPr>
        <w:t>未定义书签。</w:t>
      </w:r>
      <w:r>
        <w:rPr>
          <w:spacing w:val="-3"/>
          <w:position w:val="22"/>
          <w:sz w:val="49"/>
        </w:rPr>
        <w:t xml:space="preserve"> </w:t>
      </w:r>
      <w:r>
        <w:rPr>
          <w:rFonts w:ascii="Arial" w:eastAsia="Arial"/>
          <w:position w:val="22"/>
          <w:sz w:val="49"/>
        </w:rPr>
        <w:t>9</w:t>
      </w:r>
    </w:p>
    <w:p>
      <w:pPr>
        <w:spacing w:after="0"/>
        <w:jc w:val="left"/>
        <w:rPr>
          <w:rFonts w:ascii="Arial" w:eastAsia="Arial"/>
          <w:sz w:val="49"/>
        </w:rPr>
        <w:sectPr>
          <w:headerReference w:type="default" r:id="rId8"/>
          <w:pgSz w:w="22380" w:h="31660"/>
          <w:pgMar w:top="140" w:right="0" w:bottom="280" w:left="0" w:header="0" w:footer="0"/>
          <w:pgNumType w:start="3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8"/>
        </w:rPr>
      </w:pPr>
    </w:p>
    <w:p>
      <w:pPr>
        <w:pStyle w:val="Heading1"/>
        <w:spacing w:before="32"/>
      </w:pPr>
      <w:r>
        <w:t>一、项目概况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0" w:line="420" w:lineRule="auto"/>
        <w:ind w:left="3370" w:right="2534"/>
      </w:pPr>
      <w:r>
        <w:pict>
          <v:group id="_x0000_s1071" style="width:1118.6pt;height:780.85pt;margin-top:-764.63pt;margin-left:0;mso-position-horizontal-relative:page;position:absolute;z-index:-251656192" coordorigin="0,-15293" coordsize="22372,15617">
            <v:shape id="_x0000_s1072" type="#_x0000_t75" style="width:22372;height:15617;position:absolute;top:-15293" stroked="f">
              <v:imagedata r:id="rId9" o:title=""/>
            </v:shape>
            <v:shape id="_x0000_s1073" type="#_x0000_t202" style="width:15713;height:469;left:4400;position:absolute;top:-14142" filled="f" stroked="f">
              <v:textbox inset="0,0,0,0">
                <w:txbxContent>
                  <w:p>
                    <w:pPr>
                      <w:spacing w:before="0" w:line="469" w:lineRule="exact"/>
                      <w:ind w:left="0" w:right="0" w:firstLine="0"/>
                      <w:jc w:val="left"/>
                      <w:rPr>
                        <w:sz w:val="47"/>
                      </w:rPr>
                    </w:pPr>
                    <w:r>
                      <w:rPr>
                        <w:spacing w:val="-3"/>
                        <w:sz w:val="47"/>
                      </w:rPr>
                      <w:t>汽车喷漆烤漆房一般是用来喷涂和烘烤车漆的， 是在一个房间里对过滤喷涂</w:t>
                    </w:r>
                  </w:p>
                </w:txbxContent>
              </v:textbox>
            </v:shape>
            <v:shape id="_x0000_s1074" type="#_x0000_t202" style="width:16884;height:469;left:3370;position:absolute;top:-12083" filled="f" stroked="f">
              <v:textbox inset="0,0,0,0">
                <w:txbxContent>
                  <w:p>
                    <w:pPr>
                      <w:spacing w:before="0" w:line="469" w:lineRule="exact"/>
                      <w:ind w:left="0" w:right="0" w:firstLine="0"/>
                      <w:jc w:val="left"/>
                      <w:rPr>
                        <w:sz w:val="47"/>
                      </w:rPr>
                    </w:pPr>
                    <w:r>
                      <w:rPr>
                        <w:spacing w:val="-5"/>
                        <w:sz w:val="47"/>
                      </w:rPr>
                      <w:t>对象进行喷涂。 喷涂原料由不挥发份和挥发份组成， 不挥发份包括成膜物质和辅</w:t>
                    </w:r>
                  </w:p>
                </w:txbxContent>
              </v:textbox>
            </v:shape>
            <v:shape id="_x0000_s1075" type="#_x0000_t202" style="width:16032;height:518;left:3370;position:absolute;top:-10040" filled="f" stroked="f">
              <v:textbox inset="0,0,0,0">
                <w:txbxContent>
                  <w:p>
                    <w:pPr>
                      <w:spacing w:before="0" w:line="518" w:lineRule="exact"/>
                      <w:ind w:left="0" w:right="0" w:firstLine="0"/>
                      <w:jc w:val="left"/>
                      <w:rPr>
                        <w:rFonts w:ascii="Arial" w:eastAsia="Arial"/>
                        <w:sz w:val="47"/>
                      </w:rPr>
                    </w:pPr>
                    <w:r>
                      <w:rPr>
                        <w:spacing w:val="-9"/>
                        <w:sz w:val="47"/>
                      </w:rPr>
                      <w:t xml:space="preserve">助成膜物质，挥发份指溶剂和稀释剂 </w:t>
                    </w:r>
                    <w:r>
                      <w:rPr>
                        <w:rFonts w:ascii="Arial" w:eastAsia="Arial"/>
                        <w:spacing w:val="-7"/>
                        <w:sz w:val="47"/>
                      </w:rPr>
                      <w:t xml:space="preserve">( </w:t>
                    </w:r>
                    <w:r>
                      <w:rPr>
                        <w:spacing w:val="-17"/>
                        <w:sz w:val="47"/>
                      </w:rPr>
                      <w:t xml:space="preserve">主要以二甲苯为主 </w:t>
                    </w:r>
                    <w:r>
                      <w:rPr>
                        <w:rFonts w:ascii="Arial" w:eastAsia="Arial"/>
                        <w:spacing w:val="-7"/>
                        <w:sz w:val="47"/>
                      </w:rPr>
                      <w:t xml:space="preserve">) </w:t>
                    </w:r>
                    <w:r>
                      <w:rPr>
                        <w:spacing w:val="-21"/>
                        <w:sz w:val="47"/>
                      </w:rPr>
                      <w:t xml:space="preserve">，其质量比在 </w:t>
                    </w:r>
                    <w:r>
                      <w:rPr>
                        <w:rFonts w:ascii="Arial" w:eastAsia="Arial"/>
                        <w:sz w:val="47"/>
                      </w:rPr>
                      <w:t>10%-</w:t>
                    </w:r>
                  </w:p>
                </w:txbxContent>
              </v:textbox>
            </v:shape>
            <v:shape id="_x0000_s1076" type="#_x0000_t202" style="width:11744;height:518;left:3370;position:absolute;top:-7982" filled="f" stroked="f">
              <v:textbox inset="0,0,0,0">
                <w:txbxContent>
                  <w:p>
                    <w:pPr>
                      <w:spacing w:before="0" w:line="518" w:lineRule="exact"/>
                      <w:ind w:left="0" w:right="0" w:firstLine="0"/>
                      <w:jc w:val="left"/>
                      <w:rPr>
                        <w:sz w:val="47"/>
                      </w:rPr>
                    </w:pPr>
                    <w:r>
                      <w:rPr>
                        <w:rFonts w:ascii="Arial" w:eastAsia="Arial"/>
                        <w:w w:val="95"/>
                        <w:sz w:val="47"/>
                      </w:rPr>
                      <w:t>50%</w:t>
                    </w:r>
                    <w:r>
                      <w:rPr>
                        <w:rFonts w:ascii="Arial" w:eastAsia="Arial"/>
                        <w:spacing w:val="83"/>
                        <w:w w:val="95"/>
                        <w:sz w:val="47"/>
                      </w:rPr>
                      <w:t xml:space="preserve"> </w:t>
                    </w:r>
                    <w:r>
                      <w:rPr>
                        <w:w w:val="95"/>
                        <w:sz w:val="47"/>
                      </w:rPr>
                      <w:t>不等。根据同行业企业类比调查，在喷漆过程中，二</w:t>
                    </w:r>
                  </w:p>
                </w:txbxContent>
              </v:textbox>
            </v:shape>
            <v:shape id="_x0000_s1077" type="#_x0000_t202" style="width:16432;height:543;left:3370;position:absolute;top:-4145" filled="f" stroked="f">
              <v:textbox inset="0,0,0,0">
                <w:txbxContent>
                  <w:p>
                    <w:pPr>
                      <w:tabs>
                        <w:tab w:val="left" w:pos="8548"/>
                      </w:tabs>
                      <w:spacing w:before="0" w:line="543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sz w:val="49"/>
                      </w:rPr>
                      <w:t>甲苯的污染物浓度约为</w:t>
                    </w:r>
                    <w:r>
                      <w:rPr>
                        <w:spacing w:val="-182"/>
                        <w:sz w:val="49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49"/>
                      </w:rPr>
                      <w:t>50---300mg/m3</w:t>
                      <w:tab/>
                    </w:r>
                    <w:r>
                      <w:rPr>
                        <w:sz w:val="49"/>
                      </w:rPr>
                      <w:t>。喷漆废气中的有机气体来自溶剂和</w:t>
                    </w:r>
                  </w:p>
                </w:txbxContent>
              </v:textbox>
            </v:shape>
            <v:shape id="_x0000_s1078" type="#_x0000_t202" style="width:16241;height:492;left:3370;position:absolute;top:-3037" filled="f" stroked="f">
              <v:textbox inset="0,0,0,0">
                <w:txbxContent>
                  <w:p>
                    <w:pPr>
                      <w:spacing w:before="0" w:line="491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sz w:val="49"/>
                      </w:rPr>
                      <w:t>稀释剂的挥发， 有机溶剂不会随油漆附着在喷漆物表面， 在喷漆和固化过</w:t>
                    </w:r>
                  </w:p>
                </w:txbxContent>
              </v:textbox>
            </v:shape>
            <v:shape id="_x0000_s1079" type="#_x0000_t202" style="width:16484;height:492;left:3370;position:absolute;top:-1939" filled="f" stroked="f">
              <v:textbox inset="0,0,0,0">
                <w:txbxContent>
                  <w:p>
                    <w:pPr>
                      <w:spacing w:before="0" w:line="491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sz w:val="49"/>
                      </w:rPr>
                      <w:t>程将全部释放形成有机废 气。在喷漆过程挥发的二甲苯废气量约占稀释剂用</w:t>
                    </w:r>
                  </w:p>
                </w:txbxContent>
              </v:textbox>
            </v:shape>
            <v:shape id="_x0000_s1080" type="#_x0000_t202" style="width:16128;height:543;left:3370;position:absolute;top:-854" filled="f" stroked="f">
              <v:textbox inset="0,0,0,0">
                <w:txbxContent>
                  <w:p>
                    <w:pPr>
                      <w:spacing w:before="0" w:line="543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spacing w:val="-48"/>
                        <w:sz w:val="49"/>
                      </w:rPr>
                      <w:t xml:space="preserve">量的 </w:t>
                    </w:r>
                    <w:r>
                      <w:rPr>
                        <w:rFonts w:ascii="Arial" w:eastAsia="Arial"/>
                        <w:sz w:val="49"/>
                      </w:rPr>
                      <w:t>30</w:t>
                    </w:r>
                    <w:r>
                      <w:rPr>
                        <w:rFonts w:ascii="Arial" w:eastAsia="Arial"/>
                        <w:spacing w:val="-80"/>
                        <w:sz w:val="49"/>
                      </w:rPr>
                      <w:t xml:space="preserve"> </w:t>
                    </w:r>
                    <w:r>
                      <w:rPr>
                        <w:spacing w:val="-29"/>
                        <w:sz w:val="49"/>
                      </w:rPr>
                      <w:t xml:space="preserve">％，另有 </w:t>
                    </w:r>
                    <w:r>
                      <w:rPr>
                        <w:rFonts w:ascii="Arial" w:eastAsia="Arial"/>
                        <w:sz w:val="49"/>
                      </w:rPr>
                      <w:t>70</w:t>
                    </w:r>
                    <w:r>
                      <w:rPr>
                        <w:rFonts w:ascii="Arial" w:eastAsia="Arial"/>
                        <w:spacing w:val="-80"/>
                        <w:sz w:val="49"/>
                      </w:rPr>
                      <w:t xml:space="preserve"> </w:t>
                    </w:r>
                    <w:r>
                      <w:rPr>
                        <w:sz w:val="49"/>
                      </w:rPr>
                      <w:t>％在烘干过程挥发。喷漆涂装作业中涂料和溶剂雾化后</w:t>
                    </w:r>
                  </w:p>
                </w:txbxContent>
              </v:textbox>
            </v:shape>
          </v:group>
        </w:pict>
      </w:r>
      <w:r>
        <w:t>形成的二相悬浮物逸散到周围的 空气中，污染了空气，对周边居民的呼吸健康造成了极大的危害。 对挥发掉的喷漆废气进行拦截处理， 是提高喷漆质量、改善喷漆环境，最终达到环保排放要求的主要方法。</w:t>
      </w:r>
    </w:p>
    <w:p>
      <w:pPr>
        <w:spacing w:after="0" w:line="420" w:lineRule="auto"/>
        <w:sectPr>
          <w:headerReference w:type="default" r:id="rId10"/>
          <w:pgSz w:w="22380" w:h="31660"/>
          <w:pgMar w:top="140" w:right="0" w:bottom="280" w:left="0" w:header="0" w:footer="0"/>
          <w:pgNumType w:start="4"/>
          <w:cols w:space="708"/>
        </w:sectPr>
      </w:pPr>
    </w:p>
    <w:p>
      <w:pPr>
        <w:pStyle w:val="BodyText"/>
        <w:spacing w:line="37" w:lineRule="exact"/>
        <w:ind w:left="1637"/>
        <w:rPr>
          <w:sz w:val="3"/>
        </w:rPr>
      </w:pPr>
      <w:r>
        <w:rPr>
          <w:position w:val="0"/>
          <w:sz w:val="3"/>
        </w:rPr>
        <w:drawing>
          <wp:inline distT="0" distB="0" distL="0" distR="0">
            <wp:extent cx="12071062" cy="24003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1062" cy="24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Heading1"/>
        <w:spacing w:before="32"/>
      </w:pPr>
      <w:r>
        <w:t>二、标准喷漆房概况</w:t>
      </w:r>
    </w:p>
    <w:p>
      <w:pPr>
        <w:pStyle w:val="BodyText"/>
        <w:rPr>
          <w:sz w:val="50"/>
        </w:rPr>
      </w:pPr>
    </w:p>
    <w:p>
      <w:pPr>
        <w:pStyle w:val="BodyText"/>
        <w:spacing w:before="5"/>
        <w:rPr>
          <w:sz w:val="38"/>
        </w:rPr>
      </w:pPr>
    </w:p>
    <w:p>
      <w:pPr>
        <w:pStyle w:val="BodyText"/>
        <w:tabs>
          <w:tab w:val="left" w:pos="10202"/>
        </w:tabs>
        <w:ind w:left="3370"/>
        <w:rPr>
          <w:rFonts w:ascii="Arial" w:eastAsia="Arial" w:hAnsi="Arial"/>
        </w:rPr>
      </w:pPr>
      <w:r>
        <w:t>喷漆房外尺寸（长×宽×高）</w:t>
        <w:tab/>
      </w:r>
      <w:r>
        <w:rPr>
          <w:rFonts w:ascii="Arial" w:eastAsia="Arial" w:hAnsi="Arial"/>
          <w:spacing w:val="7"/>
        </w:rPr>
        <w:t>mm</w:t>
      </w:r>
      <w:r>
        <w:rPr>
          <w:spacing w:val="7"/>
        </w:rPr>
        <w:t>：</w:t>
      </w:r>
      <w:r>
        <w:rPr>
          <w:rFonts w:ascii="Arial" w:eastAsia="Arial" w:hAnsi="Arial"/>
          <w:spacing w:val="7"/>
        </w:rPr>
        <w:t xml:space="preserve">7000 </w:t>
      </w:r>
      <w:r>
        <w:t>×</w:t>
      </w:r>
      <w:r>
        <w:rPr>
          <w:rFonts w:ascii="Arial" w:eastAsia="Arial" w:hAnsi="Arial"/>
        </w:rPr>
        <w:t>4000</w:t>
      </w:r>
      <w:r>
        <w:rPr>
          <w:rFonts w:ascii="Arial" w:eastAsia="Arial" w:hAnsi="Arial"/>
          <w:spacing w:val="-76"/>
        </w:rPr>
        <w:t xml:space="preserve"> </w:t>
      </w:r>
      <w:r>
        <w:t>×</w:t>
      </w:r>
      <w:r>
        <w:rPr>
          <w:rFonts w:ascii="Arial" w:eastAsia="Arial" w:hAnsi="Arial"/>
        </w:rPr>
        <w:t>3300</w:t>
      </w:r>
    </w:p>
    <w:p>
      <w:pPr>
        <w:pStyle w:val="BodyText"/>
        <w:rPr>
          <w:rFonts w:ascii="Arial"/>
          <w:sz w:val="54"/>
        </w:rPr>
      </w:pPr>
    </w:p>
    <w:p>
      <w:pPr>
        <w:pStyle w:val="BodyText"/>
        <w:spacing w:before="4"/>
        <w:rPr>
          <w:rFonts w:ascii="Arial"/>
          <w:sz w:val="71"/>
        </w:rPr>
      </w:pPr>
    </w:p>
    <w:p>
      <w:pPr>
        <w:pStyle w:val="BodyText"/>
        <w:spacing w:line="372" w:lineRule="auto"/>
        <w:ind w:left="3370" w:right="2576" w:firstLine="1030"/>
        <w:jc w:val="both"/>
      </w:pPr>
      <w:r>
        <w:t>喷漆时，外部空气经过初级过滤网过滤后由风机送到房顶， 再经过顶部过滤网二次过滤净化后进入房内。 房内空气采用全降式， 以的速度向下流动，使喷漆后的漆雾微粒不能在空气中停留， 而直接通过底部出风口被</w:t>
      </w:r>
    </w:p>
    <w:p>
      <w:pPr>
        <w:pStyle w:val="BodyText"/>
        <w:rPr>
          <w:sz w:val="48"/>
        </w:rPr>
      </w:pPr>
    </w:p>
    <w:p>
      <w:pPr>
        <w:pStyle w:val="BodyText"/>
        <w:spacing w:before="11"/>
        <w:rPr>
          <w:sz w:val="56"/>
        </w:rPr>
      </w:pPr>
    </w:p>
    <w:p>
      <w:pPr>
        <w:pStyle w:val="BodyText"/>
        <w:tabs>
          <w:tab w:val="left" w:pos="17715"/>
        </w:tabs>
        <w:spacing w:line="1460" w:lineRule="atLeast"/>
        <w:ind w:left="3370" w:right="2210"/>
      </w:pPr>
      <w:r>
        <w:t>排出房外。这样不断地循环转换，使喷漆时房内空气清洁度达</w:t>
        <w:tab/>
      </w:r>
      <w:r>
        <w:rPr>
          <w:rFonts w:ascii="Arial" w:eastAsia="Arial"/>
          <w:w w:val="95"/>
        </w:rPr>
        <w:t>98%</w:t>
      </w:r>
      <w:r>
        <w:rPr>
          <w:rFonts w:ascii="Arial" w:eastAsia="Arial"/>
          <w:spacing w:val="-29"/>
          <w:w w:val="95"/>
        </w:rPr>
        <w:t xml:space="preserve"> </w:t>
      </w:r>
      <w:r>
        <w:rPr>
          <w:w w:val="95"/>
        </w:rPr>
        <w:t>以上</w:t>
      </w:r>
      <w:r>
        <w:rPr>
          <w:spacing w:val="-17"/>
          <w:w w:val="95"/>
        </w:rPr>
        <w:t xml:space="preserve">， </w:t>
      </w:r>
      <w:r>
        <w:t>且送入的空气具有一定的压力，</w:t>
      </w:r>
      <w:r>
        <w:rPr>
          <w:spacing w:val="9"/>
        </w:rPr>
        <w:t xml:space="preserve"> </w:t>
      </w:r>
      <w:r>
        <w:t>可在车的四周形成一恒定的气流以去除</w:t>
      </w:r>
    </w:p>
    <w:p>
      <w:pPr>
        <w:pStyle w:val="BodyText"/>
        <w:spacing w:before="259"/>
        <w:ind w:left="3370"/>
      </w:pPr>
      <w:r>
        <w:t>过量的油漆，从而最大限度地保证喷漆的质量。</w:t>
      </w:r>
    </w:p>
    <w:p>
      <w:pPr>
        <w:spacing w:after="0"/>
        <w:sectPr>
          <w:headerReference w:type="default" r:id="rId11"/>
          <w:pgSz w:w="22380" w:h="31660"/>
          <w:pgMar w:top="40" w:right="0" w:bottom="280" w:left="0" w:header="0" w:footer="0"/>
          <w:pgNumType w:start="5"/>
          <w:cols w:space="708"/>
        </w:sectPr>
      </w:pPr>
    </w:p>
    <w:p>
      <w:pPr>
        <w:pStyle w:val="BodyText"/>
        <w:spacing w:line="116" w:lineRule="exact"/>
        <w:ind w:left="1560"/>
        <w:rPr>
          <w:sz w:val="11"/>
        </w:rPr>
      </w:pPr>
      <w:r>
        <w:rPr>
          <w:position w:val="-1"/>
          <w:sz w:val="11"/>
        </w:rPr>
        <w:drawing>
          <wp:inline distT="0" distB="0" distL="0" distR="0">
            <wp:extent cx="12266182" cy="73913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66182" cy="73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tabs>
          <w:tab w:val="left" w:pos="7301"/>
          <w:tab w:val="left" w:pos="13738"/>
        </w:tabs>
        <w:spacing w:before="33" w:line="451" w:lineRule="auto"/>
        <w:ind w:left="3370" w:right="2485" w:firstLine="1592"/>
      </w:pPr>
      <w:r>
        <w:t>烤漆时，将风门调至烤漆位置，</w:t>
      </w:r>
      <w:r>
        <w:rPr>
          <w:spacing w:val="17"/>
        </w:rPr>
        <w:t xml:space="preserve"> </w:t>
      </w:r>
      <w:r>
        <w:t>热风循环，烤房内温度迅速升高到预定干燥温度</w:t>
      </w:r>
      <w:r>
        <w:rPr>
          <w:spacing w:val="-139"/>
        </w:rPr>
        <w:t xml:space="preserve"> </w:t>
      </w:r>
      <w:r>
        <w:rPr>
          <w:rFonts w:ascii="Arial" w:eastAsia="Arial" w:hAnsi="Arial"/>
        </w:rPr>
        <w:t>(55</w:t>
        <w:tab/>
      </w:r>
      <w:r>
        <w:t>℃—</w:t>
      </w:r>
      <w:r>
        <w:rPr>
          <w:spacing w:val="-127"/>
        </w:rPr>
        <w:t xml:space="preserve"> </w:t>
      </w:r>
      <w:r>
        <w:rPr>
          <w:rFonts w:ascii="Arial" w:eastAsia="Arial" w:hAnsi="Arial"/>
        </w:rPr>
        <w:t>60</w:t>
      </w:r>
      <w:r>
        <w:rPr>
          <w:rFonts w:ascii="Arial" w:eastAsia="Arial" w:hAnsi="Arial"/>
          <w:spacing w:val="-72"/>
        </w:rPr>
        <w:t xml:space="preserve"> </w:t>
      </w:r>
      <w:r>
        <w:t>℃</w:t>
      </w:r>
      <w:r>
        <w:rPr>
          <w:rFonts w:ascii="Arial" w:eastAsia="Arial" w:hAnsi="Arial"/>
        </w:rPr>
        <w:t>)</w:t>
      </w:r>
      <w:r>
        <w:rPr>
          <w:rFonts w:ascii="Arial" w:eastAsia="Arial" w:hAnsi="Arial"/>
          <w:spacing w:val="-4"/>
        </w:rPr>
        <w:t xml:space="preserve"> </w:t>
      </w:r>
      <w:r>
        <w:t>。风机将外部新鲜空气进行初过滤后，</w:t>
      </w:r>
      <w:r>
        <w:rPr>
          <w:spacing w:val="5"/>
        </w:rPr>
        <w:t xml:space="preserve"> </w:t>
      </w:r>
      <w:r>
        <w:t>与热能转换器发生热交换后送至烤漆房顶部的气室，</w:t>
        <w:tab/>
        <w:t>再经过第二次过滤净化，</w:t>
      </w:r>
      <w:r>
        <w:rPr>
          <w:spacing w:val="18"/>
        </w:rPr>
        <w:t xml:space="preserve"> </w:t>
      </w:r>
      <w:r>
        <w:rPr>
          <w:spacing w:val="-17"/>
        </w:rPr>
        <w:t>热</w:t>
      </w:r>
      <w:r>
        <w:t>风经过风门的内循环作用，</w:t>
      </w:r>
      <w:r>
        <w:rPr>
          <w:spacing w:val="15"/>
        </w:rPr>
        <w:t xml:space="preserve"> </w:t>
      </w:r>
      <w:r>
        <w:t>除吸进少量新鲜空气外，</w:t>
      </w:r>
      <w:r>
        <w:rPr>
          <w:spacing w:val="17"/>
        </w:rPr>
        <w:t xml:space="preserve"> </w:t>
      </w:r>
      <w:r>
        <w:t>绝大部分热空气又被继续加热利用，使得烤漆房内温度逐步升高。当温度达到设定的温度时，</w:t>
      </w:r>
    </w:p>
    <w:p>
      <w:pPr>
        <w:pStyle w:val="BodyText"/>
        <w:spacing w:line="604" w:lineRule="exact"/>
        <w:ind w:left="3370"/>
      </w:pPr>
      <w:r>
        <w:t>燃烧器自动停止；当温度下降到设置温度时，风机和燃烧器又自动开启，</w:t>
      </w:r>
    </w:p>
    <w:p>
      <w:pPr>
        <w:pStyle w:val="BodyText"/>
        <w:spacing w:before="4"/>
        <w:rPr>
          <w:sz w:val="44"/>
        </w:rPr>
      </w:pPr>
    </w:p>
    <w:p>
      <w:pPr>
        <w:pStyle w:val="BodyText"/>
        <w:tabs>
          <w:tab w:val="left" w:pos="18886"/>
        </w:tabs>
        <w:spacing w:before="1" w:line="448" w:lineRule="auto"/>
        <w:ind w:left="3370" w:right="2499"/>
      </w:pPr>
      <w:r>
        <w:t>使烤漆房内温度保持相对恒定。</w:t>
      </w:r>
      <w:r>
        <w:rPr>
          <w:spacing w:val="21"/>
        </w:rPr>
        <w:t xml:space="preserve"> </w:t>
      </w:r>
      <w:r>
        <w:t>最后当烤漆时间达到设定的时间时，</w:t>
        <w:tab/>
        <w:t>烤</w:t>
      </w:r>
      <w:r>
        <w:rPr>
          <w:spacing w:val="-17"/>
        </w:rPr>
        <w:t>漆</w:t>
      </w:r>
      <w:r>
        <w:t>房自动关机，烤漆结束。</w:t>
      </w:r>
    </w:p>
    <w:p>
      <w:pPr>
        <w:pStyle w:val="BodyText"/>
        <w:spacing w:before="6"/>
        <w:rPr>
          <w:sz w:val="38"/>
        </w:rPr>
      </w:pPr>
    </w:p>
    <w:p>
      <w:pPr>
        <w:pStyle w:val="Heading1"/>
      </w:pPr>
      <w:r>
        <w:t>三、污染物及其危害性</w:t>
      </w: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spacing w:before="2"/>
        <w:rPr>
          <w:sz w:val="63"/>
        </w:rPr>
      </w:pPr>
    </w:p>
    <w:p>
      <w:pPr>
        <w:pStyle w:val="BodyText"/>
        <w:spacing w:line="408" w:lineRule="auto"/>
        <w:ind w:left="3370" w:right="2291" w:firstLine="1030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-143037</wp:posOffset>
            </wp:positionV>
            <wp:extent cx="14205708" cy="8608655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8608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喷涂过程中会产生喷漆漆雾，喷漆颗粒随呼吸道进入肺里</w:t>
      </w:r>
      <w:r>
        <w:rPr>
          <w:rFonts w:ascii="Arial" w:eastAsia="Arial"/>
          <w:spacing w:val="16"/>
        </w:rPr>
        <w:t xml:space="preserve">, </w:t>
      </w:r>
      <w:r>
        <w:rPr>
          <w:spacing w:val="13"/>
        </w:rPr>
        <w:t>危害身体健康</w:t>
      </w:r>
      <w:r>
        <w:rPr>
          <w:rFonts w:ascii="Arial" w:eastAsia="Arial"/>
        </w:rPr>
        <w:t xml:space="preserve">, </w:t>
      </w:r>
      <w:r>
        <w:rPr>
          <w:spacing w:val="-1"/>
        </w:rPr>
        <w:t>轻者使人感到不适、出现头痛、头昏、恶心、呕吐、食欲不振和精神不集中等</w:t>
      </w:r>
      <w:r>
        <w:rPr>
          <w:spacing w:val="-7"/>
        </w:rPr>
        <w:t>症状， 重则对人的呼吸系统、 循环系统、消化系统和生殖系统造成不同程度</w:t>
      </w:r>
      <w:r>
        <w:rPr>
          <w:spacing w:val="-16"/>
        </w:rPr>
        <w:t>的毒害。 油漆中含有苯、 甲苯、二甲苯等各种有机溶剂， 对人体造血机能的危害极大，是诱发再生障碍性贫血和白血病（俗称血癌）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5"/>
        <w:rPr>
          <w:sz w:val="60"/>
        </w:rPr>
      </w:pPr>
    </w:p>
    <w:p>
      <w:pPr>
        <w:pStyle w:val="BodyText"/>
        <w:tabs>
          <w:tab w:val="left" w:pos="17832"/>
        </w:tabs>
        <w:spacing w:before="1"/>
        <w:ind w:left="3370"/>
      </w:pPr>
      <w:r>
        <w:t>的主要原因，还会影响女性生殖能力，导致胎儿先天性缺陷。</w:t>
        <w:tab/>
        <w:t>其中芳香</w:t>
      </w:r>
    </w:p>
    <w:p>
      <w:pPr>
        <w:pStyle w:val="BodyText"/>
        <w:spacing w:before="10"/>
        <w:rPr>
          <w:sz w:val="71"/>
        </w:rPr>
      </w:pPr>
    </w:p>
    <w:p>
      <w:pPr>
        <w:pStyle w:val="BodyText"/>
        <w:spacing w:line="405" w:lineRule="auto"/>
        <w:ind w:left="3370" w:right="2576"/>
        <w:jc w:val="both"/>
      </w:pPr>
      <w:r>
        <w:rPr>
          <w:spacing w:val="2"/>
        </w:rPr>
        <w:t>族化合物如苯、甲苯、苯乙烯等还能使人体产生畸变、癌变。 在喷漆过程</w:t>
      </w:r>
      <w:r>
        <w:t>中，雾状漆颗粒和漆的有机溶剂将从喷漆厂挥发出来， 并以机械排风方式</w:t>
      </w:r>
      <w:r>
        <w:rPr>
          <w:spacing w:val="-1"/>
        </w:rPr>
        <w:t>排放到喷漆房外， 对周围生态环境会造成严重污染和危害。 喷漆车间持续</w:t>
      </w:r>
    </w:p>
    <w:p>
      <w:pPr>
        <w:spacing w:after="0" w:line="405" w:lineRule="auto"/>
        <w:jc w:val="both"/>
        <w:sectPr>
          <w:headerReference w:type="default" r:id="rId14"/>
          <w:pgSz w:w="22380" w:h="31660"/>
          <w:pgMar w:top="40" w:right="0" w:bottom="280" w:left="0" w:header="0" w:footer="0"/>
          <w:pgNumType w:start="6"/>
          <w:cols w:space="708"/>
        </w:sectPr>
      </w:pPr>
    </w:p>
    <w:p>
      <w:pPr>
        <w:pStyle w:val="BodyText"/>
        <w:spacing w:line="37" w:lineRule="exact"/>
        <w:ind w:left="1637"/>
        <w:rPr>
          <w:sz w:val="3"/>
        </w:rPr>
      </w:pPr>
      <w:r>
        <w:rPr>
          <w:position w:val="0"/>
          <w:sz w:val="3"/>
        </w:rPr>
        <w:drawing>
          <wp:inline distT="0" distB="0" distL="0" distR="0">
            <wp:extent cx="12071062" cy="24003"/>
            <wp:effectExtent l="0" t="0" r="0" b="0"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1062" cy="24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32" w:line="405" w:lineRule="auto"/>
        <w:ind w:left="3370" w:right="2567"/>
      </w:pPr>
      <w:r>
        <w:t>释放苯、甲醛等致癌物质， 会对附近居民小区造成严重污染， 对人体伤害非常大，危及生命。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9"/>
        <w:rPr>
          <w:sz w:val="56"/>
        </w:rPr>
      </w:pPr>
    </w:p>
    <w:p>
      <w:pPr>
        <w:pStyle w:val="BodyText"/>
        <w:ind w:left="4400"/>
      </w:pPr>
      <w:r>
        <w:t>同时喷漆废气中含有大量的颗粒，具有极强的粘性，悬浮于大气中，</w:t>
      </w:r>
    </w:p>
    <w:p>
      <w:pPr>
        <w:spacing w:after="0"/>
        <w:sectPr>
          <w:headerReference w:type="default" r:id="rId15"/>
          <w:pgSz w:w="22380" w:h="31660"/>
          <w:pgMar w:top="40" w:right="0" w:bottom="280" w:left="0" w:header="0" w:footer="0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Heading1"/>
        <w:spacing w:before="32"/>
      </w:pPr>
      <w:r>
        <w:pict>
          <v:group id="_x0000_s1081" style="width:1118.6pt;height:40.4pt;margin-top:-53.84pt;margin-left:0;mso-position-horizontal-relative:page;position:absolute;z-index:251662336" coordorigin="0,-1077" coordsize="22372,808">
            <v:shape id="_x0000_s1082" type="#_x0000_t75" style="width:22372;height:687;position:absolute;top:-957" stroked="f">
              <v:imagedata r:id="rId16" o:title=""/>
            </v:shape>
            <v:shape id="_x0000_s1083" type="#_x0000_t202" style="width:22372;height:808;position:absolute;top:-1077" filled="f" stroked="f">
              <v:textbox inset="0,0,0,0">
                <w:txbxContent>
                  <w:p>
                    <w:pPr>
                      <w:spacing w:before="0" w:line="560" w:lineRule="exact"/>
                      <w:ind w:left="337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sz w:val="49"/>
                      </w:rPr>
                      <w:t>是的重要来源。</w:t>
                    </w:r>
                  </w:p>
                </w:txbxContent>
              </v:textbox>
            </v:shape>
          </v:group>
        </w:pict>
      </w:r>
      <w:r>
        <w:t>四、设计依据及原则</w:t>
      </w: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spacing w:before="384"/>
        <w:ind w:left="3370"/>
      </w:pPr>
      <w:r>
        <w:rPr>
          <w:rFonts w:ascii="Times New Roman" w:eastAsia="Times New Roman"/>
        </w:rPr>
        <w:t>1</w:t>
      </w:r>
      <w:r>
        <w:t>、设计依据</w:t>
      </w:r>
    </w:p>
    <w:p>
      <w:pPr>
        <w:pStyle w:val="BodyText"/>
        <w:spacing w:before="5"/>
        <w:rPr>
          <w:sz w:val="44"/>
        </w:rPr>
      </w:pPr>
    </w:p>
    <w:p>
      <w:pPr>
        <w:pStyle w:val="ListParagraph"/>
        <w:numPr>
          <w:ilvl w:val="0"/>
          <w:numId w:val="8"/>
        </w:numPr>
        <w:tabs>
          <w:tab w:val="left" w:pos="4674"/>
        </w:tabs>
        <w:spacing w:before="0" w:after="0" w:line="240" w:lineRule="auto"/>
        <w:ind w:left="4673" w:right="0" w:hanging="1304"/>
        <w:jc w:val="left"/>
        <w:rPr>
          <w:sz w:val="49"/>
        </w:rPr>
      </w:pPr>
      <w:r>
        <w:rPr>
          <w:sz w:val="49"/>
        </w:rPr>
        <w:t>）《中华人民共和国环境保护法》</w:t>
      </w:r>
    </w:p>
    <w:p>
      <w:pPr>
        <w:pStyle w:val="BodyText"/>
        <w:spacing w:before="9"/>
        <w:rPr>
          <w:sz w:val="40"/>
        </w:rPr>
      </w:pPr>
    </w:p>
    <w:p>
      <w:pPr>
        <w:pStyle w:val="ListParagraph"/>
        <w:numPr>
          <w:ilvl w:val="0"/>
          <w:numId w:val="8"/>
        </w:numPr>
        <w:tabs>
          <w:tab w:val="left" w:pos="4674"/>
          <w:tab w:val="left" w:pos="9956"/>
        </w:tabs>
        <w:spacing w:before="0" w:after="0" w:line="240" w:lineRule="auto"/>
        <w:ind w:left="4673" w:right="0" w:hanging="1304"/>
        <w:jc w:val="left"/>
        <w:rPr>
          <w:rFonts w:ascii="Times New Roman" w:eastAsia="Times New Roman"/>
          <w:sz w:val="49"/>
        </w:rPr>
      </w:pPr>
      <w:r>
        <w:rPr>
          <w:sz w:val="49"/>
        </w:rPr>
        <w:t>）《环境空气质量标准》</w:t>
        <w:tab/>
      </w:r>
      <w:r>
        <w:rPr>
          <w:rFonts w:ascii="Times New Roman" w:eastAsia="Times New Roman"/>
          <w:sz w:val="49"/>
        </w:rPr>
        <w:t>GB3095-1996</w:t>
      </w:r>
    </w:p>
    <w:p>
      <w:pPr>
        <w:pStyle w:val="BodyText"/>
        <w:spacing w:before="2"/>
        <w:rPr>
          <w:rFonts w:ascii="Times New Roman"/>
        </w:rPr>
      </w:pPr>
    </w:p>
    <w:p>
      <w:pPr>
        <w:pStyle w:val="ListParagraph"/>
        <w:numPr>
          <w:ilvl w:val="0"/>
          <w:numId w:val="8"/>
        </w:numPr>
        <w:tabs>
          <w:tab w:val="left" w:pos="4674"/>
          <w:tab w:val="left" w:pos="11430"/>
        </w:tabs>
        <w:spacing w:before="0" w:after="0" w:line="240" w:lineRule="auto"/>
        <w:ind w:left="4673" w:right="0" w:hanging="1304"/>
        <w:jc w:val="left"/>
        <w:rPr>
          <w:rFonts w:ascii="Times New Roman" w:eastAsia="Times New Roman"/>
          <w:sz w:val="49"/>
        </w:rPr>
      </w:pPr>
      <w:r>
        <w:rPr>
          <w:sz w:val="49"/>
        </w:rPr>
        <w:t>）《大气污染物综合排放标准》</w:t>
        <w:tab/>
      </w:r>
      <w:r>
        <w:rPr>
          <w:rFonts w:ascii="Times New Roman" w:eastAsia="Times New Roman"/>
          <w:sz w:val="49"/>
        </w:rPr>
        <w:t>GB19297-1996</w:t>
      </w:r>
    </w:p>
    <w:p>
      <w:pPr>
        <w:pStyle w:val="BodyText"/>
        <w:spacing w:before="11"/>
        <w:rPr>
          <w:rFonts w:ascii="Times New Roman"/>
          <w:sz w:val="46"/>
        </w:rPr>
      </w:pPr>
    </w:p>
    <w:p>
      <w:pPr>
        <w:pStyle w:val="ListParagraph"/>
        <w:numPr>
          <w:ilvl w:val="0"/>
          <w:numId w:val="8"/>
        </w:numPr>
        <w:tabs>
          <w:tab w:val="left" w:pos="4674"/>
        </w:tabs>
        <w:spacing w:before="0" w:after="0" w:line="240" w:lineRule="auto"/>
        <w:ind w:left="4673" w:right="0" w:hanging="1304"/>
        <w:jc w:val="left"/>
        <w:rPr>
          <w:rFonts w:ascii="Times New Roman" w:eastAsia="Times New Roman"/>
          <w:sz w:val="48"/>
        </w:rPr>
      </w:pPr>
      <w:r>
        <w:rPr>
          <w:position w:val="1"/>
          <w:sz w:val="49"/>
        </w:rPr>
        <w:t>）《恶臭污染物排放标准》</w:t>
      </w:r>
      <w:r>
        <w:rPr>
          <w:rFonts w:ascii="Times New Roman" w:eastAsia="Times New Roman"/>
          <w:sz w:val="48"/>
        </w:rPr>
        <w:t>GB14554-93</w:t>
      </w:r>
    </w:p>
    <w:p>
      <w:pPr>
        <w:pStyle w:val="BodyText"/>
        <w:spacing w:before="2"/>
        <w:rPr>
          <w:rFonts w:ascii="Times New Roman"/>
        </w:rPr>
      </w:pPr>
    </w:p>
    <w:p>
      <w:pPr>
        <w:pStyle w:val="ListParagraph"/>
        <w:numPr>
          <w:ilvl w:val="0"/>
          <w:numId w:val="8"/>
        </w:numPr>
        <w:tabs>
          <w:tab w:val="left" w:pos="4674"/>
        </w:tabs>
        <w:spacing w:before="0" w:after="0" w:line="240" w:lineRule="auto"/>
        <w:ind w:left="4673" w:right="0" w:hanging="1304"/>
        <w:jc w:val="left"/>
        <w:rPr>
          <w:rFonts w:ascii="Times New Roman" w:eastAsia="Times New Roman"/>
          <w:sz w:val="48"/>
        </w:rPr>
      </w:pPr>
      <w:r>
        <w:rPr>
          <w:position w:val="1"/>
          <w:sz w:val="49"/>
        </w:rPr>
        <w:t>）《工业企业厂界噪声标准及其测量方法》</w:t>
      </w:r>
      <w:r>
        <w:rPr>
          <w:rFonts w:ascii="Times New Roman" w:eastAsia="Times New Roman"/>
          <w:sz w:val="48"/>
        </w:rPr>
        <w:t>GB0</w:t>
      </w:r>
    </w:p>
    <w:p>
      <w:pPr>
        <w:pStyle w:val="BodyText"/>
        <w:spacing w:before="3"/>
        <w:rPr>
          <w:rFonts w:ascii="Times New Roman"/>
          <w:sz w:val="47"/>
        </w:rPr>
      </w:pPr>
    </w:p>
    <w:p>
      <w:pPr>
        <w:pStyle w:val="ListParagraph"/>
        <w:numPr>
          <w:ilvl w:val="0"/>
          <w:numId w:val="8"/>
        </w:numPr>
        <w:tabs>
          <w:tab w:val="left" w:pos="4674"/>
          <w:tab w:val="left" w:pos="12413"/>
        </w:tabs>
        <w:spacing w:before="0" w:after="0" w:line="240" w:lineRule="auto"/>
        <w:ind w:left="4673" w:right="0" w:hanging="1304"/>
        <w:jc w:val="left"/>
        <w:rPr>
          <w:sz w:val="49"/>
        </w:rPr>
      </w:pPr>
      <w:r>
        <w:rPr>
          <w:sz w:val="49"/>
        </w:rPr>
        <w:t>）《工业场所有害因素职业接触限值</w:t>
        <w:tab/>
      </w:r>
      <w:r>
        <w:rPr>
          <w:rFonts w:ascii="Times New Roman" w:eastAsia="Times New Roman"/>
          <w:sz w:val="49"/>
        </w:rPr>
        <w:t>-</w:t>
      </w:r>
      <w:r>
        <w:rPr>
          <w:rFonts w:ascii="Times New Roman" w:eastAsia="Times New Roman"/>
          <w:spacing w:val="58"/>
          <w:sz w:val="49"/>
        </w:rPr>
        <w:t xml:space="preserve"> </w:t>
      </w:r>
      <w:r>
        <w:rPr>
          <w:sz w:val="49"/>
        </w:rPr>
        <w:t>化学有害因素》</w:t>
      </w:r>
    </w:p>
    <w:p>
      <w:pPr>
        <w:pStyle w:val="BodyText"/>
        <w:spacing w:before="6"/>
        <w:rPr>
          <w:sz w:val="40"/>
        </w:rPr>
      </w:pPr>
    </w:p>
    <w:p>
      <w:pPr>
        <w:pStyle w:val="ListParagraph"/>
        <w:numPr>
          <w:ilvl w:val="0"/>
          <w:numId w:val="8"/>
        </w:numPr>
        <w:tabs>
          <w:tab w:val="left" w:pos="4674"/>
        </w:tabs>
        <w:spacing w:before="0" w:after="0" w:line="240" w:lineRule="auto"/>
        <w:ind w:left="4673" w:right="0" w:hanging="1304"/>
        <w:jc w:val="left"/>
        <w:rPr>
          <w:sz w:val="49"/>
        </w:rPr>
      </w:pPr>
      <w:r>
        <w:rPr>
          <w:sz w:val="49"/>
        </w:rPr>
        <w:t>）《工业企业设计卫生标准》</w:t>
      </w:r>
    </w:p>
    <w:p>
      <w:pPr>
        <w:pStyle w:val="BodyText"/>
        <w:spacing w:before="2"/>
        <w:rPr>
          <w:sz w:val="44"/>
        </w:rPr>
      </w:pPr>
    </w:p>
    <w:p>
      <w:pPr>
        <w:pStyle w:val="ListParagraph"/>
        <w:numPr>
          <w:ilvl w:val="0"/>
          <w:numId w:val="8"/>
        </w:numPr>
        <w:tabs>
          <w:tab w:val="left" w:pos="4674"/>
        </w:tabs>
        <w:spacing w:before="0" w:after="0" w:line="240" w:lineRule="auto"/>
        <w:ind w:left="4673" w:right="0" w:hanging="1304"/>
        <w:jc w:val="left"/>
        <w:rPr>
          <w:sz w:val="49"/>
        </w:rPr>
      </w:pPr>
      <w:r>
        <w:rPr>
          <w:sz w:val="49"/>
        </w:rPr>
        <w:t>）《工业管道工程施工及验收规范》</w:t>
      </w:r>
    </w:p>
    <w:p>
      <w:pPr>
        <w:pStyle w:val="BodyText"/>
        <w:spacing w:before="5"/>
        <w:rPr>
          <w:sz w:val="42"/>
        </w:rPr>
      </w:pPr>
    </w:p>
    <w:p>
      <w:pPr>
        <w:pStyle w:val="ListParagraph"/>
        <w:numPr>
          <w:ilvl w:val="0"/>
          <w:numId w:val="8"/>
        </w:numPr>
        <w:tabs>
          <w:tab w:val="left" w:pos="4674"/>
          <w:tab w:val="left" w:pos="12536"/>
        </w:tabs>
        <w:spacing w:before="0" w:after="0" w:line="240" w:lineRule="auto"/>
        <w:ind w:left="4673" w:right="0" w:hanging="1304"/>
        <w:jc w:val="left"/>
        <w:rPr>
          <w:rFonts w:ascii="Times New Roman" w:eastAsia="Times New Roman"/>
          <w:sz w:val="49"/>
        </w:rPr>
      </w:pPr>
      <w:r>
        <w:rPr>
          <w:sz w:val="49"/>
        </w:rPr>
        <w:t>）《低压配电装置及线路设计规范》</w:t>
        <w:tab/>
      </w:r>
      <w:r>
        <w:rPr>
          <w:rFonts w:ascii="Times New Roman" w:eastAsia="Times New Roman"/>
          <w:sz w:val="49"/>
        </w:rPr>
        <w:t>GBJ54-83</w:t>
      </w:r>
    </w:p>
    <w:p>
      <w:pPr>
        <w:pStyle w:val="BodyText"/>
        <w:spacing w:before="2"/>
        <w:rPr>
          <w:rFonts w:ascii="Times New Roman"/>
        </w:rPr>
      </w:pPr>
    </w:p>
    <w:p>
      <w:pPr>
        <w:pStyle w:val="ListParagraph"/>
        <w:numPr>
          <w:ilvl w:val="0"/>
          <w:numId w:val="8"/>
        </w:numPr>
        <w:tabs>
          <w:tab w:val="left" w:pos="4947"/>
        </w:tabs>
        <w:spacing w:before="0" w:after="0" w:line="240" w:lineRule="auto"/>
        <w:ind w:left="4946" w:right="0" w:hanging="1577"/>
        <w:jc w:val="left"/>
        <w:rPr>
          <w:rFonts w:ascii="Times New Roman" w:eastAsia="Times New Roman"/>
          <w:sz w:val="49"/>
        </w:rPr>
      </w:pPr>
      <w:r>
        <w:rPr>
          <w:sz w:val="49"/>
        </w:rPr>
        <w:t xml:space="preserve">）《工业企业照明及设计规范》 </w:t>
      </w:r>
      <w:r>
        <w:rPr>
          <w:rFonts w:ascii="Times New Roman" w:eastAsia="Times New Roman"/>
          <w:sz w:val="49"/>
        </w:rPr>
        <w:t>GBJ50034-93</w:t>
      </w:r>
    </w:p>
    <w:p>
      <w:pPr>
        <w:pStyle w:val="BodyText"/>
        <w:spacing w:before="2"/>
        <w:rPr>
          <w:rFonts w:ascii="Times New Roman"/>
          <w:sz w:val="47"/>
        </w:rPr>
      </w:pPr>
    </w:p>
    <w:p>
      <w:pPr>
        <w:pStyle w:val="ListParagraph"/>
        <w:numPr>
          <w:ilvl w:val="0"/>
          <w:numId w:val="8"/>
        </w:numPr>
        <w:tabs>
          <w:tab w:val="left" w:pos="4947"/>
          <w:tab w:val="left" w:pos="11214"/>
        </w:tabs>
        <w:spacing w:before="1" w:after="0" w:line="240" w:lineRule="auto"/>
        <w:ind w:left="4946" w:right="0" w:hanging="1577"/>
        <w:jc w:val="left"/>
        <w:rPr>
          <w:rFonts w:ascii="Times New Roman" w:eastAsia="Times New Roman"/>
          <w:sz w:val="49"/>
        </w:rPr>
      </w:pPr>
      <w:r>
        <w:rPr>
          <w:sz w:val="49"/>
        </w:rPr>
        <w:t>）《通用用电设备配电规范》</w:t>
        <w:tab/>
      </w:r>
      <w:r>
        <w:rPr>
          <w:rFonts w:ascii="Times New Roman" w:eastAsia="Times New Roman"/>
          <w:sz w:val="49"/>
        </w:rPr>
        <w:t>GBJ-50055-93</w:t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17"/>
          <w:pgSz w:w="22380" w:h="31660"/>
          <w:pgMar w:top="140" w:right="0" w:bottom="280" w:left="0" w:header="0" w:footer="0"/>
          <w:pgNumType w:start="8"/>
          <w:cols w:space="708"/>
        </w:sectPr>
      </w:pPr>
    </w:p>
    <w:p>
      <w:pPr>
        <w:pStyle w:val="ListParagraph"/>
        <w:numPr>
          <w:ilvl w:val="0"/>
          <w:numId w:val="8"/>
        </w:numPr>
        <w:tabs>
          <w:tab w:val="left" w:pos="4899"/>
        </w:tabs>
        <w:spacing w:before="263" w:after="0" w:line="456" w:lineRule="auto"/>
        <w:ind w:left="3370" w:right="756" w:firstLine="0"/>
        <w:jc w:val="left"/>
        <w:rPr>
          <w:rFonts w:ascii="Times New Roman" w:eastAsia="Times New Roman"/>
          <w:sz w:val="49"/>
        </w:rPr>
      </w:pPr>
      <w:r>
        <w:rPr>
          <w:sz w:val="49"/>
        </w:rPr>
        <w:t>）《建设项目环境保护管理条例》中华人民共和国国务院令</w:t>
      </w:r>
      <w:r>
        <w:rPr>
          <w:spacing w:val="-47"/>
          <w:sz w:val="49"/>
        </w:rPr>
        <w:t xml:space="preserve">第号 </w:t>
      </w:r>
      <w:r>
        <w:rPr>
          <w:rFonts w:ascii="Times New Roman" w:eastAsia="Times New Roman"/>
          <w:sz w:val="49"/>
        </w:rPr>
        <w:t>1998</w:t>
      </w:r>
    </w:p>
    <w:p>
      <w:pPr>
        <w:pStyle w:val="BodyText"/>
        <w:spacing w:line="606" w:lineRule="exact"/>
        <w:ind w:left="3370"/>
      </w:pPr>
      <w:r>
        <w:rPr>
          <w:rFonts w:ascii="Times New Roman" w:eastAsia="Times New Roman"/>
        </w:rPr>
        <w:t>2</w:t>
      </w:r>
      <w:r>
        <w:t>、设计原则</w:t>
      </w:r>
    </w:p>
    <w:p>
      <w:pPr>
        <w:pStyle w:val="BodyText"/>
        <w:spacing w:before="5"/>
        <w:rPr>
          <w:sz w:val="65"/>
        </w:rPr>
      </w:pPr>
    </w:p>
    <w:p>
      <w:pPr>
        <w:pStyle w:val="ListParagraph"/>
        <w:numPr>
          <w:ilvl w:val="0"/>
          <w:numId w:val="7"/>
        </w:numPr>
        <w:tabs>
          <w:tab w:val="left" w:pos="4674"/>
        </w:tabs>
        <w:spacing w:before="0" w:after="0" w:line="345" w:lineRule="auto"/>
        <w:ind w:left="3370" w:right="0" w:firstLine="0"/>
        <w:jc w:val="left"/>
        <w:rPr>
          <w:sz w:val="49"/>
        </w:rPr>
      </w:pPr>
      <w:r>
        <w:rPr>
          <w:sz w:val="49"/>
        </w:rPr>
        <w:t>）严格执行国家及地方有关环保法规及相关的排放标准，使处理</w:t>
      </w:r>
      <w:r>
        <w:rPr>
          <w:spacing w:val="-5"/>
          <w:sz w:val="49"/>
        </w:rPr>
        <w:t>后的废气各项指标达到且优于国家和地方标准。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64"/>
        </w:rPr>
      </w:pPr>
    </w:p>
    <w:p>
      <w:pPr>
        <w:pStyle w:val="ListParagraph"/>
        <w:numPr>
          <w:ilvl w:val="0"/>
          <w:numId w:val="7"/>
        </w:numPr>
        <w:tabs>
          <w:tab w:val="left" w:pos="4674"/>
        </w:tabs>
        <w:spacing w:before="1" w:after="0" w:line="345" w:lineRule="auto"/>
        <w:ind w:left="3370" w:right="0" w:firstLine="0"/>
        <w:jc w:val="left"/>
        <w:rPr>
          <w:sz w:val="49"/>
        </w:rPr>
      </w:pPr>
      <w:r>
        <w:rPr>
          <w:sz w:val="49"/>
        </w:rPr>
        <w:t>）采用先进、合理、成熟、可靠的处理工艺，并且有显著的环境</w:t>
      </w:r>
      <w:r>
        <w:rPr>
          <w:spacing w:val="-5"/>
          <w:sz w:val="49"/>
        </w:rPr>
        <w:t>效益、社会效益和经济效益。</w:t>
      </w:r>
    </w:p>
    <w:p>
      <w:pPr>
        <w:spacing w:before="314"/>
        <w:ind w:left="695" w:right="0" w:firstLine="0"/>
        <w:jc w:val="left"/>
        <w:rPr>
          <w:rFonts w:ascii="Times New Roman"/>
          <w:sz w:val="48"/>
        </w:rPr>
      </w:pPr>
      <w:r>
        <w:br w:type="column"/>
      </w:r>
      <w:r>
        <w:rPr>
          <w:rFonts w:ascii="Times New Roman"/>
          <w:sz w:val="48"/>
        </w:rPr>
        <w:t>253</w:t>
      </w:r>
    </w:p>
    <w:p>
      <w:pPr>
        <w:spacing w:after="0"/>
        <w:jc w:val="left"/>
        <w:rPr>
          <w:rFonts w:ascii="Times New Roman"/>
          <w:sz w:val="48"/>
        </w:rPr>
        <w:sectPr>
          <w:headerReference w:type="default" r:id="rId18"/>
          <w:type w:val="continuous"/>
          <w:pgSz w:w="22380" w:h="31660"/>
          <w:pgMar w:top="40" w:right="0" w:bottom="280" w:left="0" w:header="708" w:footer="708"/>
          <w:pgNumType w:start="9"/>
          <w:cols w:num="2" w:space="708" w:equalWidth="0">
            <w:col w:w="18433" w:space="40"/>
            <w:col w:w="3907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7"/>
        </w:rPr>
      </w:pPr>
    </w:p>
    <w:p>
      <w:pPr>
        <w:pStyle w:val="ListParagraph"/>
        <w:numPr>
          <w:ilvl w:val="0"/>
          <w:numId w:val="7"/>
        </w:numPr>
        <w:tabs>
          <w:tab w:val="left" w:pos="4674"/>
        </w:tabs>
        <w:spacing w:before="45" w:after="0" w:line="350" w:lineRule="auto"/>
        <w:ind w:left="3370" w:right="3937" w:firstLine="0"/>
        <w:jc w:val="left"/>
        <w:rPr>
          <w:sz w:val="49"/>
        </w:rPr>
      </w:pPr>
      <w:r>
        <w:rPr>
          <w:sz w:val="49"/>
        </w:rPr>
        <w:t>）工艺设计与设备选型，能够在生产运行过程中，具有较大的灵</w:t>
      </w:r>
      <w:r>
        <w:rPr>
          <w:spacing w:val="-4"/>
          <w:sz w:val="49"/>
        </w:rPr>
        <w:t>活性和调节余地，确保废气达标排放。</w:t>
      </w:r>
    </w:p>
    <w:p>
      <w:pPr>
        <w:pStyle w:val="BodyText"/>
        <w:rPr>
          <w:sz w:val="48"/>
        </w:rPr>
      </w:pPr>
    </w:p>
    <w:p>
      <w:pPr>
        <w:pStyle w:val="BodyText"/>
        <w:spacing w:before="12"/>
        <w:rPr>
          <w:sz w:val="64"/>
        </w:rPr>
      </w:pPr>
    </w:p>
    <w:p>
      <w:pPr>
        <w:pStyle w:val="ListParagraph"/>
        <w:numPr>
          <w:ilvl w:val="0"/>
          <w:numId w:val="7"/>
        </w:numPr>
        <w:tabs>
          <w:tab w:val="left" w:pos="4674"/>
        </w:tabs>
        <w:spacing w:before="0" w:after="0" w:line="350" w:lineRule="auto"/>
        <w:ind w:left="3370" w:right="3937" w:firstLine="0"/>
        <w:jc w:val="left"/>
        <w:rPr>
          <w:sz w:val="49"/>
        </w:rPr>
      </w:pPr>
      <w:r>
        <w:rPr>
          <w:sz w:val="49"/>
        </w:rPr>
        <w:t>）在净化设备运行过程中，便于操作管理、便于维修，节省动力</w:t>
      </w:r>
      <w:r>
        <w:rPr>
          <w:spacing w:val="-4"/>
          <w:sz w:val="49"/>
        </w:rPr>
        <w:t>消耗和运行费用。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3"/>
        </w:rPr>
      </w:pPr>
    </w:p>
    <w:p>
      <w:pPr>
        <w:pStyle w:val="BodyText"/>
        <w:ind w:left="3370"/>
      </w:pPr>
      <w:r>
        <w:rPr>
          <w:rFonts w:ascii="Bookman Old Style" w:eastAsia="Bookman Old Style"/>
          <w:b w:val="0"/>
        </w:rPr>
        <w:t>3</w:t>
      </w:r>
      <w:r>
        <w:t>、工程范围</w:t>
      </w:r>
    </w:p>
    <w:p>
      <w:pPr>
        <w:pStyle w:val="BodyText"/>
        <w:spacing w:before="5"/>
        <w:rPr>
          <w:sz w:val="62"/>
        </w:rPr>
      </w:pPr>
    </w:p>
    <w:p>
      <w:pPr>
        <w:pStyle w:val="ListParagraph"/>
        <w:numPr>
          <w:ilvl w:val="0"/>
          <w:numId w:val="6"/>
        </w:numPr>
        <w:tabs>
          <w:tab w:val="left" w:pos="4674"/>
        </w:tabs>
        <w:spacing w:before="0" w:after="0" w:line="350" w:lineRule="auto"/>
        <w:ind w:left="3370" w:right="3937" w:firstLine="0"/>
        <w:jc w:val="left"/>
        <w:rPr>
          <w:sz w:val="49"/>
        </w:rPr>
      </w:pPr>
      <w:r>
        <w:rPr>
          <w:sz w:val="49"/>
        </w:rPr>
        <w:t>）根据工况，确定管道弯头及设备风阻，选用合适风量风压的低</w:t>
      </w:r>
      <w:r>
        <w:rPr>
          <w:spacing w:val="-4"/>
          <w:sz w:val="49"/>
        </w:rPr>
        <w:t>噪声离心风机。</w:t>
      </w:r>
    </w:p>
    <w:p>
      <w:pPr>
        <w:pStyle w:val="BodyText"/>
        <w:rPr>
          <w:sz w:val="48"/>
        </w:rPr>
      </w:pPr>
    </w:p>
    <w:p>
      <w:pPr>
        <w:pStyle w:val="BodyText"/>
        <w:spacing w:before="2"/>
        <w:rPr>
          <w:sz w:val="45"/>
        </w:rPr>
      </w:pPr>
    </w:p>
    <w:p>
      <w:pPr>
        <w:pStyle w:val="ListParagraph"/>
        <w:numPr>
          <w:ilvl w:val="0"/>
          <w:numId w:val="6"/>
        </w:numPr>
        <w:tabs>
          <w:tab w:val="left" w:pos="4674"/>
          <w:tab w:val="left" w:pos="8607"/>
        </w:tabs>
        <w:spacing w:before="0" w:after="0" w:line="240" w:lineRule="auto"/>
        <w:ind w:left="4673" w:right="0" w:hanging="1304"/>
        <w:jc w:val="left"/>
        <w:rPr>
          <w:sz w:val="49"/>
        </w:rPr>
      </w:pPr>
      <w:r>
        <w:rPr>
          <w:sz w:val="49"/>
        </w:rPr>
        <w:t>）做好设备基础，</w:t>
        <w:tab/>
        <w:t>电气设备的连接等</w:t>
      </w:r>
    </w:p>
    <w:p>
      <w:pPr>
        <w:pStyle w:val="BodyText"/>
        <w:rPr>
          <w:sz w:val="42"/>
        </w:rPr>
      </w:pPr>
    </w:p>
    <w:p>
      <w:pPr>
        <w:pStyle w:val="Heading1"/>
      </w:pPr>
      <w:r>
        <w:pict>
          <v:group id="_x0000_s1084" style="width:1118.6pt;height:188pt;margin-top:29.88pt;margin-left:0;mso-position-horizontal-relative:page;position:absolute;z-index:-251653120" coordorigin="0,598" coordsize="22372,3760">
            <v:shape id="_x0000_s1085" type="#_x0000_t75" style="width:22372;height:3760;position:absolute;top:597" stroked="f">
              <v:imagedata r:id="rId19" o:title=""/>
            </v:shape>
            <v:shape id="_x0000_s1086" type="#_x0000_t202" style="width:9357;height:492;left:3370;position:absolute;top:2429" filled="f" stroked="f">
              <v:textbox inset="0,0,0,0">
                <w:txbxContent>
                  <w:p>
                    <w:pPr>
                      <w:spacing w:before="0" w:line="491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sz w:val="49"/>
                      </w:rPr>
                      <w:t>国家标准参考《大气污染物综合排放标准》</w:t>
                    </w:r>
                  </w:p>
                </w:txbxContent>
              </v:textbox>
            </v:shape>
            <v:shape id="_x0000_s1087" type="#_x0000_t202" style="width:3078;height:543;left:13361;position:absolute;top:2416" filled="f" stroked="f">
              <v:textbox inset="0,0,0,0">
                <w:txbxContent>
                  <w:p>
                    <w:pPr>
                      <w:spacing w:before="0" w:line="5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49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49"/>
                      </w:rPr>
                      <w:t>GB19297-1996</w:t>
                    </w:r>
                  </w:p>
                </w:txbxContent>
              </v:textbox>
            </v:shape>
          </v:group>
        </w:pict>
      </w:r>
      <w:r>
        <w:t>五、处理排放标准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tbl>
      <w:tblPr>
        <w:tblStyle w:val="TableNormal0"/>
        <w:tblW w:w="0" w:type="auto"/>
        <w:jc w:val="left"/>
        <w:tblInd w:w="35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83"/>
        <w:gridCol w:w="3318"/>
        <w:gridCol w:w="2137"/>
        <w:gridCol w:w="4142"/>
        <w:gridCol w:w="4058"/>
      </w:tblGrid>
      <w:tr>
        <w:tblPrEx>
          <w:tblW w:w="0" w:type="auto"/>
          <w:jc w:val="left"/>
          <w:tblInd w:w="35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06"/>
          <w:jc w:val="left"/>
        </w:trPr>
        <w:tc>
          <w:tcPr>
            <w:tcW w:w="2183" w:type="dxa"/>
          </w:tcPr>
          <w:p>
            <w:pPr>
              <w:pStyle w:val="TableParagraph"/>
              <w:spacing w:line="409" w:lineRule="exact"/>
              <w:ind w:left="431" w:right="661"/>
              <w:jc w:val="center"/>
              <w:rPr>
                <w:sz w:val="35"/>
              </w:rPr>
            </w:pPr>
            <w:r>
              <w:rPr>
                <w:sz w:val="35"/>
              </w:rPr>
              <w:t>污染物</w:t>
            </w:r>
          </w:p>
          <w:p>
            <w:pPr>
              <w:pStyle w:val="TableParagraph"/>
              <w:spacing w:before="161"/>
              <w:ind w:left="431" w:right="591"/>
              <w:jc w:val="center"/>
              <w:rPr>
                <w:sz w:val="35"/>
              </w:rPr>
            </w:pPr>
            <w:r>
              <w:rPr>
                <w:sz w:val="35"/>
              </w:rPr>
              <w:t>名称</w:t>
            </w:r>
          </w:p>
        </w:tc>
        <w:tc>
          <w:tcPr>
            <w:tcW w:w="3318" w:type="dxa"/>
          </w:tcPr>
          <w:p>
            <w:pPr>
              <w:pStyle w:val="TableParagraph"/>
              <w:spacing w:line="409" w:lineRule="exact"/>
              <w:ind w:left="377"/>
              <w:rPr>
                <w:sz w:val="35"/>
              </w:rPr>
            </w:pPr>
            <w:r>
              <w:rPr>
                <w:sz w:val="35"/>
              </w:rPr>
              <w:t>最高允许排放速率</w:t>
            </w:r>
          </w:p>
        </w:tc>
        <w:tc>
          <w:tcPr>
            <w:tcW w:w="2137" w:type="dxa"/>
          </w:tcPr>
          <w:p>
            <w:pPr>
              <w:pStyle w:val="TableParagraph"/>
              <w:spacing w:line="392" w:lineRule="exact"/>
              <w:ind w:left="131"/>
              <w:rPr>
                <w:rFonts w:ascii="Bookman Old Style"/>
                <w:b w:val="0"/>
                <w:sz w:val="35"/>
              </w:rPr>
            </w:pPr>
            <w:r>
              <w:rPr>
                <w:rFonts w:ascii="Bookman Old Style"/>
                <w:b w:val="0"/>
                <w:w w:val="90"/>
                <w:sz w:val="35"/>
              </w:rPr>
              <w:t>mg/m3</w:t>
            </w:r>
          </w:p>
        </w:tc>
        <w:tc>
          <w:tcPr>
            <w:tcW w:w="4142" w:type="dxa"/>
          </w:tcPr>
          <w:p>
            <w:pPr>
              <w:pStyle w:val="TableParagraph"/>
              <w:spacing w:line="409" w:lineRule="exact"/>
              <w:ind w:left="860" w:right="1013"/>
              <w:jc w:val="center"/>
              <w:rPr>
                <w:rFonts w:ascii="Bookman Old Style" w:eastAsia="Bookman Old Style"/>
                <w:b w:val="0"/>
                <w:sz w:val="35"/>
              </w:rPr>
            </w:pPr>
            <w:r>
              <w:rPr>
                <w:sz w:val="35"/>
              </w:rPr>
              <w:t xml:space="preserve">速率 </w:t>
            </w:r>
            <w:r>
              <w:rPr>
                <w:rFonts w:ascii="Bookman Old Style" w:eastAsia="Bookman Old Style"/>
                <w:b w:val="0"/>
                <w:sz w:val="35"/>
              </w:rPr>
              <w:t>kg/h</w:t>
            </w:r>
          </w:p>
          <w:p>
            <w:pPr>
              <w:pStyle w:val="TableParagraph"/>
              <w:spacing w:before="161"/>
              <w:ind w:left="940" w:right="1013"/>
              <w:jc w:val="center"/>
              <w:rPr>
                <w:sz w:val="35"/>
              </w:rPr>
            </w:pPr>
            <w:r>
              <w:rPr>
                <w:sz w:val="35"/>
              </w:rPr>
              <w:t>一</w:t>
            </w:r>
            <w:r>
              <w:rPr>
                <w:rFonts w:ascii="Bookman Old Style" w:eastAsia="Bookman Old Style"/>
                <w:b w:val="0"/>
                <w:w w:val="75"/>
                <w:sz w:val="35"/>
              </w:rPr>
              <w:t>/</w:t>
            </w:r>
            <w:r>
              <w:rPr>
                <w:sz w:val="35"/>
              </w:rPr>
              <w:t>二</w:t>
            </w:r>
            <w:r>
              <w:rPr>
                <w:rFonts w:ascii="Bookman Old Style" w:eastAsia="Bookman Old Style"/>
                <w:b w:val="0"/>
                <w:w w:val="75"/>
                <w:sz w:val="35"/>
              </w:rPr>
              <w:t xml:space="preserve">/ </w:t>
            </w:r>
            <w:r>
              <w:rPr>
                <w:sz w:val="35"/>
              </w:rPr>
              <w:t>三类区</w:t>
            </w:r>
          </w:p>
        </w:tc>
        <w:tc>
          <w:tcPr>
            <w:tcW w:w="4058" w:type="dxa"/>
          </w:tcPr>
          <w:p>
            <w:pPr>
              <w:pStyle w:val="TableParagraph"/>
              <w:spacing w:line="409" w:lineRule="exact"/>
              <w:ind w:left="1079"/>
              <w:rPr>
                <w:rFonts w:ascii="Bookman Old Style" w:eastAsia="Bookman Old Style"/>
                <w:b w:val="0"/>
                <w:sz w:val="35"/>
              </w:rPr>
            </w:pPr>
            <w:r>
              <w:rPr>
                <w:spacing w:val="-15"/>
                <w:w w:val="95"/>
                <w:sz w:val="35"/>
              </w:rPr>
              <w:t xml:space="preserve">无组织限制 </w:t>
            </w:r>
            <w:r>
              <w:rPr>
                <w:rFonts w:ascii="Bookman Old Style" w:eastAsia="Bookman Old Style"/>
                <w:b w:val="0"/>
                <w:w w:val="95"/>
                <w:sz w:val="35"/>
              </w:rPr>
              <w:t>mg/m3</w:t>
            </w:r>
          </w:p>
        </w:tc>
      </w:tr>
      <w:tr>
        <w:tblPrEx>
          <w:tblW w:w="0" w:type="auto"/>
          <w:jc w:val="left"/>
          <w:tblInd w:w="3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2"/>
          <w:jc w:val="left"/>
        </w:trPr>
        <w:tc>
          <w:tcPr>
            <w:tcW w:w="2183" w:type="dxa"/>
          </w:tcPr>
          <w:p>
            <w:pPr>
              <w:pStyle w:val="TableParagraph"/>
              <w:spacing w:before="70"/>
              <w:ind w:right="140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笨</w:t>
            </w:r>
          </w:p>
        </w:tc>
        <w:tc>
          <w:tcPr>
            <w:tcW w:w="3318" w:type="dxa"/>
          </w:tcPr>
          <w:p>
            <w:pPr>
              <w:pStyle w:val="TableParagraph"/>
              <w:spacing w:before="99"/>
              <w:ind w:right="553"/>
              <w:jc w:val="right"/>
              <w:rPr>
                <w:rFonts w:ascii="Bookman Old Style"/>
                <w:b w:val="0"/>
                <w:sz w:val="35"/>
              </w:rPr>
            </w:pPr>
            <w:r>
              <w:rPr>
                <w:rFonts w:ascii="Bookman Old Style"/>
                <w:b w:val="0"/>
                <w:w w:val="80"/>
                <w:sz w:val="35"/>
              </w:rPr>
              <w:t>17</w:t>
            </w: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142" w:type="dxa"/>
          </w:tcPr>
          <w:p>
            <w:pPr>
              <w:pStyle w:val="TableParagraph"/>
              <w:spacing w:before="70"/>
              <w:ind w:left="940" w:right="1004"/>
              <w:jc w:val="center"/>
              <w:rPr>
                <w:rFonts w:ascii="Bookman Old Style" w:eastAsia="Bookman Old Style"/>
                <w:b w:val="0"/>
                <w:sz w:val="35"/>
              </w:rPr>
            </w:pPr>
            <w:r>
              <w:rPr>
                <w:w w:val="90"/>
                <w:sz w:val="35"/>
              </w:rPr>
              <w:t xml:space="preserve">禁 </w:t>
            </w:r>
            <w:r>
              <w:rPr>
                <w:rFonts w:ascii="Bookman Old Style" w:eastAsia="Bookman Old Style"/>
                <w:b w:val="0"/>
                <w:w w:val="75"/>
                <w:sz w:val="35"/>
              </w:rPr>
              <w:t>/</w:t>
            </w:r>
          </w:p>
        </w:tc>
        <w:tc>
          <w:tcPr>
            <w:tcW w:w="4058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3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9"/>
          <w:jc w:val="left"/>
        </w:trPr>
        <w:tc>
          <w:tcPr>
            <w:tcW w:w="2183" w:type="dxa"/>
          </w:tcPr>
          <w:p>
            <w:pPr>
              <w:pStyle w:val="TableParagraph"/>
              <w:spacing w:before="67"/>
              <w:ind w:left="659"/>
              <w:rPr>
                <w:sz w:val="35"/>
              </w:rPr>
            </w:pPr>
            <w:r>
              <w:rPr>
                <w:sz w:val="35"/>
              </w:rPr>
              <w:t>甲苯</w:t>
            </w:r>
          </w:p>
        </w:tc>
        <w:tc>
          <w:tcPr>
            <w:tcW w:w="3318" w:type="dxa"/>
          </w:tcPr>
          <w:p>
            <w:pPr>
              <w:pStyle w:val="TableParagraph"/>
              <w:spacing w:before="96"/>
              <w:ind w:right="553"/>
              <w:jc w:val="right"/>
              <w:rPr>
                <w:rFonts w:ascii="Bookman Old Style"/>
                <w:b w:val="0"/>
                <w:sz w:val="35"/>
              </w:rPr>
            </w:pPr>
            <w:r>
              <w:rPr>
                <w:rFonts w:ascii="Bookman Old Style"/>
                <w:b w:val="0"/>
                <w:w w:val="80"/>
                <w:sz w:val="35"/>
              </w:rPr>
              <w:t>60</w:t>
            </w: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142" w:type="dxa"/>
          </w:tcPr>
          <w:p>
            <w:pPr>
              <w:pStyle w:val="TableParagraph"/>
              <w:spacing w:before="67"/>
              <w:ind w:left="940" w:right="1004"/>
              <w:jc w:val="center"/>
              <w:rPr>
                <w:rFonts w:ascii="Bookman Old Style" w:eastAsia="Bookman Old Style"/>
                <w:b w:val="0"/>
                <w:sz w:val="35"/>
              </w:rPr>
            </w:pPr>
            <w:r>
              <w:rPr>
                <w:w w:val="90"/>
                <w:sz w:val="35"/>
              </w:rPr>
              <w:t xml:space="preserve">禁 </w:t>
            </w:r>
            <w:r>
              <w:rPr>
                <w:rFonts w:ascii="Bookman Old Style" w:eastAsia="Bookman Old Style"/>
                <w:b w:val="0"/>
                <w:w w:val="75"/>
                <w:sz w:val="35"/>
              </w:rPr>
              <w:t>/</w:t>
            </w:r>
          </w:p>
        </w:tc>
        <w:tc>
          <w:tcPr>
            <w:tcW w:w="4058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3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2"/>
          <w:jc w:val="left"/>
        </w:trPr>
        <w:tc>
          <w:tcPr>
            <w:tcW w:w="2183" w:type="dxa"/>
          </w:tcPr>
          <w:p>
            <w:pPr>
              <w:pStyle w:val="TableParagraph"/>
              <w:spacing w:before="68"/>
              <w:ind w:left="448"/>
              <w:rPr>
                <w:sz w:val="35"/>
              </w:rPr>
            </w:pPr>
            <w:r>
              <w:rPr>
                <w:sz w:val="35"/>
              </w:rPr>
              <w:t>二甲苯</w:t>
            </w:r>
          </w:p>
        </w:tc>
        <w:tc>
          <w:tcPr>
            <w:tcW w:w="3318" w:type="dxa"/>
          </w:tcPr>
          <w:p>
            <w:pPr>
              <w:pStyle w:val="TableParagraph"/>
              <w:spacing w:before="96"/>
              <w:ind w:right="553"/>
              <w:jc w:val="right"/>
              <w:rPr>
                <w:rFonts w:ascii="Bookman Old Style"/>
                <w:b w:val="0"/>
                <w:sz w:val="35"/>
              </w:rPr>
            </w:pPr>
            <w:r>
              <w:rPr>
                <w:rFonts w:ascii="Bookman Old Style"/>
                <w:b w:val="0"/>
                <w:w w:val="80"/>
                <w:sz w:val="35"/>
              </w:rPr>
              <w:t>90</w:t>
            </w: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4142" w:type="dxa"/>
          </w:tcPr>
          <w:p>
            <w:pPr>
              <w:pStyle w:val="TableParagraph"/>
              <w:spacing w:before="68"/>
              <w:ind w:left="940" w:right="1004"/>
              <w:jc w:val="center"/>
              <w:rPr>
                <w:rFonts w:ascii="Bookman Old Style" w:eastAsia="Bookman Old Style"/>
                <w:b w:val="0"/>
                <w:sz w:val="35"/>
              </w:rPr>
            </w:pPr>
            <w:r>
              <w:rPr>
                <w:w w:val="90"/>
                <w:sz w:val="35"/>
              </w:rPr>
              <w:t xml:space="preserve">禁 </w:t>
            </w:r>
            <w:r>
              <w:rPr>
                <w:rFonts w:ascii="Bookman Old Style" w:eastAsia="Bookman Old Style"/>
                <w:b w:val="0"/>
                <w:w w:val="75"/>
                <w:sz w:val="35"/>
              </w:rPr>
              <w:t>/</w:t>
            </w:r>
          </w:p>
        </w:tc>
        <w:tc>
          <w:tcPr>
            <w:tcW w:w="4058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3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2183" w:type="dxa"/>
          </w:tcPr>
          <w:p>
            <w:pPr>
              <w:pStyle w:val="TableParagraph"/>
              <w:spacing w:before="62" w:line="415" w:lineRule="exact"/>
              <w:ind w:left="50"/>
              <w:rPr>
                <w:sz w:val="35"/>
              </w:rPr>
            </w:pPr>
            <w:r>
              <w:rPr>
                <w:sz w:val="35"/>
              </w:rPr>
              <w:t>非甲烷总烃</w:t>
            </w:r>
          </w:p>
        </w:tc>
        <w:tc>
          <w:tcPr>
            <w:tcW w:w="3318" w:type="dxa"/>
          </w:tcPr>
          <w:p>
            <w:pPr>
              <w:pStyle w:val="TableParagraph"/>
              <w:spacing w:before="90" w:line="387" w:lineRule="exact"/>
              <w:ind w:right="471"/>
              <w:jc w:val="right"/>
              <w:rPr>
                <w:rFonts w:ascii="Bookman Old Style"/>
                <w:b w:val="0"/>
                <w:sz w:val="35"/>
              </w:rPr>
            </w:pPr>
            <w:r>
              <w:rPr>
                <w:rFonts w:ascii="Bookman Old Style"/>
                <w:b w:val="0"/>
                <w:w w:val="80"/>
                <w:sz w:val="35"/>
              </w:rPr>
              <w:t>150</w:t>
            </w: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142" w:type="dxa"/>
          </w:tcPr>
          <w:p>
            <w:pPr>
              <w:pStyle w:val="TableParagraph"/>
              <w:spacing w:before="90" w:line="387" w:lineRule="exact"/>
              <w:ind w:left="858" w:right="1013"/>
              <w:jc w:val="center"/>
              <w:rPr>
                <w:rFonts w:ascii="Bookman Old Style"/>
                <w:b w:val="0"/>
                <w:sz w:val="35"/>
              </w:rPr>
            </w:pPr>
            <w:r>
              <w:rPr>
                <w:rFonts w:ascii="Bookman Old Style"/>
                <w:b w:val="0"/>
                <w:w w:val="85"/>
                <w:sz w:val="35"/>
              </w:rPr>
              <w:t>12/18</w:t>
            </w:r>
          </w:p>
        </w:tc>
        <w:tc>
          <w:tcPr>
            <w:tcW w:w="405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pStyle w:val="BodyText"/>
        <w:spacing w:before="2"/>
        <w:rPr>
          <w:sz w:val="16"/>
        </w:rPr>
      </w:pPr>
    </w:p>
    <w:p>
      <w:pPr>
        <w:pStyle w:val="BodyText"/>
        <w:tabs>
          <w:tab w:val="left" w:pos="10742"/>
          <w:tab w:val="left" w:pos="12685"/>
          <w:tab w:val="left" w:pos="14319"/>
        </w:tabs>
        <w:spacing w:before="32" w:line="444" w:lineRule="auto"/>
        <w:ind w:left="3370" w:right="2556" w:firstLine="1030"/>
      </w:pPr>
      <w:r>
        <w:t>目前很多省市都没有出台地方标准，</w:t>
        <w:tab/>
        <w:t>故可以参考广东省</w:t>
      </w:r>
      <w:r>
        <w:rPr>
          <w:spacing w:val="20"/>
        </w:rPr>
        <w:t xml:space="preserve"> </w:t>
      </w:r>
      <w:r>
        <w:t>《家具制造</w:t>
      </w:r>
      <w:r>
        <w:rPr>
          <w:spacing w:val="-17"/>
        </w:rPr>
        <w:t>行</w:t>
      </w:r>
      <w:r>
        <w:t>业挥发性有机化合物排放标准》</w:t>
        <w:tab/>
      </w:r>
      <w:r>
        <w:rPr>
          <w:rFonts w:ascii="Bookman Old Style" w:eastAsia="Bookman Old Style"/>
          <w:b w:val="0"/>
          <w:w w:val="85"/>
        </w:rPr>
        <w:t>DB44/814-2010</w:t>
        <w:tab/>
      </w:r>
      <w:r>
        <w:t>第二时段标准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right" w:pos="9221"/>
        </w:tabs>
        <w:spacing w:before="210"/>
        <w:ind w:left="3954" w:right="0" w:firstLine="0"/>
        <w:jc w:val="left"/>
        <w:rPr>
          <w:rFonts w:ascii="Bookman Old Style" w:eastAsia="Bookman Old Style"/>
          <w:b w:val="0"/>
          <w:sz w:val="23"/>
        </w:rPr>
      </w:pPr>
      <w:r>
        <w:rPr>
          <w:position w:val="1"/>
          <w:sz w:val="49"/>
        </w:rPr>
        <w:t>笨外排浓度低于</w:t>
      </w:r>
      <w:r>
        <w:rPr>
          <w:spacing w:val="48"/>
          <w:position w:val="1"/>
          <w:sz w:val="49"/>
        </w:rPr>
        <w:t xml:space="preserve"> </w:t>
      </w:r>
      <w:r>
        <w:rPr>
          <w:rFonts w:ascii="Bookman Old Style" w:eastAsia="Bookman Old Style"/>
          <w:b w:val="0"/>
          <w:sz w:val="22"/>
        </w:rPr>
        <w:t>1mg/m</w:t>
        <w:tab/>
      </w:r>
      <w:r>
        <w:rPr>
          <w:rFonts w:ascii="Bookman Old Style" w:eastAsia="Bookman Old Style"/>
          <w:b w:val="0"/>
          <w:position w:val="24"/>
          <w:sz w:val="23"/>
        </w:rPr>
        <w:t>3</w:t>
      </w:r>
    </w:p>
    <w:p>
      <w:pPr>
        <w:pStyle w:val="BodyText"/>
        <w:tabs>
          <w:tab w:val="left" w:pos="10391"/>
        </w:tabs>
        <w:spacing w:before="583"/>
        <w:ind w:left="3954"/>
        <w:rPr>
          <w:rFonts w:ascii="Bookman Old Style" w:eastAsia="Bookman Old Style"/>
          <w:b w:val="0"/>
          <w:sz w:val="23"/>
        </w:rPr>
      </w:pPr>
      <w:r>
        <w:rPr>
          <w:w w:val="100"/>
        </w:rPr>
        <w:t>甲苯与二甲苯外排浓度低于</w:t>
      </w:r>
      <w:r>
        <w:tab/>
      </w:r>
      <w:r>
        <w:rPr>
          <w:rFonts w:ascii="Bookman Old Style" w:eastAsia="Bookman Old Style"/>
          <w:b w:val="0"/>
          <w:w w:val="77"/>
        </w:rPr>
        <w:t>20mg/</w:t>
      </w:r>
      <w:r>
        <w:rPr>
          <w:rFonts w:ascii="Bookman Old Style" w:eastAsia="Bookman Old Style"/>
          <w:b w:val="0"/>
          <w:spacing w:val="-47"/>
          <w:w w:val="83"/>
        </w:rPr>
        <w:t>m</w:t>
      </w:r>
      <w:r>
        <w:rPr>
          <w:rFonts w:ascii="Bookman Old Style" w:eastAsia="Bookman Old Style"/>
          <w:b w:val="0"/>
          <w:w w:val="81"/>
          <w:position w:val="27"/>
          <w:sz w:val="23"/>
        </w:rPr>
        <w:t>3</w:t>
      </w:r>
    </w:p>
    <w:p>
      <w:pPr>
        <w:pStyle w:val="BodyText"/>
        <w:spacing w:before="563"/>
        <w:ind w:left="3954"/>
        <w:rPr>
          <w:rFonts w:ascii="Bookman Old Style" w:eastAsia="Bookman Old Style"/>
          <w:b w:val="0"/>
          <w:sz w:val="23"/>
        </w:rPr>
      </w:pPr>
      <w:r>
        <w:rPr>
          <w:w w:val="100"/>
        </w:rPr>
        <w:t>总</w:t>
      </w:r>
      <w:r>
        <w:rPr>
          <w:spacing w:val="-123"/>
        </w:rPr>
        <w:t xml:space="preserve"> </w:t>
      </w:r>
      <w:r>
        <w:rPr>
          <w:rFonts w:ascii="Bookman Old Style" w:eastAsia="Bookman Old Style"/>
          <w:b w:val="0"/>
          <w:w w:val="90"/>
        </w:rPr>
        <w:t>VOCs</w:t>
      </w:r>
      <w:r>
        <w:rPr>
          <w:rFonts w:ascii="Bookman Old Style" w:eastAsia="Bookman Old Style"/>
          <w:b w:val="0"/>
          <w:spacing w:val="50"/>
        </w:rPr>
        <w:t xml:space="preserve"> </w:t>
      </w:r>
      <w:r>
        <w:rPr>
          <w:w w:val="100"/>
        </w:rPr>
        <w:t>外排浓度低于</w:t>
      </w:r>
      <w:r>
        <w:rPr>
          <w:spacing w:val="-2"/>
        </w:rPr>
        <w:t xml:space="preserve"> </w:t>
      </w:r>
      <w:r>
        <w:rPr>
          <w:rFonts w:ascii="Bookman Old Style" w:eastAsia="Bookman Old Style"/>
          <w:b w:val="0"/>
          <w:w w:val="77"/>
        </w:rPr>
        <w:t>40mg/</w:t>
      </w:r>
      <w:r>
        <w:rPr>
          <w:rFonts w:ascii="Bookman Old Style" w:eastAsia="Bookman Old Style"/>
          <w:b w:val="0"/>
          <w:spacing w:val="-140"/>
          <w:w w:val="83"/>
        </w:rPr>
        <w:t>m</w:t>
      </w:r>
      <w:r>
        <w:rPr>
          <w:rFonts w:ascii="Bookman Old Style" w:eastAsia="Bookman Old Style"/>
          <w:b w:val="0"/>
          <w:w w:val="81"/>
          <w:position w:val="25"/>
          <w:sz w:val="23"/>
        </w:rPr>
        <w:t>3</w:t>
      </w:r>
    </w:p>
    <w:p>
      <w:pPr>
        <w:spacing w:after="0"/>
        <w:rPr>
          <w:rFonts w:ascii="Bookman Old Style" w:eastAsia="Bookman Old Style"/>
          <w:sz w:val="23"/>
        </w:rPr>
        <w:sectPr>
          <w:headerReference w:type="default" r:id="rId20"/>
          <w:pgSz w:w="22380" w:h="31660"/>
          <w:pgMar w:top="140" w:right="0" w:bottom="280" w:left="0" w:header="0" w:footer="0"/>
          <w:pgNumType w:start="10"/>
          <w:cols w:space="708"/>
        </w:sectPr>
      </w:pPr>
    </w:p>
    <w:p>
      <w:pPr>
        <w:pStyle w:val="BodyText"/>
        <w:spacing w:line="37" w:lineRule="exact"/>
        <w:ind w:left="1637"/>
        <w:rPr>
          <w:rFonts w:ascii="Bookman Old Style"/>
          <w:sz w:val="3"/>
        </w:rPr>
      </w:pPr>
      <w:r>
        <w:rPr>
          <w:rFonts w:ascii="Bookman Old Style"/>
          <w:position w:val="0"/>
          <w:sz w:val="3"/>
        </w:rPr>
        <w:drawing>
          <wp:inline distT="0" distB="0" distL="0" distR="0">
            <wp:extent cx="12071062" cy="24003"/>
            <wp:effectExtent l="0" t="0" r="0" b="0"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1062" cy="24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Heading1"/>
        <w:spacing w:before="186"/>
      </w:pPr>
      <w:r>
        <w:t>六、处理工艺</w:t>
      </w:r>
    </w:p>
    <w:p>
      <w:pPr>
        <w:pStyle w:val="BodyText"/>
        <w:spacing w:before="5"/>
        <w:rPr>
          <w:sz w:val="40"/>
        </w:rPr>
      </w:pPr>
    </w:p>
    <w:p>
      <w:pPr>
        <w:pStyle w:val="ListParagraph"/>
        <w:numPr>
          <w:ilvl w:val="0"/>
          <w:numId w:val="5"/>
        </w:numPr>
        <w:tabs>
          <w:tab w:val="left" w:pos="4397"/>
          <w:tab w:val="left" w:pos="4398"/>
        </w:tabs>
        <w:spacing w:before="0" w:after="0" w:line="240" w:lineRule="auto"/>
        <w:ind w:left="4397" w:right="0" w:hanging="1028"/>
        <w:jc w:val="left"/>
        <w:rPr>
          <w:sz w:val="51"/>
        </w:rPr>
      </w:pPr>
      <w:r>
        <w:rPr>
          <w:sz w:val="51"/>
        </w:rPr>
        <w:t>工艺说明：</w:t>
      </w:r>
    </w:p>
    <w:p>
      <w:pPr>
        <w:spacing w:after="0" w:line="240" w:lineRule="auto"/>
        <w:jc w:val="left"/>
        <w:rPr>
          <w:sz w:val="51"/>
        </w:rPr>
        <w:sectPr>
          <w:headerReference w:type="default" r:id="rId21"/>
          <w:pgSz w:w="22380" w:h="31660"/>
          <w:pgMar w:top="40" w:right="0" w:bottom="280" w:left="0" w:header="0" w:footer="0"/>
          <w:pgNumType w:start="11"/>
          <w:cols w:space="708"/>
        </w:sectPr>
      </w:pPr>
    </w:p>
    <w:p>
      <w:pPr>
        <w:pStyle w:val="BodyText"/>
        <w:spacing w:line="116" w:lineRule="exact"/>
        <w:ind w:left="1560"/>
        <w:rPr>
          <w:sz w:val="11"/>
        </w:rPr>
      </w:pPr>
      <w:r>
        <w:rPr>
          <w:position w:val="-1"/>
          <w:sz w:val="11"/>
        </w:rPr>
        <w:drawing>
          <wp:inline distT="0" distB="0" distL="0" distR="0">
            <wp:extent cx="12266182" cy="73913"/>
            <wp:effectExtent l="0" t="0" r="0" b="0"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66182" cy="73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89"/>
        <w:ind w:left="3370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215410</wp:posOffset>
            </wp:positionV>
            <wp:extent cx="14205708" cy="16048312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6048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、干式漆雾过滤净化装置</w:t>
      </w:r>
    </w:p>
    <w:p>
      <w:pPr>
        <w:pStyle w:val="BodyText"/>
        <w:spacing w:before="12"/>
        <w:rPr>
          <w:sz w:val="77"/>
        </w:rPr>
      </w:pPr>
    </w:p>
    <w:p>
      <w:pPr>
        <w:pStyle w:val="BodyText"/>
        <w:spacing w:line="393" w:lineRule="auto"/>
        <w:ind w:left="3370" w:right="2730" w:firstLine="1030"/>
        <w:jc w:val="both"/>
      </w:pPr>
      <w:r>
        <w:t>干式漆雾过滤净化装置 采用专用干式漆雾过滤材料作为核心部件， 喷漆废气通过多重逐渐加密的阻燃玻璃纤维材料，漆雾粒子在拦截、碰撞、吸收等作用下容纳在材料中， 并逐步风化成粉末状， 从而达到净化漆雾的目的。材料取出拍打清理后可多次重复使用。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1"/>
        <w:rPr>
          <w:sz w:val="40"/>
        </w:rPr>
      </w:pPr>
    </w:p>
    <w:p>
      <w:pPr>
        <w:pStyle w:val="BodyText"/>
        <w:spacing w:line="400" w:lineRule="auto"/>
        <w:ind w:left="3370" w:right="3274" w:firstLine="1030"/>
      </w:pPr>
      <w:r>
        <w:rPr>
          <w:spacing w:val="-12"/>
        </w:rPr>
        <w:t xml:space="preserve">目前，在欧美发达国家 </w:t>
      </w:r>
      <w:r>
        <w:rPr>
          <w:rFonts w:ascii="Arial" w:eastAsia="Arial"/>
        </w:rPr>
        <w:t>80</w:t>
      </w:r>
      <w:r>
        <w:rPr>
          <w:rFonts w:ascii="Arial" w:eastAsia="Arial"/>
          <w:spacing w:val="-72"/>
        </w:rPr>
        <w:t xml:space="preserve"> </w:t>
      </w:r>
      <w:r>
        <w:t>％的喷漆室均采用干式漆雾净化，一个重</w:t>
      </w:r>
      <w:r>
        <w:rPr>
          <w:spacing w:val="-1"/>
        </w:rPr>
        <w:t>要原因在于环境保护的综合考虑。此外，干式漆雾净化在确保喷漆性能、净化效率、减少二次污染、降低运行成本等也显示了巨大的优越性。它具</w:t>
      </w:r>
      <w:r>
        <w:t>有以下优点：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4"/>
        <w:rPr>
          <w:sz w:val="50"/>
        </w:rPr>
      </w:pPr>
    </w:p>
    <w:p>
      <w:pPr>
        <w:pStyle w:val="BodyText"/>
        <w:ind w:left="3370"/>
        <w:jc w:val="both"/>
      </w:pPr>
      <w:r>
        <w:t>★ 干式净化，无需水，无二次污染、环保节能；</w:t>
      </w:r>
    </w:p>
    <w:p>
      <w:pPr>
        <w:pStyle w:val="BodyText"/>
        <w:spacing w:before="392" w:line="391" w:lineRule="auto"/>
        <w:ind w:left="3370" w:right="8541"/>
        <w:jc w:val="both"/>
      </w:pPr>
      <w:r>
        <w:rPr>
          <w:spacing w:val="-21"/>
        </w:rPr>
        <w:t xml:space="preserve">★ 漆雾净化效率高，净化效率高达 </w:t>
      </w:r>
      <w:r>
        <w:rPr>
          <w:rFonts w:ascii="Arial" w:eastAsia="Arial" w:hAnsi="Arial"/>
        </w:rPr>
        <w:t xml:space="preserve">90-99% </w:t>
      </w:r>
      <w:r>
        <w:rPr>
          <w:spacing w:val="-50"/>
        </w:rPr>
        <w:t xml:space="preserve">； ★ </w:t>
      </w:r>
      <w:r>
        <w:t>设备运行阻力低、运行能耗低； ★ 设备结构简单，维修保养方便；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8"/>
        <w:rPr>
          <w:sz w:val="37"/>
        </w:rPr>
      </w:pPr>
    </w:p>
    <w:p>
      <w:pPr>
        <w:pStyle w:val="BodyText"/>
        <w:spacing w:line="333" w:lineRule="auto"/>
        <w:ind w:left="3370" w:right="3270"/>
      </w:pPr>
      <w:r>
        <w:t>★ 干式漆雾过滤材料净化效率高、 容尘量大、阻燃、阻力小、使用寿命长，可多次重复使用。</w:t>
      </w:r>
    </w:p>
    <w:p>
      <w:pPr>
        <w:spacing w:after="0" w:line="333" w:lineRule="auto"/>
        <w:sectPr>
          <w:headerReference w:type="default" r:id="rId23"/>
          <w:pgSz w:w="22380" w:h="31660"/>
          <w:pgMar w:top="40" w:right="0" w:bottom="280" w:left="0" w:header="0" w:footer="0"/>
          <w:pgNumType w:start="12"/>
          <w:cols w:space="708"/>
        </w:sectPr>
      </w:pPr>
    </w:p>
    <w:p>
      <w:pPr>
        <w:pStyle w:val="BodyText"/>
        <w:spacing w:line="37" w:lineRule="exact"/>
        <w:ind w:left="1637"/>
        <w:rPr>
          <w:sz w:val="3"/>
        </w:rPr>
      </w:pPr>
      <w:r>
        <w:rPr>
          <w:position w:val="0"/>
          <w:sz w:val="3"/>
        </w:rPr>
        <w:drawing>
          <wp:inline distT="0" distB="0" distL="0" distR="0">
            <wp:extent cx="12071062" cy="24003"/>
            <wp:effectExtent l="0" t="0" r="0" b="0"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1062" cy="24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spacing w:before="46"/>
        <w:ind w:left="3370"/>
      </w:pPr>
      <w:r>
        <w:rPr>
          <w:rFonts w:ascii="Arial" w:eastAsia="Arial"/>
        </w:rPr>
        <w:t>2</w:t>
      </w:r>
      <w:r>
        <w:t>、活性碳废气净化处理装置</w:t>
      </w:r>
    </w:p>
    <w:p>
      <w:pPr>
        <w:pStyle w:val="BodyText"/>
        <w:spacing w:before="12"/>
        <w:rPr>
          <w:sz w:val="80"/>
        </w:rPr>
      </w:pPr>
    </w:p>
    <w:p>
      <w:pPr>
        <w:pStyle w:val="BodyText"/>
        <w:tabs>
          <w:tab w:val="left" w:pos="11921"/>
        </w:tabs>
        <w:spacing w:line="412" w:lineRule="auto"/>
        <w:ind w:left="3370" w:right="2486" w:firstLine="1030"/>
      </w:pPr>
      <w:r>
        <w:t>活性碳废气净化器是一种干式废气处理设备。</w:t>
      </w:r>
      <w:r>
        <w:rPr>
          <w:spacing w:val="42"/>
        </w:rPr>
        <w:t xml:space="preserve"> </w:t>
      </w:r>
      <w:r>
        <w:t>由箱体和装填在箱体内</w:t>
      </w:r>
      <w:r>
        <w:rPr>
          <w:spacing w:val="-17"/>
        </w:rPr>
        <w:t>的</w:t>
      </w:r>
      <w:r>
        <w:t>吸附单元组成。</w:t>
      </w:r>
      <w:r>
        <w:rPr>
          <w:spacing w:val="15"/>
        </w:rPr>
        <w:t xml:space="preserve"> </w:t>
      </w:r>
      <w:r>
        <w:t>根据吸附单元的数量和风量可进行不同规格的组合，</w:t>
      </w:r>
      <w:r>
        <w:rPr>
          <w:spacing w:val="17"/>
        </w:rPr>
        <w:t xml:space="preserve"> </w:t>
      </w:r>
      <w:r>
        <w:t>活性碳废气净化器选择不同填料可以处理多种不同废气，</w:t>
      </w:r>
      <w:r>
        <w:rPr>
          <w:spacing w:val="40"/>
        </w:rPr>
        <w:t xml:space="preserve"> </w:t>
      </w:r>
      <w:r>
        <w:t>主要用于油漆等有机废气的净化</w:t>
      </w:r>
      <w:r>
        <w:rPr>
          <w:spacing w:val="-145"/>
        </w:rPr>
        <w:t xml:space="preserve"> </w:t>
      </w:r>
      <w:r>
        <w:t>。对</w:t>
      </w:r>
      <w:r>
        <w:rPr>
          <w:spacing w:val="-144"/>
        </w:rPr>
        <w:t xml:space="preserve"> </w:t>
      </w:r>
      <w:r>
        <w:t>于浓度低于</w:t>
      </w:r>
      <w:r>
        <w:rPr>
          <w:spacing w:val="-155"/>
        </w:rPr>
        <w:t xml:space="preserve"> </w:t>
      </w:r>
      <w:r>
        <w:rPr>
          <w:rFonts w:ascii="Arial" w:eastAsia="Arial"/>
        </w:rPr>
        <w:t>1000mg/m3</w:t>
        <w:tab/>
      </w:r>
      <w:r>
        <w:t>的废气净化</w:t>
      </w:r>
      <w:r>
        <w:rPr>
          <w:spacing w:val="-34"/>
        </w:rPr>
        <w:t xml:space="preserve"> </w:t>
      </w:r>
      <w:r>
        <w:t>后排放满足</w:t>
      </w:r>
      <w:r>
        <w:rPr>
          <w:spacing w:val="-141"/>
        </w:rPr>
        <w:t xml:space="preserve"> </w:t>
      </w:r>
      <w:r>
        <w:rPr>
          <w:rFonts w:ascii="Arial" w:eastAsia="Arial"/>
        </w:rPr>
        <w:t>GB16297- 1996</w:t>
      </w:r>
      <w:r>
        <w:rPr>
          <w:rFonts w:ascii="Arial" w:eastAsia="Arial"/>
          <w:spacing w:val="-53"/>
        </w:rPr>
        <w:t xml:space="preserve"> </w:t>
      </w:r>
      <w:r>
        <w:t>《大气污染物综合排放标准》</w:t>
      </w:r>
      <w:r>
        <w:rPr>
          <w:spacing w:val="-133"/>
        </w:rPr>
        <w:t xml:space="preserve"> </w:t>
      </w:r>
      <w:r>
        <w:t>。本设备为活性碳吸附装置，需要配套活性碳再生系统</w:t>
      </w:r>
      <w:r>
        <w:rPr>
          <w:spacing w:val="-121"/>
        </w:rPr>
        <w:t xml:space="preserve"> </w:t>
      </w:r>
      <w:r>
        <w:rPr>
          <w:rFonts w:ascii="Arial" w:eastAsia="Arial"/>
        </w:rPr>
        <w:t>(</w:t>
      </w:r>
      <w:r>
        <w:rPr>
          <w:rFonts w:ascii="Arial" w:eastAsia="Arial"/>
          <w:spacing w:val="16"/>
        </w:rPr>
        <w:t xml:space="preserve"> </w:t>
      </w:r>
      <w:r>
        <w:t>采用纳米光催化氧化装置</w:t>
      </w:r>
      <w:r>
        <w:rPr>
          <w:spacing w:val="-120"/>
        </w:rPr>
        <w:t xml:space="preserve"> </w:t>
      </w:r>
      <w:r>
        <w:rPr>
          <w:rFonts w:ascii="Arial" w:eastAsia="Arial"/>
        </w:rPr>
        <w:t>)</w:t>
      </w:r>
      <w:r>
        <w:rPr>
          <w:rFonts w:ascii="Arial" w:eastAsia="Arial"/>
          <w:spacing w:val="16"/>
        </w:rPr>
        <w:t xml:space="preserve"> </w:t>
      </w:r>
      <w:r>
        <w:t>一起使用。活性碳吸</w:t>
      </w:r>
    </w:p>
    <w:p>
      <w:pPr>
        <w:spacing w:after="0" w:line="412" w:lineRule="auto"/>
        <w:sectPr>
          <w:headerReference w:type="default" r:id="rId24"/>
          <w:pgSz w:w="22380" w:h="31660"/>
          <w:pgMar w:top="40" w:right="0" w:bottom="280" w:left="0" w:header="0" w:footer="0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33" w:line="456" w:lineRule="auto"/>
        <w:ind w:left="3370" w:right="2531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140623</wp:posOffset>
            </wp:positionV>
            <wp:extent cx="14205708" cy="16048312"/>
            <wp:effectExtent l="0" t="0" r="0" b="0"/>
            <wp:wrapNone/>
            <wp:docPr id="2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0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6048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附装置主要优点： 吸附效率高、 运行成本低、 维护方便、能够同时处理多种混合废气。</w:t>
      </w:r>
    </w:p>
    <w:p>
      <w:pPr>
        <w:pStyle w:val="BodyText"/>
        <w:spacing w:line="547" w:lineRule="exact"/>
        <w:ind w:left="3370"/>
      </w:pPr>
      <w:r>
        <w:rPr>
          <w:rFonts w:ascii="Times New Roman" w:eastAsia="Times New Roman"/>
        </w:rPr>
        <w:t>3</w:t>
      </w:r>
      <w:r>
        <w:t>、紫外光解有机废气技术</w:t>
      </w:r>
    </w:p>
    <w:p>
      <w:pPr>
        <w:pStyle w:val="BodyText"/>
        <w:spacing w:before="11"/>
        <w:rPr>
          <w:sz w:val="43"/>
        </w:rPr>
      </w:pPr>
    </w:p>
    <w:p>
      <w:pPr>
        <w:pStyle w:val="Heading1"/>
        <w:spacing w:before="1"/>
      </w:pPr>
      <w:r>
        <w:t>产品技术原理：</w:t>
      </w:r>
    </w:p>
    <w:p>
      <w:pPr>
        <w:pStyle w:val="BodyText"/>
        <w:spacing w:before="5"/>
        <w:rPr>
          <w:sz w:val="40"/>
        </w:rPr>
      </w:pPr>
    </w:p>
    <w:p>
      <w:pPr>
        <w:pStyle w:val="BodyText"/>
        <w:tabs>
          <w:tab w:val="left" w:pos="7700"/>
        </w:tabs>
        <w:spacing w:line="458" w:lineRule="auto"/>
        <w:ind w:left="3370" w:right="2369"/>
      </w:pPr>
      <w:r>
        <w:t>紫外光解技术利用</w:t>
        <w:tab/>
      </w:r>
      <w:r>
        <w:rPr>
          <w:rFonts w:ascii="Times New Roman" w:eastAsia="Times New Roman"/>
        </w:rPr>
        <w:t xml:space="preserve">UV </w:t>
      </w:r>
      <w:r>
        <w:rPr>
          <w:rFonts w:ascii="Times New Roman" w:eastAsia="Times New Roman"/>
          <w:spacing w:val="88"/>
        </w:rPr>
        <w:t xml:space="preserve"> </w:t>
      </w:r>
      <w:r>
        <w:t>紫外线光束照射废气如：氨、三甲胺、硫化氢、甲硫氢、甲硫醇、甲硫醚、二甲二硫、二硫化碳和苯乙烯，</w:t>
      </w:r>
      <w:r>
        <w:rPr>
          <w:spacing w:val="25"/>
        </w:rPr>
        <w:t xml:space="preserve"> </w:t>
      </w:r>
      <w:r>
        <w:t>硫化物</w:t>
      </w:r>
      <w:r>
        <w:rPr>
          <w:spacing w:val="-111"/>
        </w:rPr>
        <w:t xml:space="preserve"> </w:t>
      </w:r>
      <w:r>
        <w:rPr>
          <w:rFonts w:ascii="Times New Roman" w:eastAsia="Times New Roman"/>
        </w:rPr>
        <w:t>H2S</w:t>
      </w:r>
      <w:r>
        <w:rPr>
          <w:rFonts w:ascii="Times New Roman" w:eastAsia="Times New Roman"/>
          <w:spacing w:val="-18"/>
        </w:rPr>
        <w:t xml:space="preserve"> </w:t>
      </w:r>
      <w:r>
        <w:t>、</w:t>
      </w:r>
      <w:r>
        <w:rPr>
          <w:rFonts w:ascii="Times New Roman" w:eastAsia="Times New Roman"/>
          <w:spacing w:val="-5"/>
        </w:rPr>
        <w:t xml:space="preserve">VOC </w:t>
      </w:r>
      <w:r>
        <w:t>类，苯、甲苯、二甲苯的分子链结构，</w:t>
      </w:r>
      <w:r>
        <w:rPr>
          <w:spacing w:val="15"/>
        </w:rPr>
        <w:t xml:space="preserve"> </w:t>
      </w:r>
      <w:r>
        <w:t>使有机或无机高分子恶臭化合物分</w:t>
      </w:r>
    </w:p>
    <w:p>
      <w:pPr>
        <w:pStyle w:val="BodyText"/>
        <w:spacing w:line="544" w:lineRule="exact"/>
        <w:ind w:left="3370"/>
        <w:rPr>
          <w:rFonts w:ascii="Times New Roman" w:eastAsia="Times New Roman"/>
        </w:rPr>
      </w:pPr>
      <w:r>
        <w:t xml:space="preserve">子链，在高能紫外线光束照射下， 降解转变成低分子化合物， 如 </w:t>
      </w:r>
      <w:r>
        <w:rPr>
          <w:rFonts w:ascii="Times New Roman" w:eastAsia="Times New Roman"/>
        </w:rPr>
        <w:t xml:space="preserve">CO2 </w:t>
      </w:r>
      <w:r>
        <w:t>、</w:t>
      </w:r>
      <w:r>
        <w:rPr>
          <w:rFonts w:ascii="Times New Roman" w:eastAsia="Times New Roman"/>
        </w:rPr>
        <w:t>H2O</w:t>
      </w:r>
    </w:p>
    <w:p>
      <w:pPr>
        <w:pStyle w:val="BodyText"/>
        <w:spacing w:before="3"/>
        <w:rPr>
          <w:rFonts w:ascii="Times New Roman"/>
          <w:sz w:val="54"/>
        </w:rPr>
      </w:pPr>
    </w:p>
    <w:p>
      <w:pPr>
        <w:pStyle w:val="BodyText"/>
        <w:ind w:left="3370"/>
      </w:pPr>
      <w:r>
        <w:t>等。</w:t>
      </w:r>
    </w:p>
    <w:p>
      <w:pPr>
        <w:pStyle w:val="BodyText"/>
        <w:spacing w:before="5"/>
        <w:rPr>
          <w:sz w:val="42"/>
        </w:rPr>
      </w:pPr>
    </w:p>
    <w:p>
      <w:pPr>
        <w:pStyle w:val="BodyText"/>
        <w:ind w:left="3370"/>
      </w:pPr>
      <w:r>
        <w:t>技术原理：</w:t>
      </w:r>
    </w:p>
    <w:p>
      <w:pPr>
        <w:pStyle w:val="BodyText"/>
        <w:rPr>
          <w:sz w:val="58"/>
        </w:rPr>
      </w:pPr>
    </w:p>
    <w:p>
      <w:pPr>
        <w:pStyle w:val="ListParagraph"/>
        <w:numPr>
          <w:ilvl w:val="0"/>
          <w:numId w:val="4"/>
        </w:numPr>
        <w:tabs>
          <w:tab w:val="left" w:pos="4674"/>
        </w:tabs>
        <w:spacing w:before="0" w:after="0" w:line="350" w:lineRule="auto"/>
        <w:ind w:left="3370" w:right="3636" w:firstLine="0"/>
        <w:jc w:val="left"/>
        <w:rPr>
          <w:sz w:val="49"/>
        </w:rPr>
      </w:pPr>
      <w:r>
        <w:rPr>
          <w:sz w:val="49"/>
        </w:rPr>
        <w:t>）</w:t>
      </w:r>
      <w:r>
        <w:rPr>
          <w:rFonts w:ascii="Times New Roman" w:eastAsia="Times New Roman"/>
          <w:sz w:val="49"/>
        </w:rPr>
        <w:t>UV</w:t>
      </w:r>
      <w:r>
        <w:rPr>
          <w:rFonts w:ascii="Times New Roman" w:eastAsia="Times New Roman"/>
          <w:spacing w:val="-7"/>
          <w:sz w:val="49"/>
        </w:rPr>
        <w:t xml:space="preserve"> </w:t>
      </w:r>
      <w:r>
        <w:rPr>
          <w:sz w:val="49"/>
        </w:rPr>
        <w:t>紫外线光束分解空气中的氧分子产生游离氧，即活性氧，因</w:t>
      </w:r>
      <w:r>
        <w:rPr>
          <w:spacing w:val="-4"/>
          <w:sz w:val="49"/>
        </w:rPr>
        <w:t>游离氧所携正负电子不平衡所以需与氧分子结合，进而产生臭氧。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3"/>
        </w:rPr>
      </w:pPr>
    </w:p>
    <w:p>
      <w:pPr>
        <w:pStyle w:val="BodyText"/>
        <w:spacing w:line="477" w:lineRule="auto"/>
        <w:ind w:left="3370" w:right="2315"/>
      </w:pPr>
      <w:r>
        <w:rPr>
          <w:rFonts w:ascii="Times New Roman" w:eastAsia="Times New Roman" w:hAnsi="Times New Roman"/>
          <w:spacing w:val="-6"/>
        </w:rPr>
        <w:t>UV</w:t>
      </w:r>
      <w:r>
        <w:rPr>
          <w:spacing w:val="-6"/>
        </w:rPr>
        <w:t>＋</w:t>
      </w:r>
      <w:r>
        <w:rPr>
          <w:rFonts w:ascii="Times New Roman" w:eastAsia="Times New Roman" w:hAnsi="Times New Roman"/>
          <w:spacing w:val="-6"/>
        </w:rPr>
        <w:t>O2</w:t>
      </w:r>
      <w:r>
        <w:rPr>
          <w:rFonts w:ascii="Times New Roman" w:eastAsia="Times New Roman" w:hAnsi="Times New Roman"/>
          <w:spacing w:val="-66"/>
        </w:rPr>
        <w:t xml:space="preserve"> </w:t>
      </w:r>
      <w:r>
        <w:t>→</w:t>
      </w:r>
      <w:r>
        <w:rPr>
          <w:rFonts w:ascii="Times New Roman" w:eastAsia="Times New Roman" w:hAnsi="Times New Roman"/>
        </w:rPr>
        <w:t>O-+O</w:t>
      </w:r>
      <w:r>
        <w:rPr>
          <w:rFonts w:ascii="Times New Roman" w:eastAsia="Times New Roman" w:hAnsi="Times New Roman"/>
          <w:spacing w:val="-54"/>
        </w:rPr>
        <w:t xml:space="preserve"> </w:t>
      </w:r>
      <w:r>
        <w:t>＊</w:t>
      </w:r>
      <w:r>
        <w:rPr>
          <w:rFonts w:ascii="Times New Roman" w:eastAsia="Times New Roman" w:hAnsi="Times New Roman"/>
          <w:spacing w:val="11"/>
        </w:rPr>
        <w:t xml:space="preserve">( </w:t>
      </w:r>
      <w:r>
        <w:rPr>
          <w:spacing w:val="-29"/>
        </w:rPr>
        <w:t xml:space="preserve">活性氧 </w:t>
      </w:r>
      <w:r>
        <w:rPr>
          <w:rFonts w:ascii="Times New Roman" w:eastAsia="Times New Roman" w:hAnsi="Times New Roman"/>
        </w:rPr>
        <w:t>)O+O2</w:t>
      </w:r>
      <w:r>
        <w:rPr>
          <w:rFonts w:ascii="Times New Roman" w:eastAsia="Times New Roman" w:hAnsi="Times New Roman"/>
          <w:spacing w:val="-12"/>
        </w:rPr>
        <w:t xml:space="preserve"> </w:t>
      </w:r>
      <w:r>
        <w:t>→</w:t>
      </w:r>
      <w:r>
        <w:rPr>
          <w:rFonts w:ascii="Times New Roman" w:eastAsia="Times New Roman" w:hAnsi="Times New Roman"/>
        </w:rPr>
        <w:t>O3(</w:t>
      </w:r>
      <w:r>
        <w:rPr>
          <w:rFonts w:ascii="Times New Roman" w:eastAsia="Times New Roman" w:hAnsi="Times New Roman"/>
          <w:spacing w:val="-67"/>
        </w:rPr>
        <w:t xml:space="preserve"> </w:t>
      </w:r>
      <w:r>
        <w:rPr>
          <w:spacing w:val="-39"/>
        </w:rPr>
        <w:t xml:space="preserve">臭氧 </w:t>
      </w:r>
      <w:r>
        <w:rPr>
          <w:rFonts w:ascii="Times New Roman" w:eastAsia="Times New Roman" w:hAnsi="Times New Roman"/>
          <w:spacing w:val="17"/>
        </w:rPr>
        <w:t xml:space="preserve">), </w:t>
      </w:r>
      <w:r>
        <w:rPr>
          <w:spacing w:val="-1"/>
        </w:rPr>
        <w:t>众所周知臭氧对有机物具有极</w:t>
      </w:r>
      <w:r>
        <w:t>强的氧化作用，对恶臭气体及其它刺激性异味有立竿见影的清除效果。</w:t>
      </w:r>
    </w:p>
    <w:p>
      <w:pPr>
        <w:pStyle w:val="ListParagraph"/>
        <w:numPr>
          <w:ilvl w:val="0"/>
          <w:numId w:val="4"/>
        </w:numPr>
        <w:tabs>
          <w:tab w:val="left" w:pos="4627"/>
          <w:tab w:val="left" w:pos="15072"/>
          <w:tab w:val="left" w:pos="19425"/>
        </w:tabs>
        <w:spacing w:before="0" w:after="0" w:line="494" w:lineRule="exact"/>
        <w:ind w:left="4626" w:right="0" w:hanging="1257"/>
        <w:jc w:val="left"/>
        <w:rPr>
          <w:rFonts w:ascii="Times New Roman" w:eastAsia="Times New Roman"/>
          <w:sz w:val="22"/>
        </w:rPr>
      </w:pPr>
      <w:r>
        <w:rPr>
          <w:position w:val="1"/>
          <w:sz w:val="49"/>
        </w:rPr>
        <w:t>恶臭气体利用排风设备输入到本净化设备后，</w:t>
        <w:tab/>
        <w:t>净化设备运用高能</w:t>
        <w:tab/>
      </w:r>
      <w:r>
        <w:rPr>
          <w:rFonts w:ascii="Times New Roman" w:eastAsia="Times New Roman"/>
          <w:sz w:val="22"/>
        </w:rPr>
        <w:t>UV</w:t>
      </w:r>
    </w:p>
    <w:p>
      <w:pPr>
        <w:pStyle w:val="BodyText"/>
        <w:spacing w:before="2"/>
        <w:rPr>
          <w:rFonts w:ascii="Times New Roman"/>
          <w:sz w:val="50"/>
        </w:rPr>
      </w:pPr>
    </w:p>
    <w:p>
      <w:pPr>
        <w:pStyle w:val="BodyText"/>
        <w:tabs>
          <w:tab w:val="left" w:pos="15726"/>
        </w:tabs>
        <w:spacing w:line="458" w:lineRule="auto"/>
        <w:ind w:left="3370" w:right="2710"/>
      </w:pPr>
      <w:r>
        <w:t>紫外线光束及臭氧对恶臭气体进行协同分解氧化反应，</w:t>
        <w:tab/>
        <w:t>使恶臭气体物质</w:t>
      </w:r>
      <w:r>
        <w:rPr>
          <w:spacing w:val="-16"/>
        </w:rPr>
        <w:t>其</w:t>
      </w:r>
      <w:r>
        <w:t>降解转化成低分子化合物、水和二氧化碳，再通过排风管道排出室外。</w:t>
      </w:r>
    </w:p>
    <w:p>
      <w:pPr>
        <w:pStyle w:val="ListParagraph"/>
        <w:numPr>
          <w:ilvl w:val="0"/>
          <w:numId w:val="4"/>
        </w:numPr>
        <w:tabs>
          <w:tab w:val="left" w:pos="4674"/>
        </w:tabs>
        <w:spacing w:before="0" w:after="0" w:line="563" w:lineRule="exact"/>
        <w:ind w:left="4673" w:right="0" w:hanging="1304"/>
        <w:jc w:val="left"/>
        <w:rPr>
          <w:sz w:val="49"/>
        </w:rPr>
      </w:pPr>
      <w:r>
        <w:rPr>
          <w:sz w:val="49"/>
        </w:rPr>
        <w:t xml:space="preserve">）利用高能 </w:t>
      </w:r>
      <w:r>
        <w:rPr>
          <w:rFonts w:ascii="Times New Roman" w:eastAsia="Times New Roman"/>
          <w:sz w:val="49"/>
        </w:rPr>
        <w:t>UV</w:t>
      </w:r>
      <w:r>
        <w:rPr>
          <w:rFonts w:ascii="Times New Roman" w:eastAsia="Times New Roman"/>
          <w:spacing w:val="18"/>
          <w:sz w:val="49"/>
        </w:rPr>
        <w:t xml:space="preserve"> </w:t>
      </w:r>
      <w:r>
        <w:rPr>
          <w:sz w:val="49"/>
        </w:rPr>
        <w:t>光束裂解恶臭气体中细菌的分子键，破坏细菌的核酸</w:t>
      </w:r>
    </w:p>
    <w:p>
      <w:pPr>
        <w:pStyle w:val="BodyText"/>
        <w:spacing w:before="2"/>
        <w:rPr>
          <w:sz w:val="44"/>
        </w:rPr>
      </w:pPr>
    </w:p>
    <w:p>
      <w:pPr>
        <w:pStyle w:val="BodyText"/>
        <w:ind w:left="3370"/>
      </w:pPr>
      <w:r>
        <w:t>（</w:t>
      </w:r>
      <w:r>
        <w:rPr>
          <w:spacing w:val="-198"/>
        </w:rPr>
        <w:t xml:space="preserve"> </w:t>
      </w:r>
      <w:r>
        <w:rPr>
          <w:rFonts w:ascii="Times New Roman" w:eastAsia="Times New Roman"/>
          <w:spacing w:val="-6"/>
        </w:rPr>
        <w:t>DNA</w:t>
      </w:r>
      <w:r>
        <w:rPr>
          <w:spacing w:val="-6"/>
        </w:rPr>
        <w:t>），</w:t>
      </w:r>
      <w:r>
        <w:t>再通过臭氧进行氧化反应，彻底达到脱臭及杀灭细菌的目的．</w:t>
      </w:r>
    </w:p>
    <w:p>
      <w:pPr>
        <w:pStyle w:val="BodyText"/>
        <w:spacing w:before="5"/>
        <w:rPr>
          <w:sz w:val="40"/>
        </w:rPr>
      </w:pPr>
    </w:p>
    <w:p>
      <w:pPr>
        <w:pStyle w:val="BodyText"/>
        <w:ind w:left="3370"/>
      </w:pPr>
      <w:r>
        <w:rPr>
          <w:rFonts w:ascii="Times New Roman" w:eastAsia="Times New Roman"/>
        </w:rPr>
        <w:t>4</w:t>
      </w:r>
      <w:r>
        <w:t>、低温等离子体技术</w:t>
      </w:r>
    </w:p>
    <w:p>
      <w:pPr>
        <w:pStyle w:val="BodyText"/>
        <w:rPr>
          <w:sz w:val="47"/>
        </w:rPr>
      </w:pPr>
    </w:p>
    <w:p>
      <w:pPr>
        <w:pStyle w:val="BodyText"/>
        <w:spacing w:before="1" w:line="448" w:lineRule="auto"/>
        <w:ind w:left="3370" w:right="2531" w:firstLine="1030"/>
      </w:pPr>
      <w:r>
        <w:t>低温等离子体是继固态、 液态、气态之后的物质的第四态， 当外加电压达到气体的着火电压时， 气体被击穿， 产生包括电子、 各种离子、原子</w:t>
      </w:r>
    </w:p>
    <w:p>
      <w:pPr>
        <w:spacing w:after="0" w:line="448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https://d.book118.com/197035021015006034</w:t>
        </w:r>
      </w:hyperlink>
    </w:p>
    <w:p>
      <w:pPr>
        <w:spacing w:after="0" w:line="448" w:lineRule="auto"/>
      </w:pPr>
    </w:p>
    <w:sectPr>
      <w:headerReference w:type="default" r:id="rId27"/>
      <w:pgSz w:w="22380" w:h="31660"/>
      <w:pgMar w:top="140" w:right="0" w:bottom="280" w:left="0" w:header="0" w:footer="0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6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990593</wp:posOffset>
          </wp:positionH>
          <wp:positionV relativeFrom="page">
            <wp:posOffset>19811</wp:posOffset>
          </wp:positionV>
          <wp:extent cx="12223926" cy="79247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23926" cy="792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6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990593</wp:posOffset>
          </wp:positionH>
          <wp:positionV relativeFrom="page">
            <wp:posOffset>19811</wp:posOffset>
          </wp:positionV>
          <wp:extent cx="12223926" cy="79247"/>
          <wp:effectExtent l="0" t="0" r="0" b="0"/>
          <wp:wrapNone/>
          <wp:docPr id="157813892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813892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23926" cy="792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6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990593</wp:posOffset>
          </wp:positionH>
          <wp:positionV relativeFrom="page">
            <wp:posOffset>19811</wp:posOffset>
          </wp:positionV>
          <wp:extent cx="12223926" cy="79247"/>
          <wp:effectExtent l="0" t="0" r="0" b="0"/>
          <wp:wrapNone/>
          <wp:docPr id="91696018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696018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23926" cy="792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6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990593</wp:posOffset>
          </wp:positionH>
          <wp:positionV relativeFrom="page">
            <wp:posOffset>19811</wp:posOffset>
          </wp:positionV>
          <wp:extent cx="12223926" cy="79247"/>
          <wp:effectExtent l="0" t="0" r="0" b="0"/>
          <wp:wrapNone/>
          <wp:docPr id="1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23926" cy="792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6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990593</wp:posOffset>
          </wp:positionH>
          <wp:positionV relativeFrom="page">
            <wp:posOffset>19811</wp:posOffset>
          </wp:positionV>
          <wp:extent cx="12223926" cy="79247"/>
          <wp:effectExtent l="0" t="0" r="0" b="0"/>
          <wp:wrapNone/>
          <wp:docPr id="200859336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859336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23926" cy="792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6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990593</wp:posOffset>
          </wp:positionH>
          <wp:positionV relativeFrom="page">
            <wp:posOffset>19811</wp:posOffset>
          </wp:positionV>
          <wp:extent cx="12223926" cy="79247"/>
          <wp:effectExtent l="0" t="0" r="0" b="0"/>
          <wp:wrapNone/>
          <wp:docPr id="127971261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971261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23926" cy="792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6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990593</wp:posOffset>
          </wp:positionH>
          <wp:positionV relativeFrom="page">
            <wp:posOffset>19811</wp:posOffset>
          </wp:positionV>
          <wp:extent cx="12223926" cy="79247"/>
          <wp:effectExtent l="0" t="0" r="0" b="0"/>
          <wp:wrapNone/>
          <wp:docPr id="2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23926" cy="792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9243E"/>
    <w:multiLevelType w:val="hybridMultilevel"/>
    <w:tmpl w:val="00000000"/>
    <w:lvl w:ilvl="0">
      <w:start w:val="1"/>
      <w:numFmt w:val="decimal"/>
      <w:lvlText w:val="（%1）"/>
      <w:lvlJc w:val="left"/>
      <w:pPr>
        <w:ind w:left="4673" w:hanging="1304"/>
        <w:jc w:val="left"/>
      </w:pPr>
      <w:rPr>
        <w:rFonts w:ascii="宋体" w:eastAsia="宋体" w:hAnsi="宋体" w:cs="宋体" w:hint="default"/>
        <w:spacing w:val="-198"/>
        <w:w w:val="100"/>
        <w:sz w:val="47"/>
        <w:szCs w:val="47"/>
      </w:rPr>
    </w:lvl>
    <w:lvl w:ilvl="1">
      <w:start w:val="0"/>
      <w:numFmt w:val="bullet"/>
      <w:lvlText w:val="•"/>
      <w:lvlJc w:val="left"/>
      <w:pPr>
        <w:ind w:left="6449" w:hanging="13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18" w:hanging="13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87" w:hanging="13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56" w:hanging="13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25" w:hanging="13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94" w:hanging="13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63" w:hanging="13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32" w:hanging="1304"/>
      </w:pPr>
      <w:rPr>
        <w:rFonts w:hint="default"/>
      </w:rPr>
    </w:lvl>
  </w:abstractNum>
  <w:abstractNum w:abstractNumId="1">
    <w:nsid w:val="346F4C93"/>
    <w:multiLevelType w:val="hybridMultilevel"/>
    <w:tmpl w:val="00000000"/>
    <w:lvl w:ilvl="0">
      <w:start w:val="1"/>
      <w:numFmt w:val="decimal"/>
      <w:lvlText w:val="（%1）"/>
      <w:lvlJc w:val="left"/>
      <w:pPr>
        <w:ind w:left="3370" w:hanging="1304"/>
        <w:jc w:val="left"/>
      </w:pPr>
      <w:rPr>
        <w:rFonts w:ascii="宋体" w:eastAsia="宋体" w:hAnsi="宋体" w:cs="宋体" w:hint="default"/>
        <w:spacing w:val="-198"/>
        <w:w w:val="80"/>
        <w:sz w:val="47"/>
        <w:szCs w:val="47"/>
      </w:rPr>
    </w:lvl>
    <w:lvl w:ilvl="1">
      <w:start w:val="0"/>
      <w:numFmt w:val="bullet"/>
      <w:lvlText w:val="•"/>
      <w:lvlJc w:val="left"/>
      <w:pPr>
        <w:ind w:left="5279" w:hanging="13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78" w:hanging="13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77" w:hanging="13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976" w:hanging="13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875" w:hanging="13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774" w:hanging="13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73" w:hanging="13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572" w:hanging="1304"/>
      </w:pPr>
      <w:rPr>
        <w:rFonts w:hint="default"/>
      </w:rPr>
    </w:lvl>
  </w:abstractNum>
  <w:abstractNum w:abstractNumId="2">
    <w:nsid w:val="42455DF0"/>
    <w:multiLevelType w:val="hybridMultilevel"/>
    <w:tmpl w:val="00000000"/>
    <w:lvl w:ilvl="0">
      <w:start w:val="1"/>
      <w:numFmt w:val="decimal"/>
      <w:lvlText w:val="（%1）"/>
      <w:lvlJc w:val="left"/>
      <w:pPr>
        <w:ind w:left="3370" w:hanging="1304"/>
        <w:jc w:val="left"/>
      </w:pPr>
      <w:rPr>
        <w:rFonts w:ascii="宋体" w:eastAsia="宋体" w:hAnsi="宋体" w:cs="宋体" w:hint="default"/>
        <w:spacing w:val="-198"/>
        <w:w w:val="100"/>
        <w:sz w:val="47"/>
        <w:szCs w:val="47"/>
      </w:rPr>
    </w:lvl>
    <w:lvl w:ilvl="1">
      <w:start w:val="1"/>
      <w:numFmt w:val="decimal"/>
      <w:lvlText w:val="%2."/>
      <w:lvlJc w:val="left"/>
      <w:pPr>
        <w:ind w:left="6215" w:hanging="459"/>
        <w:jc w:val="left"/>
      </w:pPr>
      <w:rPr>
        <w:rFonts w:ascii="Arial" w:eastAsia="Arial" w:hAnsi="Arial" w:cs="Arial" w:hint="default"/>
        <w:w w:val="89"/>
        <w:sz w:val="41"/>
        <w:szCs w:val="41"/>
      </w:rPr>
    </w:lvl>
    <w:lvl w:ilvl="2">
      <w:start w:val="0"/>
      <w:numFmt w:val="bullet"/>
      <w:lvlText w:val="•"/>
      <w:lvlJc w:val="left"/>
      <w:pPr>
        <w:ind w:left="6851" w:hanging="4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83" w:hanging="4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4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47" w:hanging="4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9" w:hanging="4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0" w:hanging="4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2" w:hanging="459"/>
      </w:pPr>
      <w:rPr>
        <w:rFonts w:hint="default"/>
      </w:rPr>
    </w:lvl>
  </w:abstractNum>
  <w:abstractNum w:abstractNumId="3">
    <w:nsid w:val="501158DE"/>
    <w:multiLevelType w:val="hybridMultilevel"/>
    <w:tmpl w:val="00000000"/>
    <w:lvl w:ilvl="0">
      <w:start w:val="0"/>
      <w:numFmt w:val="bullet"/>
      <w:lvlText w:val="◆"/>
      <w:lvlJc w:val="left"/>
      <w:pPr>
        <w:ind w:left="4793" w:hanging="629"/>
      </w:pPr>
      <w:rPr>
        <w:rFonts w:ascii="宋体" w:eastAsia="宋体" w:hAnsi="宋体" w:cs="宋体" w:hint="default"/>
        <w:w w:val="100"/>
        <w:sz w:val="49"/>
        <w:szCs w:val="49"/>
      </w:rPr>
    </w:lvl>
    <w:lvl w:ilvl="1">
      <w:start w:val="0"/>
      <w:numFmt w:val="bullet"/>
      <w:lvlText w:val="•"/>
      <w:lvlJc w:val="left"/>
      <w:pPr>
        <w:ind w:left="6557" w:hanging="6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314" w:hanging="6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71" w:hanging="6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828" w:hanging="6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85" w:hanging="6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342" w:hanging="6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99" w:hanging="6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56" w:hanging="629"/>
      </w:pPr>
      <w:rPr>
        <w:rFonts w:hint="default"/>
      </w:rPr>
    </w:lvl>
  </w:abstractNum>
  <w:abstractNum w:abstractNumId="4">
    <w:nsid w:val="54EB7CA4"/>
    <w:multiLevelType w:val="hybridMultilevel"/>
    <w:tmpl w:val="00000000"/>
    <w:lvl w:ilvl="0">
      <w:start w:val="1"/>
      <w:numFmt w:val="decimal"/>
      <w:lvlText w:val="（%1）"/>
      <w:lvlJc w:val="left"/>
      <w:pPr>
        <w:ind w:left="4626" w:hanging="1257"/>
        <w:jc w:val="left"/>
      </w:pPr>
      <w:rPr>
        <w:rFonts w:ascii="宋体" w:eastAsia="宋体" w:hAnsi="宋体" w:cs="宋体" w:hint="default"/>
        <w:w w:val="90"/>
        <w:sz w:val="47"/>
        <w:szCs w:val="47"/>
      </w:rPr>
    </w:lvl>
    <w:lvl w:ilvl="1">
      <w:start w:val="0"/>
      <w:numFmt w:val="bullet"/>
      <w:lvlText w:val="•"/>
      <w:lvlJc w:val="left"/>
      <w:pPr>
        <w:ind w:left="6395" w:hanging="12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170" w:hanging="12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45" w:hanging="12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20" w:hanging="12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95" w:hanging="12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70" w:hanging="12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45" w:hanging="12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20" w:hanging="1257"/>
      </w:pPr>
      <w:rPr>
        <w:rFonts w:hint="default"/>
      </w:rPr>
    </w:lvl>
  </w:abstractNum>
  <w:abstractNum w:abstractNumId="5">
    <w:nsid w:val="66A24A9F"/>
    <w:multiLevelType w:val="hybridMultilevel"/>
    <w:tmpl w:val="00000000"/>
    <w:lvl w:ilvl="0">
      <w:start w:val="1"/>
      <w:numFmt w:val="decimal"/>
      <w:lvlText w:val="（%1）"/>
      <w:lvlJc w:val="left"/>
      <w:pPr>
        <w:ind w:left="3370" w:hanging="1304"/>
        <w:jc w:val="left"/>
      </w:pPr>
      <w:rPr>
        <w:rFonts w:ascii="宋体" w:eastAsia="宋体" w:hAnsi="宋体" w:cs="宋体" w:hint="default"/>
        <w:spacing w:val="-198"/>
        <w:w w:val="100"/>
        <w:sz w:val="47"/>
        <w:szCs w:val="47"/>
      </w:rPr>
    </w:lvl>
    <w:lvl w:ilvl="1">
      <w:start w:val="0"/>
      <w:numFmt w:val="bullet"/>
      <w:lvlText w:val="•"/>
      <w:lvlJc w:val="left"/>
      <w:pPr>
        <w:ind w:left="4885" w:hanging="13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90" w:hanging="13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5" w:hanging="13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00" w:hanging="13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6" w:hanging="13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1" w:hanging="13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16" w:hanging="13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21" w:hanging="1304"/>
      </w:pPr>
      <w:rPr>
        <w:rFonts w:hint="default"/>
      </w:rPr>
    </w:lvl>
  </w:abstractNum>
  <w:abstractNum w:abstractNumId="6">
    <w:nsid w:val="68F14CCE"/>
    <w:multiLevelType w:val="hybridMultilevel"/>
    <w:tmpl w:val="00000000"/>
    <w:lvl w:ilvl="0">
      <w:start w:val="0"/>
      <w:numFmt w:val="bullet"/>
      <w:lvlText w:val="◆"/>
      <w:lvlJc w:val="left"/>
      <w:pPr>
        <w:ind w:left="4397" w:hanging="1028"/>
      </w:pPr>
      <w:rPr>
        <w:rFonts w:ascii="宋体" w:eastAsia="宋体" w:hAnsi="宋体" w:cs="宋体" w:hint="default"/>
        <w:w w:val="100"/>
        <w:sz w:val="51"/>
        <w:szCs w:val="51"/>
      </w:rPr>
    </w:lvl>
    <w:lvl w:ilvl="1">
      <w:start w:val="0"/>
      <w:numFmt w:val="bullet"/>
      <w:lvlText w:val="•"/>
      <w:lvlJc w:val="left"/>
      <w:pPr>
        <w:ind w:left="6197" w:hanging="10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94" w:hanging="10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791" w:hanging="10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88" w:hanging="10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385" w:hanging="10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82" w:hanging="10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79" w:hanging="10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76" w:hanging="1028"/>
      </w:pPr>
      <w:rPr>
        <w:rFonts w:hint="default"/>
      </w:rPr>
    </w:lvl>
  </w:abstractNum>
  <w:abstractNum w:abstractNumId="7">
    <w:nsid w:val="69CA2DBE"/>
    <w:multiLevelType w:val="hybridMultilevel"/>
    <w:tmpl w:val="00000000"/>
    <w:lvl w:ilvl="0">
      <w:start w:val="1"/>
      <w:numFmt w:val="decimal"/>
      <w:lvlText w:val="%1."/>
      <w:lvlJc w:val="left"/>
      <w:pPr>
        <w:ind w:left="1522" w:hanging="458"/>
        <w:jc w:val="right"/>
      </w:pPr>
      <w:rPr>
        <w:rFonts w:hint="default"/>
        <w:w w:val="89"/>
      </w:rPr>
    </w:lvl>
    <w:lvl w:ilvl="1">
      <w:start w:val="2"/>
      <w:numFmt w:val="decimal"/>
      <w:lvlText w:val="%2."/>
      <w:lvlJc w:val="left"/>
      <w:pPr>
        <w:ind w:left="1473" w:hanging="469"/>
        <w:jc w:val="right"/>
      </w:pPr>
      <w:rPr>
        <w:rFonts w:ascii="Arial" w:eastAsia="Arial" w:hAnsi="Arial" w:cs="Arial" w:hint="default"/>
        <w:w w:val="90"/>
        <w:position w:val="1"/>
        <w:sz w:val="42"/>
        <w:szCs w:val="42"/>
      </w:rPr>
    </w:lvl>
    <w:lvl w:ilvl="2">
      <w:start w:val="0"/>
      <w:numFmt w:val="bullet"/>
      <w:lvlText w:val="•"/>
      <w:lvlJc w:val="left"/>
      <w:pPr>
        <w:ind w:left="2502" w:hanging="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85" w:hanging="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68" w:hanging="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51" w:hanging="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33" w:hanging="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16" w:hanging="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99" w:hanging="469"/>
      </w:pPr>
      <w:rPr>
        <w:rFonts w:hint="default"/>
      </w:rPr>
    </w:lvl>
  </w:abstractNum>
  <w:abstractNum w:abstractNumId="8">
    <w:nsid w:val="749F6CCF"/>
    <w:multiLevelType w:val="hybridMultilevel"/>
    <w:tmpl w:val="00000000"/>
    <w:lvl w:ilvl="0">
      <w:start w:val="0"/>
      <w:numFmt w:val="bullet"/>
      <w:lvlText w:val="◆"/>
      <w:lvlJc w:val="left"/>
      <w:pPr>
        <w:ind w:left="628" w:hanging="629"/>
      </w:pPr>
      <w:rPr>
        <w:rFonts w:ascii="宋体" w:eastAsia="宋体" w:hAnsi="宋体" w:cs="宋体" w:hint="default"/>
        <w:w w:val="100"/>
        <w:sz w:val="49"/>
        <w:szCs w:val="49"/>
      </w:rPr>
    </w:lvl>
    <w:lvl w:ilvl="1">
      <w:start w:val="0"/>
      <w:numFmt w:val="bullet"/>
      <w:lvlText w:val="•"/>
      <w:lvlJc w:val="left"/>
      <w:pPr>
        <w:ind w:left="868" w:hanging="6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17" w:hanging="6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65" w:hanging="6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14" w:hanging="6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62" w:hanging="6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11" w:hanging="6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60" w:hanging="6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08" w:hanging="629"/>
      </w:pPr>
      <w:rPr>
        <w:rFonts w:hint="default"/>
      </w:rPr>
    </w:lvl>
  </w:abstractNum>
  <w:abstractNum w:abstractNumId="9">
    <w:nsid w:val="7B999900"/>
    <w:multiLevelType w:val="hybridMultilevel"/>
    <w:tmpl w:val="00000000"/>
    <w:lvl w:ilvl="0">
      <w:start w:val="3"/>
      <w:numFmt w:val="decimal"/>
      <w:lvlText w:val="（%1）"/>
      <w:lvlJc w:val="left"/>
      <w:pPr>
        <w:ind w:left="4626" w:hanging="1257"/>
        <w:jc w:val="left"/>
      </w:pPr>
      <w:rPr>
        <w:rFonts w:ascii="宋体" w:eastAsia="宋体" w:hAnsi="宋体" w:cs="宋体" w:hint="default"/>
        <w:w w:val="90"/>
        <w:sz w:val="47"/>
        <w:szCs w:val="47"/>
      </w:rPr>
    </w:lvl>
    <w:lvl w:ilvl="1">
      <w:start w:val="0"/>
      <w:numFmt w:val="bullet"/>
      <w:lvlText w:val="•"/>
      <w:lvlJc w:val="left"/>
      <w:pPr>
        <w:ind w:left="6395" w:hanging="12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170" w:hanging="12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45" w:hanging="12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20" w:hanging="12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95" w:hanging="12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70" w:hanging="12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45" w:hanging="12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20" w:hanging="1257"/>
      </w:pPr>
      <w:rPr>
        <w:rFonts w:hint="default"/>
      </w:rPr>
    </w:lvl>
  </w:abstractNum>
  <w:num w:numId="1">
    <w:abstractNumId w:val="9"/>
  </w:num>
  <w:num w:numId="2">
    <w:abstractNumId w:val="4"/>
  </w:num>
  <w:num w:numId="3">
    <w:abstractNumId w:val="7"/>
  </w:num>
  <w:num w:numId="4">
    <w:abstractNumId w:val="2"/>
  </w:num>
  <w:num w:numId="5">
    <w:abstractNumId w:val="6"/>
  </w:num>
  <w:num w:numId="6">
    <w:abstractNumId w:val="1"/>
  </w:num>
  <w:num w:numId="7">
    <w:abstractNumId w:val="5"/>
  </w:num>
  <w:num w:numId="8">
    <w:abstractNumId w:val="0"/>
  </w:num>
  <w:num w:numId="9">
    <w:abstractNumId w:val="8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3370"/>
      <w:outlineLvl w:val="0"/>
    </w:pPr>
    <w:rPr>
      <w:rFonts w:ascii="宋体" w:eastAsia="宋体" w:hAnsi="宋体" w:cs="宋体"/>
      <w:sz w:val="51"/>
      <w:szCs w:val="5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518"/>
      <w:ind w:left="3370"/>
    </w:pPr>
    <w:rPr>
      <w:rFonts w:ascii="宋体" w:eastAsia="宋体" w:hAnsi="宋体" w:cs="宋体"/>
      <w:sz w:val="49"/>
      <w:szCs w:val="49"/>
    </w:rPr>
  </w:style>
  <w:style w:type="paragraph" w:styleId="TOC2">
    <w:name w:val="toc 2"/>
    <w:basedOn w:val="Normal"/>
    <w:uiPriority w:val="1"/>
    <w:qFormat/>
    <w:pPr>
      <w:spacing w:before="541"/>
      <w:ind w:left="4164"/>
    </w:pPr>
    <w:rPr>
      <w:rFonts w:ascii="宋体" w:eastAsia="宋体" w:hAnsi="宋体" w:cs="宋体"/>
      <w:sz w:val="49"/>
      <w:szCs w:val="49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9"/>
      <w:szCs w:val="49"/>
    </w:rPr>
  </w:style>
  <w:style w:type="paragraph" w:styleId="Title">
    <w:name w:val="Title"/>
    <w:basedOn w:val="Normal"/>
    <w:uiPriority w:val="1"/>
    <w:qFormat/>
    <w:pPr>
      <w:ind w:left="280"/>
      <w:jc w:val="center"/>
    </w:pPr>
    <w:rPr>
      <w:rFonts w:ascii="宋体" w:eastAsia="宋体" w:hAnsi="宋体" w:cs="宋体"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4673" w:hanging="130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image" Target="media/image3.png" /><Relationship Id="rId13" Type="http://schemas.openxmlformats.org/officeDocument/2006/relationships/image" Target="media/image6.png" /><Relationship Id="rId14" Type="http://schemas.openxmlformats.org/officeDocument/2006/relationships/header" Target="header5.xml" /><Relationship Id="rId15" Type="http://schemas.openxmlformats.org/officeDocument/2006/relationships/header" Target="header6.xml" /><Relationship Id="rId16" Type="http://schemas.openxmlformats.org/officeDocument/2006/relationships/image" Target="media/image7.pn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header" Target="header10.xml" /><Relationship Id="rId22" Type="http://schemas.openxmlformats.org/officeDocument/2006/relationships/image" Target="media/image9.png" /><Relationship Id="rId23" Type="http://schemas.openxmlformats.org/officeDocument/2006/relationships/header" Target="header11.xml" /><Relationship Id="rId24" Type="http://schemas.openxmlformats.org/officeDocument/2006/relationships/header" Target="header12.xml" /><Relationship Id="rId25" Type="http://schemas.openxmlformats.org/officeDocument/2006/relationships/image" Target="media/image10.png" /><Relationship Id="rId26" Type="http://schemas.openxmlformats.org/officeDocument/2006/relationships/hyperlink" Target="https://d.book118.com/197035021015006034" TargetMode="External" /><Relationship Id="rId27" Type="http://schemas.openxmlformats.org/officeDocument/2006/relationships/header" Target="header13.xml" /><Relationship Id="rId28" Type="http://schemas.openxmlformats.org/officeDocument/2006/relationships/theme" Target="theme/theme1.xml" /><Relationship Id="rId29" Type="http://schemas.openxmlformats.org/officeDocument/2006/relationships/numbering" Target="numbering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image" Target="media/image4.png" /><Relationship Id="rId8" Type="http://schemas.openxmlformats.org/officeDocument/2006/relationships/header" Target="header2.xml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2024-01-07T16:53:33Z</dcterms:created>
  <dcterms:modified xsi:type="dcterms:W3CDTF">2024-01-07T16:53:33Z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LastSaved">
    <vt:filetime>2024-01-07T00:00:00Z</vt:filetime>
  </property>
</Properties>
</file>