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2018-2023年山东力明科技职业学院高职单招（数学／语文／英语）历年常考试题库含答案解析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以宋室南渡为界，词作的情感和风格呈现出两种不同面貌的作家是（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A.辛弃疾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B.李清照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C.柳永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D.苏轼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《礼记》是一部（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A.法家著作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B.道家著作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C.墨家著作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D.儒家著作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苏轼的《前赤壁赋》作于（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A.杭州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B.密州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C.黄州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D.惠州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>冰心的《往事（一之十四）》是一篇（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A.抒情散文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B.记叙文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C.托物言志的写景散文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D.议论文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spacing w:after="200" w:line="276" w:lineRule="atLeast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朱自清发表的第一部散文集是（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A.《背影》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B.《踪迹》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C.《你我》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D.《欧游杂记》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spacing w:after="200" w:line="276" w:lineRule="auto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6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人称“曲状元”的元代散曲作家是（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A.王实甫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B.关汉卿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C.郑光祖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D.马致远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下列文章中，带有寓言性的散文是（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A.《种树郭橐驼传》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B.《季氏将伐颛臾》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C.《谏逐客书》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D.《答司马谏议书》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《季氏将伐颛臾》所体现出的孔子的政治主张是（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A.治国以法、为政以德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B.无为而治、顺其自然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C.隆礼重法、为政以德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D.治国以礼、为政以德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下列诗句中，运用反比的是（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A.桑之未落，其叶沃若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B.于嗟鸠兮，无食桑葚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C.淇水汤汤，渐车帷裳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D.淇则有岸，隰则有泮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7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孔子认为他所生活的时代是（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A.大同时代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B.三代之英的时代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C.小康时代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D.礼崩乐坏的时代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屈原根据战国时期楚地祭祀乐歌加工而成的组诗是（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A.《国殇》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B.《楚辞》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C.《九歌》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D.《九章》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下列文学常识表述完全正确的一项是（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A.鲁迅的《呐喊》、茅盾的《子夜》和巴金的《家》，都是我国现代著名的长篇小说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B.我国现代著名剧作家曹禺的代表作有《雷雨》、《日出》和《龙须沟》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C.新格律诗的“三美”主张指的是“音乐的美”、“绘画的美”、“建筑的美”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D.沈从文的《箱子岩》生动地展现了浙东水乡淳厚古朴的民风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13.</w:t>
      </w:r>
      <w:r>
        <w:rPr>
          <w:rFonts w:ascii="黑体" w:eastAsia="黑体" w:hAnsi="黑体" w:cs="Times New Roman"/>
          <w:sz w:val="24"/>
          <w:lang w:val="en-US" w:eastAsia="zh-CN" w:bidi="ar-SA"/>
        </w:rPr>
        <w:t>短篇小说《断魂枪》所描写的时代背景是（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A.古代社会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B.近代中国（辛亥革命前后）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C.元代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D.戊戌变法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14.</w:t>
      </w:r>
      <w:r>
        <w:rPr>
          <w:rFonts w:ascii="黑体" w:eastAsia="黑体" w:hAnsi="黑体" w:cs="Times New Roman"/>
          <w:sz w:val="24"/>
          <w:lang w:val="en-US" w:eastAsia="zh-CN" w:bidi="ar-SA"/>
        </w:rPr>
        <w:t>找出下列运用比兴手法的诗句（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A.淇则有岸，隰则有泮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B.来归相怨怒，但坐观罗敷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C.周公吐哺，天下归心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https://d.book118.com/197040063156006044</w:t>
        </w:r>
      </w:hyperlink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9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hyperlink" Target="https://d.book118.com/197040063156006044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