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9865C9" w14:paraId="51A1D8ED" w14:textId="77777777">
      <w:pPr>
        <w:spacing w:line="360" w:lineRule="auto"/>
        <w:jc w:val="center"/>
        <w:rPr>
          <w:rFonts w:ascii="楷体" w:eastAsia="楷体" w:hAnsi="楷体" w:cs="楷体"/>
          <w:b/>
          <w:bCs/>
          <w:sz w:val="36"/>
          <w:szCs w:val="36"/>
        </w:rPr>
      </w:pPr>
      <w:r>
        <w:rPr>
          <w:rFonts w:ascii="楷体" w:eastAsia="楷体" w:hAnsi="楷体" w:cs="楷体" w:hint="eastAsia"/>
          <w:b/>
          <w:bCs/>
          <w:sz w:val="36"/>
          <w:szCs w:val="36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10617200</wp:posOffset>
            </wp:positionH>
            <wp:positionV relativeFrom="topMargin">
              <wp:posOffset>10274300</wp:posOffset>
            </wp:positionV>
            <wp:extent cx="444500" cy="431800"/>
            <wp:wrapNone/>
            <wp:docPr id="1000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sz w:val="36"/>
          <w:szCs w:val="36"/>
        </w:rPr>
        <w:t>小升初文言文阅读</w:t>
      </w:r>
    </w:p>
    <w:p w:rsidR="009865C9" w14:paraId="490BE0F3" w14:textId="669AD08E">
      <w:pPr>
        <w:spacing w:line="360" w:lineRule="auto"/>
        <w:jc w:val="center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/>
          <w:b/>
          <w:bCs/>
          <w:sz w:val="30"/>
          <w:szCs w:val="30"/>
        </w:rPr>
        <w:t>9</w:t>
      </w:r>
      <w:r>
        <w:rPr>
          <w:rFonts w:ascii="仿宋_GB2312" w:eastAsia="仿宋_GB2312" w:hint="eastAsia"/>
          <w:b/>
          <w:bCs/>
          <w:sz w:val="30"/>
          <w:szCs w:val="30"/>
        </w:rPr>
        <w:t>.文言文的特殊句式</w:t>
      </w:r>
    </w:p>
    <w:p w:rsidR="009865C9" w14:paraId="67C1B6D9" w14:textId="77777777">
      <w:pPr>
        <w:spacing w:line="360" w:lineRule="auto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【思维导图】</w:t>
      </w:r>
    </w:p>
    <w:p w:rsidR="009865C9">
      <w:pPr>
        <w:spacing w:line="360" w:lineRule="auto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noProof/>
          <w:sz w:val="24"/>
        </w:rPr>
        <w:drawing>
          <wp:inline distT="0" distB="0" distL="114300" distR="114300">
            <wp:extent cx="6645275" cy="5778500"/>
            <wp:effectExtent l="0" t="0" r="14605" b="12700"/>
            <wp:docPr id="1" name="图片 1" descr="acdb45350ee7d8dcea5c671387c2a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cdb45350ee7d8dcea5c671387c2a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577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5C9" w14:paraId="0A6D32E2" w14:textId="77777777">
      <w:pPr>
        <w:spacing w:line="360" w:lineRule="auto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【知识要点】</w:t>
      </w:r>
    </w:p>
    <w:p w:rsidR="009865C9" w14:paraId="1A45AF97" w14:textId="77777777">
      <w:pPr>
        <w:numPr>
          <w:ilvl w:val="0"/>
          <w:numId w:val="1"/>
        </w:numPr>
        <w:spacing w:line="360" w:lineRule="auto"/>
        <w:jc w:val="left"/>
        <w:rPr>
          <w:rFonts w:cs="Times New Roman"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判断句</w:t>
      </w:r>
      <w:r>
        <w:rPr>
          <w:rFonts w:cs="Times New Roman" w:hint="eastAsia"/>
          <w:b/>
          <w:bCs/>
          <w:kern w:val="0"/>
          <w:sz w:val="24"/>
        </w:rPr>
        <w:t> </w:t>
      </w:r>
      <w:r>
        <w:rPr>
          <w:rFonts w:cs="Times New Roman" w:hint="eastAsia"/>
          <w:b/>
          <w:bCs/>
          <w:kern w:val="0"/>
          <w:sz w:val="24"/>
        </w:rPr>
        <w:br/>
      </w:r>
      <w:r>
        <w:rPr>
          <w:rFonts w:cs="Times New Roman" w:hint="eastAsia"/>
          <w:kern w:val="0"/>
          <w:sz w:val="24"/>
        </w:rPr>
        <w:t>对客观事物表示肯定或否定</w:t>
      </w:r>
      <w:r>
        <w:rPr>
          <w:rFonts w:cs="Times New Roman" w:hint="eastAsia"/>
          <w:kern w:val="0"/>
          <w:sz w:val="24"/>
        </w:rPr>
        <w:t>,</w:t>
      </w:r>
      <w:r>
        <w:rPr>
          <w:rFonts w:cs="Times New Roman" w:hint="eastAsia"/>
          <w:kern w:val="0"/>
          <w:sz w:val="24"/>
        </w:rPr>
        <w:t>构成判断与被判断关系的句子</w:t>
      </w:r>
      <w:r>
        <w:rPr>
          <w:rFonts w:cs="Times New Roman" w:hint="eastAsia"/>
          <w:kern w:val="0"/>
          <w:sz w:val="24"/>
        </w:rPr>
        <w:t>,</w:t>
      </w:r>
      <w:r>
        <w:rPr>
          <w:rFonts w:cs="Times New Roman" w:hint="eastAsia"/>
          <w:kern w:val="0"/>
          <w:sz w:val="24"/>
        </w:rPr>
        <w:t>叫判断句。</w:t>
      </w:r>
    </w:p>
    <w:p w:rsidR="009865C9" w14:paraId="7E6E0320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一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、用“</w:t>
      </w:r>
      <w:r>
        <w:rPr>
          <w:rFonts w:cs="Times New Roman"/>
          <w:b/>
          <w:bCs/>
          <w:kern w:val="0"/>
          <w:sz w:val="24"/>
        </w:rPr>
        <w:t>……</w:t>
      </w:r>
      <w:r>
        <w:rPr>
          <w:rFonts w:cs="Times New Roman" w:hint="eastAsia"/>
          <w:b/>
          <w:bCs/>
          <w:kern w:val="0"/>
          <w:sz w:val="24"/>
        </w:rPr>
        <w:t>.</w:t>
      </w:r>
      <w:r>
        <w:rPr>
          <w:rFonts w:cs="Times New Roman" w:hint="eastAsia"/>
          <w:b/>
          <w:bCs/>
          <w:kern w:val="0"/>
          <w:sz w:val="24"/>
        </w:rPr>
        <w:t>者，</w:t>
      </w:r>
      <w:r>
        <w:rPr>
          <w:rFonts w:cs="Times New Roman"/>
          <w:b/>
          <w:bCs/>
          <w:kern w:val="0"/>
          <w:sz w:val="24"/>
        </w:rPr>
        <w:t>……</w:t>
      </w:r>
      <w:r>
        <w:rPr>
          <w:rFonts w:cs="Times New Roman" w:hint="eastAsia"/>
          <w:b/>
          <w:bCs/>
          <w:kern w:val="0"/>
          <w:sz w:val="24"/>
        </w:rPr>
        <w:t>也”来表示。</w:t>
      </w:r>
    </w:p>
    <w:p w:rsidR="009865C9" w14:paraId="5D7AE992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诸葛孔明者，卧龙也。</w:t>
      </w:r>
    </w:p>
    <w:p w:rsidR="009865C9" w14:paraId="4F5F651F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二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、用“</w:t>
      </w:r>
      <w:r>
        <w:rPr>
          <w:rFonts w:cs="Times New Roman"/>
          <w:b/>
          <w:bCs/>
          <w:kern w:val="0"/>
          <w:sz w:val="24"/>
        </w:rPr>
        <w:t>……</w:t>
      </w:r>
      <w:r>
        <w:rPr>
          <w:rFonts w:cs="Times New Roman" w:hint="eastAsia"/>
          <w:b/>
          <w:bCs/>
          <w:kern w:val="0"/>
          <w:sz w:val="24"/>
        </w:rPr>
        <w:t>者</w:t>
      </w:r>
      <w:r>
        <w:rPr>
          <w:rFonts w:cs="Times New Roman"/>
          <w:b/>
          <w:bCs/>
          <w:kern w:val="0"/>
          <w:sz w:val="24"/>
        </w:rPr>
        <w:t>……</w:t>
      </w:r>
      <w:r>
        <w:rPr>
          <w:rFonts w:cs="Times New Roman" w:hint="eastAsia"/>
          <w:b/>
          <w:bCs/>
          <w:kern w:val="0"/>
          <w:sz w:val="24"/>
        </w:rPr>
        <w:t>也”来表示，即主语后面不用“，”号。</w:t>
      </w:r>
    </w:p>
    <w:p w:rsidR="009865C9" w14:paraId="19B7435C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食马者，不知其能千里而食也。</w:t>
      </w:r>
    </w:p>
    <w:p w:rsidR="009865C9" w14:paraId="269FE5E2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三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、用“</w:t>
      </w:r>
      <w:r>
        <w:rPr>
          <w:rFonts w:cs="Times New Roman"/>
          <w:b/>
          <w:bCs/>
          <w:kern w:val="0"/>
          <w:sz w:val="24"/>
        </w:rPr>
        <w:t>……</w:t>
      </w:r>
      <w:r>
        <w:rPr>
          <w:rFonts w:cs="Times New Roman" w:hint="eastAsia"/>
          <w:b/>
          <w:bCs/>
          <w:kern w:val="0"/>
          <w:sz w:val="24"/>
        </w:rPr>
        <w:t>者也”表示判断，翻译时“者也”不译。</w:t>
      </w:r>
    </w:p>
    <w:p w:rsidR="009865C9" w14:paraId="5F42D130" w14:textId="77777777">
      <w:pPr>
        <w:spacing w:line="360" w:lineRule="auto"/>
        <w:rPr>
          <w:rFonts w:cs="Times New Roman"/>
          <w:kern w:val="0"/>
          <w:sz w:val="24"/>
        </w:rPr>
        <w:sectPr>
          <w:pgSz w:w="11906" w:h="16838"/>
          <w:pgMar w:top="720" w:right="720" w:bottom="720" w:left="720" w:header="851" w:footer="992" w:gutter="0"/>
          <w:pgNumType w:start="1"/>
          <w:cols w:space="425"/>
          <w:docGrid w:type="lines" w:linePitch="312"/>
        </w:sectPr>
      </w:pPr>
      <w:r>
        <w:rPr>
          <w:rFonts w:cs="Times New Roman" w:hint="eastAsia"/>
          <w:kern w:val="0"/>
          <w:sz w:val="24"/>
        </w:rPr>
        <w:t>予谓菊，花之隐逸者也。</w:t>
      </w:r>
    </w:p>
    <w:p w:rsidR="009865C9" w14:paraId="21600039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四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、用“</w:t>
      </w:r>
      <w:r>
        <w:rPr>
          <w:rFonts w:cs="Times New Roman"/>
          <w:b/>
          <w:bCs/>
          <w:kern w:val="0"/>
          <w:sz w:val="24"/>
        </w:rPr>
        <w:t>……</w:t>
      </w:r>
      <w:r>
        <w:rPr>
          <w:rFonts w:cs="Times New Roman" w:hint="eastAsia"/>
          <w:b/>
          <w:bCs/>
          <w:kern w:val="0"/>
          <w:sz w:val="24"/>
        </w:rPr>
        <w:t>.</w:t>
      </w:r>
      <w:r>
        <w:rPr>
          <w:rFonts w:cs="Times New Roman" w:hint="eastAsia"/>
          <w:b/>
          <w:bCs/>
          <w:kern w:val="0"/>
          <w:sz w:val="24"/>
        </w:rPr>
        <w:t>也”来表示。这有两种情况</w:t>
      </w:r>
      <w:r>
        <w:rPr>
          <w:rFonts w:cs="Times New Roman" w:hint="eastAsia"/>
          <w:b/>
          <w:bCs/>
          <w:kern w:val="0"/>
          <w:sz w:val="24"/>
        </w:rPr>
        <w:t>:</w:t>
      </w:r>
    </w:p>
    <w:p w:rsidR="009865C9" w14:paraId="7AF53FC1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(1)</w:t>
      </w:r>
      <w:r>
        <w:rPr>
          <w:rFonts w:cs="Times New Roman" w:hint="eastAsia"/>
          <w:kern w:val="0"/>
          <w:sz w:val="24"/>
        </w:rPr>
        <w:t>主语后有“，”号，翻译时便去掉“，”号，再加“是”。</w:t>
      </w:r>
    </w:p>
    <w:p w:rsidR="009865C9" w14:paraId="2D9BC008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知之为知之，不知为不知，是知也。</w:t>
      </w:r>
    </w:p>
    <w:p w:rsidR="009865C9" w14:paraId="4B22C28E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(2)</w:t>
      </w:r>
      <w:r>
        <w:rPr>
          <w:rFonts w:cs="Times New Roman" w:hint="eastAsia"/>
          <w:kern w:val="0"/>
          <w:sz w:val="24"/>
        </w:rPr>
        <w:t>主语后无“，”号，只在主语后加“是”，“也”字不译。</w:t>
      </w:r>
    </w:p>
    <w:p w:rsidR="009865C9" w14:paraId="0F8E9EA6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此则岳阳楼之大观也。</w:t>
      </w:r>
    </w:p>
    <w:p w:rsidR="009865C9" w14:paraId="6D6910B5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五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、用动词“为”作判断，把“为”直接翻译成“是”，语序不变。</w:t>
      </w:r>
    </w:p>
    <w:p w:rsidR="009865C9" w14:paraId="72B2D7C0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天下为公。</w:t>
      </w:r>
    </w:p>
    <w:p w:rsidR="009865C9" w14:paraId="520BE572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六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、用副词表示判断，这个副词不代替判断词，所以翻译时副词照样译，只在其后加判断词“是”。</w:t>
      </w:r>
    </w:p>
    <w:p w:rsidR="009865C9" w14:paraId="2D6E3AA1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当立者乃公子扶苏。</w:t>
      </w:r>
    </w:p>
    <w:p w:rsidR="009865C9" w14:paraId="78CC01C2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七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、用“是”表示判断。</w:t>
      </w:r>
    </w:p>
    <w:p w:rsidR="009865C9" w14:paraId="456C766C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斯是陋室。</w:t>
      </w:r>
    </w:p>
    <w:p w:rsidR="009865C9" w14:paraId="6D07EC51" w14:textId="77777777">
      <w:pPr>
        <w:spacing w:line="360" w:lineRule="auto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(</w:t>
      </w:r>
      <w:r>
        <w:rPr>
          <w:rFonts w:cs="Times New Roman" w:hint="eastAsia"/>
          <w:b/>
          <w:bCs/>
          <w:kern w:val="0"/>
          <w:sz w:val="24"/>
        </w:rPr>
        <w:t>八</w:t>
      </w:r>
      <w:r>
        <w:rPr>
          <w:rFonts w:cs="Times New Roman" w:hint="eastAsia"/>
          <w:b/>
          <w:bCs/>
          <w:kern w:val="0"/>
          <w:sz w:val="24"/>
        </w:rPr>
        <w:t>)</w:t>
      </w:r>
      <w:r>
        <w:rPr>
          <w:rFonts w:cs="Times New Roman" w:hint="eastAsia"/>
          <w:b/>
          <w:bCs/>
          <w:kern w:val="0"/>
          <w:sz w:val="24"/>
        </w:rPr>
        <w:t>、否定判断句，用“非</w:t>
      </w:r>
      <w:r>
        <w:rPr>
          <w:rFonts w:cs="Times New Roman"/>
          <w:b/>
          <w:bCs/>
          <w:kern w:val="0"/>
          <w:sz w:val="24"/>
        </w:rPr>
        <w:t>……</w:t>
      </w:r>
      <w:r>
        <w:rPr>
          <w:rFonts w:cs="Times New Roman" w:hint="eastAsia"/>
          <w:b/>
          <w:bCs/>
          <w:kern w:val="0"/>
          <w:sz w:val="24"/>
        </w:rPr>
        <w:t>也”表示，“非”翻译成“不是”，“也”字不翻译。</w:t>
      </w:r>
    </w:p>
    <w:p w:rsidR="009865C9" w14:paraId="6401CC85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韭士之怒也。</w:t>
      </w:r>
    </w:p>
    <w:p w:rsidR="009865C9" w14:paraId="340FF624" w14:textId="77777777">
      <w:pPr>
        <w:spacing w:line="360" w:lineRule="auto"/>
        <w:jc w:val="left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二、省略句</w:t>
      </w:r>
    </w:p>
    <w:p w:rsidR="009865C9" w14:paraId="6362852A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有些句子在一定的语言环境中，省略了句子的某些成分，这种句子叫省略句。</w:t>
      </w:r>
    </w:p>
    <w:p w:rsidR="009865C9" w14:paraId="559B7E0A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廉颇为赵将，</w:t>
      </w:r>
      <w:r>
        <w:rPr>
          <w:rFonts w:cs="Times New Roman" w:hint="eastAsia"/>
          <w:kern w:val="0"/>
          <w:sz w:val="24"/>
        </w:rPr>
        <w:t xml:space="preserve"> (</w:t>
      </w:r>
      <w:r>
        <w:rPr>
          <w:rFonts w:cs="Times New Roman" w:hint="eastAsia"/>
          <w:kern w:val="0"/>
          <w:sz w:val="24"/>
        </w:rPr>
        <w:t>廉颇</w:t>
      </w:r>
      <w:r>
        <w:rPr>
          <w:rFonts w:cs="Times New Roman" w:hint="eastAsia"/>
          <w:kern w:val="0"/>
          <w:sz w:val="24"/>
        </w:rPr>
        <w:t>)</w:t>
      </w:r>
      <w:r>
        <w:rPr>
          <w:rFonts w:cs="Times New Roman" w:hint="eastAsia"/>
          <w:kern w:val="0"/>
          <w:sz w:val="24"/>
        </w:rPr>
        <w:t>伐齐，大破之。</w:t>
      </w:r>
    </w:p>
    <w:p w:rsidR="009865C9" w14:paraId="493F210C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一鼓作气，再</w:t>
      </w:r>
      <w:r>
        <w:rPr>
          <w:rFonts w:cs="Times New Roman" w:hint="eastAsia"/>
          <w:kern w:val="0"/>
          <w:sz w:val="24"/>
        </w:rPr>
        <w:t>(</w:t>
      </w:r>
      <w:r>
        <w:rPr>
          <w:rFonts w:cs="Times New Roman" w:hint="eastAsia"/>
          <w:kern w:val="0"/>
          <w:sz w:val="24"/>
        </w:rPr>
        <w:t>鼓</w:t>
      </w:r>
      <w:r>
        <w:rPr>
          <w:rFonts w:cs="Times New Roman" w:hint="eastAsia"/>
          <w:kern w:val="0"/>
          <w:sz w:val="24"/>
        </w:rPr>
        <w:t>)</w:t>
      </w:r>
      <w:r>
        <w:rPr>
          <w:rFonts w:cs="Times New Roman" w:hint="eastAsia"/>
          <w:kern w:val="0"/>
          <w:sz w:val="24"/>
        </w:rPr>
        <w:t>而衰，三</w:t>
      </w:r>
      <w:r>
        <w:rPr>
          <w:rFonts w:cs="Times New Roman" w:hint="eastAsia"/>
          <w:kern w:val="0"/>
          <w:sz w:val="24"/>
        </w:rPr>
        <w:t>(</w:t>
      </w:r>
      <w:r>
        <w:rPr>
          <w:rFonts w:cs="Times New Roman" w:hint="eastAsia"/>
          <w:kern w:val="0"/>
          <w:sz w:val="24"/>
        </w:rPr>
        <w:t>鼓</w:t>
      </w:r>
      <w:r>
        <w:rPr>
          <w:rFonts w:cs="Times New Roman" w:hint="eastAsia"/>
          <w:kern w:val="0"/>
          <w:sz w:val="24"/>
        </w:rPr>
        <w:t>)</w:t>
      </w:r>
      <w:r>
        <w:rPr>
          <w:rFonts w:cs="Times New Roman" w:hint="eastAsia"/>
          <w:kern w:val="0"/>
          <w:sz w:val="24"/>
        </w:rPr>
        <w:t>而竭。</w:t>
      </w:r>
    </w:p>
    <w:p w:rsidR="009865C9" w14:paraId="15E393EA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便要</w:t>
      </w:r>
      <w:r>
        <w:rPr>
          <w:rFonts w:cs="Times New Roman" w:hint="eastAsia"/>
          <w:kern w:val="0"/>
          <w:sz w:val="24"/>
        </w:rPr>
        <w:t>(</w:t>
      </w:r>
      <w:r>
        <w:rPr>
          <w:rFonts w:cs="Times New Roman" w:hint="eastAsia"/>
          <w:kern w:val="0"/>
          <w:sz w:val="24"/>
        </w:rPr>
        <w:t>之</w:t>
      </w:r>
      <w:r>
        <w:rPr>
          <w:rFonts w:cs="Times New Roman" w:hint="eastAsia"/>
          <w:kern w:val="0"/>
          <w:sz w:val="24"/>
        </w:rPr>
        <w:t>)</w:t>
      </w:r>
      <w:r>
        <w:rPr>
          <w:rFonts w:cs="Times New Roman" w:hint="eastAsia"/>
          <w:kern w:val="0"/>
          <w:sz w:val="24"/>
        </w:rPr>
        <w:t>还家。</w:t>
      </w:r>
    </w:p>
    <w:p w:rsidR="009865C9" w14:paraId="56AE4795" w14:textId="77777777">
      <w:pPr>
        <w:spacing w:line="360" w:lineRule="auto"/>
        <w:jc w:val="left"/>
        <w:rPr>
          <w:rFonts w:cs="Times New Roman"/>
          <w:b/>
          <w:bCs/>
          <w:kern w:val="0"/>
          <w:sz w:val="24"/>
        </w:rPr>
      </w:pPr>
      <w:r>
        <w:rPr>
          <w:rFonts w:cs="Times New Roman" w:hint="eastAsia"/>
          <w:b/>
          <w:bCs/>
          <w:kern w:val="0"/>
          <w:sz w:val="24"/>
        </w:rPr>
        <w:t>三、被动句</w:t>
      </w:r>
    </w:p>
    <w:p w:rsidR="009865C9" w14:paraId="76FCF538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被动句是表示被动意义的句子。文言中常常借助一些介词表示被动。</w:t>
      </w:r>
    </w:p>
    <w:p w:rsidR="009865C9" w14:paraId="61585A3B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（一）用介词“于”“受……于……”表示被动，“于”引进动作行为的主动者。</w:t>
      </w:r>
    </w:p>
    <w:p w:rsidR="009865C9" w14:paraId="158A7110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 xml:space="preserve"> </w:t>
      </w:r>
      <w:r>
        <w:rPr>
          <w:rFonts w:cs="Times New Roman" w:hint="eastAsia"/>
          <w:kern w:val="0"/>
          <w:sz w:val="24"/>
        </w:rPr>
        <w:t>六艺经传皆通习之，不拘于时，学于余。</w:t>
      </w:r>
    </w:p>
    <w:p w:rsidR="009865C9" w14:paraId="7B202E4D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（二）用“为”“为……所……”</w:t>
      </w:r>
    </w:p>
    <w:p w:rsidR="009865C9" w14:paraId="1C9D48B8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（“为”引出动作的主动者）“……为所……”表示被动。</w:t>
      </w:r>
    </w:p>
    <w:p w:rsidR="009865C9" w14:paraId="58FB815A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而身死国灭，为天下笑。</w:t>
      </w:r>
    </w:p>
    <w:p w:rsidR="009865C9" w14:paraId="439E309D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（三）用“见”“见……于……”表被动</w:t>
      </w:r>
      <w:r>
        <w:rPr>
          <w:rFonts w:cs="Times New Roman" w:hint="eastAsia"/>
          <w:kern w:val="0"/>
          <w:sz w:val="24"/>
        </w:rPr>
        <w:t>(</w:t>
      </w:r>
      <w:r>
        <w:rPr>
          <w:rFonts w:cs="Times New Roman" w:hint="eastAsia"/>
          <w:kern w:val="0"/>
          <w:sz w:val="24"/>
        </w:rPr>
        <w:t>“于”引进动作的主动者</w:t>
      </w:r>
      <w:r>
        <w:rPr>
          <w:rFonts w:cs="Times New Roman" w:hint="eastAsia"/>
          <w:kern w:val="0"/>
          <w:sz w:val="24"/>
        </w:rPr>
        <w:t>)</w:t>
      </w:r>
      <w:r>
        <w:rPr>
          <w:rFonts w:cs="Times New Roman" w:hint="eastAsia"/>
          <w:kern w:val="0"/>
          <w:sz w:val="24"/>
        </w:rPr>
        <w:t>。</w:t>
      </w:r>
    </w:p>
    <w:p w:rsidR="009865C9" w14:paraId="26BBC57D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臣诚恐见欺于王而负赵。</w:t>
      </w:r>
      <w:r>
        <w:rPr>
          <w:rFonts w:cs="Times New Roman" w:hint="eastAsia"/>
          <w:kern w:val="0"/>
          <w:sz w:val="24"/>
        </w:rPr>
        <w:t xml:space="preserve">   </w:t>
      </w:r>
    </w:p>
    <w:p w:rsidR="009865C9" w14:paraId="0C9406B5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（四）用介词“被”表被动</w:t>
      </w:r>
    </w:p>
    <w:p w:rsidR="009865C9" w14:paraId="25D20D5F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予犹记周公之被逮</w:t>
      </w:r>
    </w:p>
    <w:p w:rsidR="009865C9" w14:paraId="0657B129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（五）无任何标志，根据句意判断</w:t>
      </w:r>
    </w:p>
    <w:p w:rsidR="009865C9" w14:paraId="6D34157C" w14:textId="77777777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 w:hint="eastAsia"/>
          <w:kern w:val="0"/>
          <w:sz w:val="24"/>
        </w:rPr>
        <w:t>帝感其诚。可译为：上帝被他的诚心所感动。</w:t>
      </w:r>
    </w:p>
    <w:p w:rsidR="009865C9" w14:paraId="02291A9B" w14:textId="77777777">
      <w:pPr>
        <w:spacing w:line="360" w:lineRule="auto"/>
        <w:jc w:val="left"/>
        <w:rPr>
          <w:rFonts w:cs="Times New Roman"/>
          <w:b/>
          <w:bCs/>
          <w:kern w:val="0"/>
          <w:sz w:val="24"/>
        </w:rPr>
        <w:sectPr>
          <w:type w:val="nextPage"/>
          <w:pgSz w:w="11906" w:h="16838"/>
          <w:pgMar w:top="720" w:right="720" w:bottom="720" w:left="72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cs="Times New Roman" w:hint="eastAsia"/>
          <w:b/>
          <w:bCs/>
          <w:kern w:val="0"/>
          <w:sz w:val="24"/>
        </w:rPr>
        <w:t>五、宾语前置</w:t>
      </w:r>
    </w:p>
    <w:p w:rsidR="009865C9">
      <w:pPr>
        <w:spacing w:line="360" w:lineRule="auto"/>
        <w:rPr>
          <w:rFonts w:cs="Times New Roman"/>
          <w:kern w:val="0"/>
          <w:sz w:val="24"/>
        </w:rPr>
      </w:pPr>
      <w:r>
        <w:rPr>
          <w:rFonts w:cs="Times New Roman"/>
          <w:kern w:val="0"/>
          <w:sz w:val="24"/>
        </w:rPr>
        <w:t>句读之不知，惑之不解。</w:t>
      </w:r>
      <w:r>
        <w:rPr>
          <w:rFonts w:cs="Times New Roman" w:hint="eastAsia"/>
          <w:kern w:val="0"/>
          <w:sz w:val="24"/>
        </w:rPr>
        <w:t xml:space="preserve">     </w:t>
      </w:r>
      <w:r>
        <w:rPr>
          <w:rFonts w:cs="Times New Roman" w:hint="eastAsia"/>
          <w:kern w:val="0"/>
          <w:sz w:val="24"/>
        </w:rPr>
        <w:t>不知句读，不解惑。</w:t>
      </w:r>
    </w:p>
    <w:p w:rsidR="009865C9" w14:paraId="5D04E25C" w14:textId="77777777">
      <w:pPr>
        <w:jc w:val="left"/>
        <w:textAlignment w:val="center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一、阅读</w:t>
      </w:r>
    </w:p>
    <w:p w:rsidR="009865C9" w14:paraId="1F6CD2D8" w14:textId="77777777"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狼</w:t>
      </w:r>
    </w:p>
    <w:p w:rsidR="009865C9" w14:paraId="2CE15FC4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少时，一狼径去，其一犬坐于前。久之，目似瞑，意暇甚。屠暴起，以刀劈狼首，又数刀毙之。方欲行，转视积薪后，一狼洞其中，意将隧入以攻其后也。身已半入，止露尻尾。屠自后断其股，亦毙之。乃悟前狼假寐，盖以诱敌。</w:t>
      </w:r>
    </w:p>
    <w:p w:rsidR="009865C9" w14:paraId="5D23BDFD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狼亦黠矣，而顷刻两毙，</w:t>
      </w:r>
      <w:r>
        <w:rPr>
          <w:rFonts w:ascii="楷体" w:eastAsia="楷体" w:hAnsi="楷体" w:cs="楷体"/>
          <w:u w:val="single"/>
        </w:rPr>
        <w:t>禽兽之变诈几何哉？止增笑耳。</w:t>
      </w:r>
    </w:p>
    <w:p w:rsidR="009865C9" w14:paraId="3F3C804E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．下面句子不是描写狼狡诈本性的是（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t>）</w:t>
      </w:r>
    </w:p>
    <w:p w:rsidR="009865C9" w14:paraId="0F1311AC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．久之，目似瞑，意暇甚。</w:t>
      </w:r>
    </w:p>
    <w:p w:rsidR="009865C9" w14:paraId="6999A51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．一狼洞其中，意将隧入以攻其后也。</w:t>
      </w:r>
    </w:p>
    <w:p w:rsidR="009865C9" w14:paraId="465F204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．少时，一狼径去，其一犬坐于前。</w:t>
      </w:r>
    </w:p>
    <w:p w:rsidR="009865C9" w14:paraId="4A65EAC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．乃悟前狼假寐，盖以诱敌。</w:t>
      </w:r>
    </w:p>
    <w:p w:rsidR="009865C9" w14:paraId="42EBD956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．把文中画横线的句子翻译成现代汉语。</w:t>
      </w:r>
    </w:p>
    <w:p w:rsidR="009865C9">
      <w:pPr>
        <w:shd w:val="clear" w:color="auto" w:fill="FFFFFF"/>
        <w:spacing w:line="360" w:lineRule="auto"/>
        <w:jc w:val="left"/>
        <w:textAlignment w:val="center"/>
      </w:pPr>
      <w:r>
        <w:t>禽兽之变诈几何哉？止增笑耳。</w:t>
      </w:r>
    </w:p>
    <w:p w:rsidR="009865C9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．第二段在全文内容上起什么作用？你读完这两节文字受到什么启发？</w:t>
      </w:r>
    </w:p>
    <w:p w:rsidR="009865C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1</w:t>
      </w:r>
      <w:r>
        <w:t>．</w:t>
      </w:r>
      <w:r>
        <w:t>D    2</w:t>
      </w:r>
      <w:r>
        <w:t>．禽兽的欺骗手段能有多少呢？只不过给人增加笑料罢了。</w:t>
      </w:r>
      <w:r>
        <w:t xml:space="preserve">    3</w:t>
      </w:r>
      <w:r>
        <w:t>．起点明主题的作用。我们对待狼和像狼一样凶恶的敌人，必须丢掉幻想，敢于斗争，善于斗争，才能战胜他们，取得胜利。</w:t>
      </w:r>
    </w:p>
    <w:p w:rsidR="009865C9" w14:paraId="34D44DD2" w14:textId="77777777">
      <w:pPr>
        <w:shd w:val="clear" w:color="auto" w:fill="F2F2F2"/>
        <w:spacing w:line="360" w:lineRule="auto"/>
        <w:jc w:val="left"/>
        <w:textAlignment w:val="center"/>
      </w:pPr>
      <w:r>
        <w:t>【解析】</w:t>
      </w:r>
      <w:r>
        <w:t>1</w:t>
      </w:r>
      <w:r>
        <w:t>．本题考查文章内容的理解和分析。</w:t>
      </w:r>
    </w:p>
    <w:p w:rsidR="009865C9" w14:paraId="4FBA52C5" w14:textId="77777777">
      <w:pPr>
        <w:shd w:val="clear" w:color="auto" w:fill="F2F2F2"/>
        <w:spacing w:line="360" w:lineRule="auto"/>
        <w:jc w:val="left"/>
        <w:textAlignment w:val="center"/>
      </w:pPr>
      <w:r>
        <w:t>D.</w:t>
      </w:r>
      <w:r>
        <w:t>有误，这句话是作者发表的议论，斗争使屠户对狼的狡诈有了深刻的认识，而不是描写狼的狡诈；</w:t>
      </w:r>
    </w:p>
    <w:p w:rsidR="009865C9" w14:paraId="3A063578" w14:textId="77777777">
      <w:pPr>
        <w:shd w:val="clear" w:color="auto" w:fill="F2F2F2"/>
        <w:spacing w:line="360" w:lineRule="auto"/>
        <w:jc w:val="left"/>
        <w:textAlignment w:val="center"/>
      </w:pPr>
      <w:r>
        <w:t>故选</w:t>
      </w:r>
      <w:r>
        <w:t>D</w:t>
      </w:r>
      <w:r>
        <w:t>。</w:t>
      </w:r>
    </w:p>
    <w:p w:rsidR="009865C9" w14:paraId="1B3E17A2" w14:textId="77777777">
      <w:pPr>
        <w:shd w:val="clear" w:color="auto" w:fill="F2F2F2"/>
        <w:spacing w:line="360" w:lineRule="auto"/>
        <w:jc w:val="left"/>
        <w:textAlignment w:val="center"/>
      </w:pPr>
      <w:r>
        <w:t>2</w:t>
      </w:r>
      <w:r>
        <w:t>．本题考查文言文句子翻译能力。我们在翻译句子时要注意通假字、词类活用、一词多义、特殊句式等情况，如遇到倒装句就要按现代语序疏通，如遇省略句翻译时就要把省略的成分补充完整。</w:t>
      </w:r>
    </w:p>
    <w:p w:rsidR="009865C9" w14:paraId="381D6FED" w14:textId="77777777">
      <w:pPr>
        <w:shd w:val="clear" w:color="auto" w:fill="F2F2F2"/>
        <w:spacing w:line="360" w:lineRule="auto"/>
        <w:jc w:val="left"/>
        <w:textAlignment w:val="center"/>
      </w:pPr>
      <w:r>
        <w:t>重点词：之：结构助词，的；几何：多少；止：只是；耳：罢了。</w:t>
      </w:r>
    </w:p>
    <w:p w:rsidR="009865C9" w14:paraId="5C5BBB46" w14:textId="77777777">
      <w:pPr>
        <w:shd w:val="clear" w:color="auto" w:fill="F2F2F2"/>
        <w:spacing w:line="360" w:lineRule="auto"/>
        <w:jc w:val="left"/>
        <w:textAlignment w:val="center"/>
      </w:pPr>
      <w:r>
        <w:t>3</w:t>
      </w:r>
      <w:r>
        <w:t>．本题考查句段作用和阅读启示。</w:t>
      </w:r>
    </w:p>
    <w:p w:rsidR="009865C9" w14:paraId="462C6703" w14:textId="77777777">
      <w:pPr>
        <w:shd w:val="clear" w:color="auto" w:fill="F2F2F2"/>
        <w:spacing w:line="360" w:lineRule="auto"/>
        <w:jc w:val="left"/>
        <w:textAlignment w:val="center"/>
      </w:pPr>
      <w:r>
        <w:t>第一问：此文先写遇狼、怕狼、御狼、杀狼的故事，最后一段是作者的议论，点明文章的主旨</w:t>
      </w:r>
      <w:r>
        <w:t>“</w:t>
      </w:r>
      <w:r>
        <w:t>狼再狡猾也会败在人手里</w:t>
      </w:r>
      <w:r>
        <w:t>”</w:t>
      </w:r>
      <w:r>
        <w:t>。</w:t>
      </w:r>
    </w:p>
    <w:p w:rsidR="009865C9" w14:paraId="3078BE39" w14:textId="77777777">
      <w:pPr>
        <w:shd w:val="clear" w:color="auto" w:fill="F2F2F2"/>
        <w:spacing w:line="360" w:lineRule="auto"/>
        <w:jc w:val="left"/>
        <w:textAlignment w:val="center"/>
      </w:pPr>
      <w:r>
        <w:t>第二问：属于开放性试题，答案不唯一，设想合理即可。可以从如何对待狼和像狼一样凶恶的敌人的角度来回答即可。</w:t>
      </w:r>
    </w:p>
    <w:p w:rsidR="009865C9" w14:paraId="23266C46" w14:textId="77777777">
      <w:pPr>
        <w:shd w:val="clear" w:color="auto" w:fill="F2F2F2"/>
        <w:spacing w:line="360" w:lineRule="auto"/>
        <w:jc w:val="left"/>
        <w:textAlignment w:val="center"/>
      </w:pPr>
      <w:r>
        <w:t>示例：遇到像狼一样狡猾的坏人，不能抱有幻想，不能怯懦退缩，要敢于斗争，善于斗争，勇敢机智，才能取得胜利。</w:t>
      </w:r>
    </w:p>
    <w:p w:rsidR="009865C9" w14:paraId="14146B8F" w14:textId="77777777">
      <w:pPr>
        <w:shd w:val="clear" w:color="auto" w:fill="F2F2F2"/>
        <w:spacing w:line="360" w:lineRule="auto"/>
        <w:jc w:val="left"/>
        <w:textAlignment w:val="center"/>
      </w:pPr>
      <w:r>
        <w:t>【点睛】参考译文：</w:t>
      </w:r>
    </w:p>
    <w:p w:rsidR="009865C9" w14:paraId="6E6F1447" w14:textId="77777777">
      <w:pPr>
        <w:shd w:val="clear" w:color="auto" w:fill="F2F2F2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https://d.book118.com/197146145154006036</w:t>
        </w:r>
      </w:hyperlink>
    </w:p>
    <w:p w:rsidR="009865C9">
      <w:pPr>
        <w:shd w:val="clear" w:color="auto" w:fill="F2F2F2"/>
        <w:spacing w:line="360" w:lineRule="auto"/>
        <w:jc w:val="left"/>
        <w:textAlignment w:val="center"/>
      </w:pPr>
    </w:p>
    <w:sectPr>
      <w:type w:val="nextPage"/>
      <w:pgSz w:w="11906" w:h="16838"/>
      <w:pgMar w:top="720" w:right="720" w:bottom="720" w:left="72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A83C5D90"/>
    <w:multiLevelType w:val="singleLevel"/>
    <w:tmpl w:val="A83C5D9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8DC00EE"/>
    <w:multiLevelType w:val="singleLevel"/>
    <w:tmpl w:val="B8DC00EE"/>
    <w:lvl w:ilvl="0">
      <w:start w:val="2"/>
      <w:numFmt w:val="decimal"/>
      <w:suff w:val="nothing"/>
      <w:lvlText w:val="（%1）"/>
      <w:lvlJc w:val="left"/>
    </w:lvl>
  </w:abstractNum>
  <w:abstractNum w:abstractNumId="2">
    <w:nsid w:val="047DE5A2"/>
    <w:multiLevelType w:val="singleLevel"/>
    <w:tmpl w:val="047DE5A2"/>
    <w:lvl w:ilvl="0">
      <w:start w:val="2"/>
      <w:numFmt w:val="decimal"/>
      <w:suff w:val="nothing"/>
      <w:lvlText w:val="（%1）"/>
      <w:lvlJc w:val="left"/>
    </w:lvl>
  </w:abstractNum>
  <w:num w:numId="1" w16cid:durableId="649595104">
    <w:abstractNumId w:val="0"/>
  </w:num>
  <w:num w:numId="2" w16cid:durableId="846023584">
    <w:abstractNumId w:val="1"/>
  </w:num>
  <w:num w:numId="3" w16cid:durableId="10678455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5C9"/>
    <w:rsid w:val="004151FC"/>
    <w:rsid w:val="00593B5C"/>
    <w:rsid w:val="007A1A5E"/>
    <w:rsid w:val="009865C9"/>
    <w:rsid w:val="00C02FC6"/>
    <w:rsid w:val="01CA216C"/>
    <w:rsid w:val="02EB57CB"/>
    <w:rsid w:val="0D895044"/>
    <w:rsid w:val="0E4532A6"/>
    <w:rsid w:val="0F911C9F"/>
    <w:rsid w:val="11C52FED"/>
    <w:rsid w:val="12227E2E"/>
    <w:rsid w:val="15B331F0"/>
    <w:rsid w:val="1ABE694C"/>
    <w:rsid w:val="1B2A20C4"/>
    <w:rsid w:val="1B633B7D"/>
    <w:rsid w:val="23DB20CA"/>
    <w:rsid w:val="2F4745E0"/>
    <w:rsid w:val="31251A21"/>
    <w:rsid w:val="331B7878"/>
    <w:rsid w:val="37D0754A"/>
    <w:rsid w:val="3E6B5B61"/>
    <w:rsid w:val="481E3C44"/>
    <w:rsid w:val="4C7744A0"/>
    <w:rsid w:val="4FCB7597"/>
    <w:rsid w:val="543D68BA"/>
    <w:rsid w:val="587C6CFB"/>
    <w:rsid w:val="6B1A26DB"/>
    <w:rsid w:val="74A7056F"/>
  </w:rsids>
  <w:docVars>
    <w:docVar w:name="commondata" w:val="eyJoZGlkIjoiNmE5Y2Q2MWVjNjkxZTVkNWQxNjNjZTU4Yjg2MzA2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0E6C7B"/>
  <w15:docId w15:val="{D700F357-6CAE-4B0A-B893-5EF0587C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99"/>
    <w:qFormat/>
    <w:pPr>
      <w:ind w:left="162"/>
    </w:pPr>
    <w:rPr>
      <w:sz w:val="20"/>
      <w:szCs w:val="20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paragraph" w:styleId="Header">
    <w:name w:val="header"/>
    <w:basedOn w:val="Normal0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Footer">
    <w:name w:val="footer"/>
    <w:basedOn w:val="Normal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link w:val="Footer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yperlink" Target="https://d.book118.com/197146145154006036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3602</Words>
  <Characters>20537</Characters>
  <Application>Microsoft Office Word</Application>
  <DocSecurity>0</DocSecurity>
  <Lines>171</Lines>
  <Paragraphs>48</Paragraphs>
  <ScaleCrop>false</ScaleCrop>
  <Company>学科网(Zxxk.Com)</Company>
  <LinksUpToDate>false</LinksUpToDate>
  <CharactersWithSpaces>24091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李 飞</cp:lastModifiedBy>
  <cp:revision>3</cp:revision>
  <cp:lastPrinted>2023-10-06T05:55:00Z</cp:lastPrinted>
  <dcterms:created xsi:type="dcterms:W3CDTF">2023-10-05T10:19:00Z</dcterms:created>
  <dcterms:modified xsi:type="dcterms:W3CDTF">2023-11-29T03:34:00Z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