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毛织机行业相关公司设立可行性研究报告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" w:history="1">
        <w:r>
          <w:rPr>
            <w:rFonts w:ascii="仿宋" w:eastAsia="仿宋" w:hAnsi="仿宋" w:cs="仿宋" w:hint="eastAsia"/>
            <w:lang w:eastAsia="zh-CN"/>
          </w:rPr>
          <w:t>(一)、毛织机项目选址原则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(五)、毛织机项目选址综合评价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_Toc14381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_Toc13805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_Toc18673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_Toc16129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_Toc3561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9" w:history="1">
        <w:r>
          <w:rPr>
            <w:rFonts w:ascii="仿宋" w:eastAsia="仿宋" w:hAnsi="仿宋" w:cs="仿宋" w:hint="eastAsia"/>
            <w:lang w:eastAsia="zh-CN"/>
          </w:rPr>
          <w:t>(七)、毛织机项目建设必要性分析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_Toc32750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五、毛织机筹建公司基本信息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_Toc19472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_Toc20025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6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_Toc25768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_Toc14030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_Toc11716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6" w:history="1">
        <w:r>
          <w:rPr>
            <w:rFonts w:ascii="仿宋" w:eastAsia="仿宋" w:hAnsi="仿宋" w:cs="仿宋" w:hint="eastAsia"/>
            <w:lang w:eastAsia="zh-CN"/>
          </w:rPr>
          <w:t>(一)、毛织机项目进度安排</w:t>
        </w:r>
        <w:r>
          <w:tab/>
        </w:r>
        <w:r>
          <w:fldChar w:fldCharType="begin"/>
        </w:r>
        <w:r>
          <w:instrText xml:space="preserve"> PAGEREF _Toc11536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(二)、毛织机项目实施保障措施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_Toc9819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(一)、毛织机项目背景分析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2" w:history="1">
        <w:r>
          <w:rPr>
            <w:rFonts w:ascii="仿宋" w:eastAsia="仿宋" w:hAnsi="仿宋" w:cs="仿宋" w:hint="eastAsia"/>
            <w:lang w:eastAsia="zh-CN"/>
          </w:rPr>
          <w:t>(二)、毛织机项目建设必要性分析</w:t>
        </w:r>
        <w:r>
          <w:tab/>
        </w:r>
        <w:r>
          <w:fldChar w:fldCharType="begin"/>
        </w:r>
        <w:r>
          <w:instrText xml:space="preserve"> PAGEREF _Toc26442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_Toc31259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_Toc5385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(一)、社会责任毛织机项目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_Toc3744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24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"/>
      <w:r>
        <w:rPr>
          <w:rFonts w:ascii="仿宋" w:eastAsia="仿宋" w:hAnsi="仿宋" w:cs="仿宋" w:hint="eastAsia"/>
          <w:lang w:eastAsia="zh-CN"/>
        </w:rPr>
        <w:t>(一)、毛织机项目选址原则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毛织机项目选址是决定工业毛织机项目成败的关键因素之一。根据现行政策，毛织机项目选址必须符合一系列要求，以确保城乡建设、环境保护和资源利用的协调。以下是一些关于毛织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毛织机项目选址必须与当地城乡建设总体规划相一致。它应该符合工业毛织机项目占地使用规划的要求，并与大气污染防治、水资源和自然生态保护政策相协调。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毛织机项目选址应避开自然保护区、风景名胜区、生活饮用水源地和其他特别需要保护的敏感性目标。这有助于维护自然环境的完整性和生态系统的稳定。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毛织机项目选址应充分考虑土地资源的节约。最好选择空闲地、非耕地或荒地，以减少对良田或耕地的占用。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毛织机项目选址应提供足够的场地，以满足工艺和辅助生产设施的建设需要。这有助于确保生产流程的高效运行。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毛织机项目选址应具备良好的生产基础条件，包括充足的水源、电力、运输和可靠的能源供应。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毛织机项目选址应地势平缓，便于排除雨水和处理生产、生活废水。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毛织机项目选址应与居民区及环境污染敏感点保持足够的防护距离，以确保生产活动不会对人民健康和环境造成危害。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毛织机项目选址是毛织机项目成功的第一步，符合政策要求的选址将有助于确保毛织机项目的可持续发展，并避免对环境和社会造成不利影响。因此，在毛织机项目规划和选址阶段，应认真考虑这些原则和要求。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90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https://d.book118.com/198004052142006031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004052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2024-01-23T12:48:00Z</dcterms:created>
  <dcterms:modified xsi:type="dcterms:W3CDTF">2024-01-23T12:48:40Z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FF5B77A8673D4DDE96557A7D21C0E734_11</vt:lpwstr>
  </property>
  <property fmtid="{D5CDD505-2E9C-101B-9397-08002B2CF9AE}" pid="3" name="KSOProductBuildVer">
    <vt:lpwstr>2052-12.1.0.16120</vt:lpwstr>
  </property>
</Properties>
</file>